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9.png" ContentType="image/png"/>
  <Override PartName="/word/media/rId38.png" ContentType="image/png"/>
  <Override PartName="/word/media/rId41.png" ContentType="image/png"/>
  <Override PartName="/word/media/rId24.png" ContentType="image/png"/>
  <Override PartName="/word/media/rId3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DSR</w:t>
      </w:r>
      <w:r>
        <w:t xml:space="preserve"> </w:t>
      </w:r>
      <w:r>
        <w:t xml:space="preserve">versus</w:t>
      </w:r>
      <w:r>
        <w:t xml:space="preserve"> </w:t>
      </w:r>
      <w:r>
        <w:t xml:space="preserve">NRR</w:t>
      </w:r>
      <w:r>
        <w:t xml:space="preserve"> </w:t>
      </w:r>
      <w:r>
        <w:t xml:space="preserve">Survival</w:t>
      </w:r>
      <w:r>
        <w:t xml:space="preserve"> </w:t>
      </w:r>
      <w:r>
        <w:t xml:space="preserve">Analysis</w:t>
      </w:r>
    </w:p>
    <w:p>
      <w:pPr>
        <w:pStyle w:val="Author"/>
      </w:pPr>
      <w:r>
        <w:t xml:space="preserve">Kevin E. See</w:t>
      </w:r>
      <w:r>
        <w:rPr>
          <w:vertAlign w:val="superscript"/>
        </w:rPr>
        <w:t xml:space="preserve">1</w:t>
      </w:r>
      <w:r>
        <w:t xml:space="preserve">,</w:t>
      </w:r>
      <w:r>
        <w:t xml:space="preserve"> </w:t>
      </w:r>
      <w:r>
        <w:t xml:space="preserve">Michael W. Ackerman</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Nick Porter</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Mike Hall</w:t>
      </w:r>
      <w:r>
        <w:rPr>
          <w:vertAlign w:val="superscript"/>
        </w:rPr>
        <w:t xml:space="preserve">3</w:t>
      </w:r>
      <w:r>
        <w:t xml:space="preserve">,</w:t>
      </w:r>
      <w:r>
        <w:t xml:space="preserve"> </w:t>
      </w:r>
      <w:r>
        <w:t xml:space="preserve">and</w:t>
      </w:r>
      <w:r>
        <w:t xml:space="preserve"> </w:t>
      </w:r>
      <w:r>
        <w:t xml:space="preserve">Richie Carmichael</w:t>
      </w:r>
      <w:r>
        <w:rPr>
          <w:vertAlign w:val="superscript"/>
        </w:rPr>
        <w:t xml:space="preserve">3</w:t>
      </w:r>
    </w:p>
    <w:p>
      <w:pPr>
        <w:pStyle w:val="Date"/>
      </w:pPr>
      <w:r>
        <w:t xml:space="preserve">11</w:t>
      </w:r>
      <w:r>
        <w:t xml:space="preserve"> </w:t>
      </w:r>
      <w:r>
        <w:t xml:space="preserve">May,</w:t>
      </w:r>
      <w:r>
        <w:t xml:space="preserve"> </w:t>
      </w:r>
      <w:r>
        <w:t xml:space="preserve">2022</w:t>
      </w:r>
    </w:p>
    <w:p>
      <w:pPr>
        <w:pStyle w:val="FirstParagraph"/>
      </w:pPr>
      <w:r>
        <w:rPr>
          <w:vertAlign w:val="superscript"/>
        </w:rPr>
        <w:t xml:space="preserve">1</w:t>
      </w:r>
      <w:r>
        <w:t xml:space="preserve"> </w:t>
      </w:r>
      <w:r>
        <w:t xml:space="preserve">Washington Department of Fish and Wildife, Fish Program, Science Division, 1111 Washington Street NE, Olympia, Washington, 98501, USA</w:t>
      </w:r>
      <w:r>
        <w:br/>
      </w:r>
      <w:r>
        <w:rPr>
          <w:vertAlign w:val="superscript"/>
        </w:rPr>
        <w:t xml:space="preserve">2</w:t>
      </w:r>
      <w:r>
        <w:t xml:space="preserve"> </w:t>
      </w:r>
      <w:r>
        <w:t xml:space="preserve">Mount Hood Environmental, PO Box 4282, McCall, Idaho, 83638, USA</w:t>
      </w:r>
      <w:r>
        <w:br/>
      </w:r>
      <w:r>
        <w:rPr>
          <w:vertAlign w:val="superscript"/>
        </w:rPr>
        <w:t xml:space="preserve">3</w:t>
      </w:r>
      <w:r>
        <w:t xml:space="preserve"> </w:t>
      </w:r>
      <w:r>
        <w:t xml:space="preserve">Biomark, Inc., 705 South 8th Street, Boise, Idaho, 83702,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Michael W. Ackerman &lt;</w:t>
        </w:r>
        <w:hyperlink r:id="rId20">
          <w:r>
            <w:rPr>
              <w:rStyle w:val="Hyperlink"/>
            </w:rPr>
            <w:t xml:space="preserve">mike.ackerman@mthoodenvironmental.com</w:t>
          </w:r>
        </w:hyperlink>
        <w:r>
          <w:rPr>
            <w:rStyle w:val="Hyperlink"/>
          </w:rPr>
          <w:t xml:space="preserve">&gt;</w:t>
        </w:r>
      </w:hyperlink>
      <w:r>
        <w:t xml:space="preserve">,</w:t>
      </w:r>
      <w:r>
        <w:t xml:space="preserve"> </w:t>
      </w:r>
      <w:hyperlink r:id="rId21">
        <w:r>
          <w:rPr>
            <w:rStyle w:val="Hyperlink"/>
          </w:rPr>
          <w:t xml:space="preserve">Nick Porter &lt;</w:t>
        </w:r>
        <w:hyperlink r:id="rId21">
          <w:r>
            <w:rPr>
              <w:rStyle w:val="Hyperlink"/>
            </w:rPr>
            <w:t xml:space="preserve">Nicholas.Porter@merck.com</w:t>
          </w:r>
        </w:hyperlink>
        <w:r>
          <w:rPr>
            <w:rStyle w:val="Hyperlink"/>
          </w:rPr>
          <w:t xml:space="preserve">&gt;</w:t>
        </w:r>
      </w:hyperlink>
    </w:p>
    <w:bookmarkStart w:id="23" w:name="introduction"/>
    <w:p>
      <w:pPr>
        <w:pStyle w:val="Heading1"/>
      </w:pPr>
      <w:r>
        <w:t xml:space="preserve">Introduction</w:t>
      </w:r>
    </w:p>
    <w:p>
      <w:pPr>
        <w:pStyle w:val="FirstParagraph"/>
      </w:pPr>
      <w:r>
        <w:t xml:space="preserve">There are two dominant life history strategies employed by spring-summer Chinook salmon spawned in the Lemhi River; downstream rearing (DSR or smolt) and natal reach rearing (NRR or smolt)</w:t>
      </w:r>
      <w:r>
        <w:t xml:space="preserve"> </w:t>
      </w:r>
      <w:r>
        <w:t xml:space="preserve">(Copeland et al. 2014)</w:t>
      </w:r>
      <w:r>
        <w:t xml:space="preserve">.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Both life history types reach Lower Granite Dam in the spring, and subsequently move to the ocean.</w:t>
      </w:r>
    </w:p>
    <w:p>
      <w:pPr>
        <w:pStyle w:val="BodyText"/>
      </w:pPr>
      <w:r>
        <w:t xml:space="preserve">Recently, the DSR life history has dominated within the Lemhi River population i.e., they are more abundant at the lower Lemhi rotary screw trap (RST). It is unclear whether their abundance is a result of local adaptation where DSR fish have a survival advantage, or the result of habitat degradation within the Lemhi River leading to limited rearing habitat during winter months and thereby preventing the NRR type. Here, we explore the abundance, emigration timing, and survival between the two strategies across several brood years, attempting to compare the relative success of one versus the other.</w:t>
      </w:r>
    </w:p>
    <w:bookmarkStart w:id="22" w:name="objectives"/>
    <w:p>
      <w:pPr>
        <w:pStyle w:val="Heading2"/>
      </w:pPr>
      <w:r>
        <w:t xml:space="preserve">Objectives</w:t>
      </w:r>
    </w:p>
    <w:p>
      <w:pPr>
        <w:numPr>
          <w:ilvl w:val="0"/>
          <w:numId w:val="1001"/>
        </w:numPr>
        <w:pStyle w:val="Compact"/>
      </w:pPr>
      <w:r>
        <w:t xml:space="preserve">Estimate the abundance of each life history strategy (DSR and NRR), by brood year.</w:t>
      </w:r>
    </w:p>
    <w:p>
      <w:pPr>
        <w:numPr>
          <w:ilvl w:val="1"/>
          <w:numId w:val="1002"/>
        </w:numPr>
        <w:pStyle w:val="Compact"/>
      </w:pPr>
      <w:r>
        <w:t xml:space="preserve">We hypothesize DSR are more abundant than NRR.</w:t>
      </w:r>
    </w:p>
    <w:p>
      <w:pPr>
        <w:numPr>
          <w:ilvl w:val="0"/>
          <w:numId w:val="1001"/>
        </w:numPr>
        <w:pStyle w:val="Compact"/>
      </w:pPr>
      <w:r>
        <w:t xml:space="preserve">Estimate timing of arrival at LGR and BON.</w:t>
      </w:r>
    </w:p>
    <w:p>
      <w:pPr>
        <w:numPr>
          <w:ilvl w:val="1"/>
          <w:numId w:val="1003"/>
        </w:numPr>
        <w:pStyle w:val="Compact"/>
      </w:pPr>
      <w:r>
        <w:t xml:space="preserve">We expect DSR arrive sooner to LGR and BON, suggesting an earlier ocean entry.</w:t>
      </w:r>
    </w:p>
    <w:p>
      <w:pPr>
        <w:numPr>
          <w:ilvl w:val="0"/>
          <w:numId w:val="1001"/>
        </w:numPr>
        <w:pStyle w:val="Compact"/>
      </w:pPr>
      <w:r>
        <w:t xml:space="preserve">Estimate survival of each life history strategy to LGR, by brood year.</w:t>
      </w:r>
    </w:p>
    <w:p>
      <w:pPr>
        <w:numPr>
          <w:ilvl w:val="1"/>
          <w:numId w:val="1004"/>
        </w:numPr>
        <w:pStyle w:val="Compact"/>
      </w:pPr>
      <w:r>
        <w:t xml:space="preserve">We hypothesize NRR survival &gt; DSR survival, but because NRR emigrants already survived winter i.e., DSR survival includes winter mortality.</w:t>
      </w:r>
    </w:p>
    <w:p>
      <w:pPr>
        <w:numPr>
          <w:ilvl w:val="0"/>
          <w:numId w:val="1001"/>
        </w:numPr>
        <w:pStyle w:val="Compact"/>
      </w:pPr>
      <w:r>
        <w:t xml:space="preserve">Estimate LGR to BON SARs for DSR versus NRR life history strategies.</w:t>
      </w:r>
    </w:p>
    <w:p>
      <w:pPr>
        <w:numPr>
          <w:ilvl w:val="1"/>
          <w:numId w:val="1005"/>
        </w:numPr>
        <w:pStyle w:val="Compact"/>
      </w:pPr>
      <w:r>
        <w:t xml:space="preserve">We hypothesize SARs to be roughly equal unless DSRs do have a much earlier ocean entry, then perhaps DSRs have a higher SAR.</w:t>
      </w:r>
    </w:p>
    <w:p>
      <w:pPr>
        <w:numPr>
          <w:ilvl w:val="0"/>
          <w:numId w:val="1001"/>
        </w:numPr>
        <w:pStyle w:val="Compact"/>
      </w:pPr>
      <w:r>
        <w:t xml:space="preserve">If possible, estimate adult recruitment to the Lemhi River for DSR and SRR.</w:t>
      </w:r>
    </w:p>
    <w:p>
      <w:pPr>
        <w:numPr>
          <w:ilvl w:val="1"/>
          <w:numId w:val="1006"/>
        </w:numPr>
        <w:pStyle w:val="Compact"/>
      </w:pPr>
      <w:r>
        <w:t xml:space="preserve">We expect that DSR adult escapement is greater than NRR adult escapement, but largely due to a numerical advantage (i.e., greater juvenile abundance).</w:t>
      </w:r>
    </w:p>
    <w:bookmarkEnd w:id="22"/>
    <w:bookmarkEnd w:id="23"/>
    <w:bookmarkStart w:id="31" w:name="methods"/>
    <w:p>
      <w:pPr>
        <w:pStyle w:val="Heading1"/>
      </w:pPr>
      <w:r>
        <w:t xml:space="preserve">Methods</w:t>
      </w:r>
    </w:p>
    <w:bookmarkStart w:id="25" w:name="mark-data"/>
    <w:p>
      <w:pPr>
        <w:pStyle w:val="Heading2"/>
      </w:pPr>
      <w:r>
        <w:t xml:space="preserve">Mark Data</w:t>
      </w:r>
    </w:p>
    <w:p>
      <w:pPr>
        <w:pStyle w:val="FirstParagraph"/>
      </w:pPr>
      <w:r>
        <w:t xml:space="preserve">We compiled a list of all PIT tags deployed within the Lemhi River using two PTAGIS queries. The first was a</w:t>
      </w:r>
      <w:r>
        <w:t xml:space="preserve"> </w:t>
      </w:r>
      <w:r>
        <w:t xml:space="preserve">“</w:t>
      </w:r>
      <w:r>
        <w:t xml:space="preserve">Tagging Details</w:t>
      </w:r>
      <w:r>
        <w:t xml:space="preserve">”</w:t>
      </w:r>
      <w:r>
        <w:t xml:space="preserve"> </w:t>
      </w:r>
      <w:r>
        <w:t xml:space="preserve">query, with filters set such that the mark subbasin is Lemhi, capture method is screw trap, species is Chinook, and mark year is 1986-2020. We filtered these results further to focus on fish tagged at the lower Lemhi RST, which are assumed to be emigrating out of the Lemhi River, by focuing on mark site codes</w:t>
      </w:r>
      <w:r>
        <w:t xml:space="preserve"> </w:t>
      </w:r>
      <w:r>
        <w:t xml:space="preserve">“</w:t>
      </w:r>
      <w:r>
        <w:t xml:space="preserve">LEMHIR</w:t>
      </w:r>
      <w:r>
        <w:t xml:space="preserve">”</w:t>
      </w:r>
      <w:r>
        <w:t xml:space="preserve"> </w:t>
      </w:r>
      <w:r>
        <w:t xml:space="preserve">or</w:t>
      </w:r>
      <w:r>
        <w:t xml:space="preserve"> </w:t>
      </w:r>
      <w:r>
        <w:t xml:space="preserve">“</w:t>
      </w:r>
      <w:r>
        <w:t xml:space="preserve">LLRTP</w:t>
      </w:r>
      <w:r>
        <w:t xml:space="preserve">”</w:t>
      </w:r>
      <w:r>
        <w:t xml:space="preserve"> </w:t>
      </w:r>
      <w:r>
        <w:t xml:space="preserve">(the former was used prior to 2016) and filtering out any tags released at LEMHIW (the upper Lemhi RST). The second was a</w:t>
      </w:r>
      <w:r>
        <w:t xml:space="preserve"> </w:t>
      </w:r>
      <w:r>
        <w:t xml:space="preserve">“</w:t>
      </w:r>
      <w:r>
        <w:t xml:space="preserve">Recapture Details</w:t>
      </w:r>
      <w:r>
        <w:t xml:space="preserve">”</w:t>
      </w:r>
      <w:r>
        <w:t xml:space="preserve"> </w:t>
      </w:r>
      <w:r>
        <w:t xml:space="preserve">query, with similar filters set: mark subbasin is Lemhi, capture method is screw trap, species is Chinook, and recap year is 1986-2020. Again, we further refined these results by filtering for recapture site code of</w:t>
      </w:r>
      <w:r>
        <w:t xml:space="preserve"> </w:t>
      </w:r>
      <w:r>
        <w:t xml:space="preserve">“</w:t>
      </w:r>
      <w:r>
        <w:t xml:space="preserve">LEMHIR</w:t>
      </w:r>
      <w:r>
        <w:t xml:space="preserve">”</w:t>
      </w:r>
      <w:r>
        <w:t xml:space="preserve"> </w:t>
      </w:r>
      <w:r>
        <w:t xml:space="preserve">or</w:t>
      </w:r>
      <w:r>
        <w:t xml:space="preserve"> </w:t>
      </w:r>
      <w:r>
        <w:t xml:space="preserve">“</w:t>
      </w:r>
      <w:r>
        <w:t xml:space="preserve">LLRTP,</w:t>
      </w:r>
      <w:r>
        <w:t xml:space="preserve">”</w:t>
      </w:r>
      <w:r>
        <w:t xml:space="preserve"> </w:t>
      </w:r>
      <w:r>
        <w:t xml:space="preserve">and recapture released that were not released at LEMHIW.</w:t>
      </w:r>
    </w:p>
    <w:p>
      <w:pPr>
        <w:pStyle w:val="BodyText"/>
      </w:pPr>
      <w:r>
        <w:t xml:space="preserve">These two queries often resulted in tags showing up in both the mark and recapture lists. For tags recaptured within a week of marking, we used the mark date as the starting point, but for fish recaptured more than a week after marking (sometimes months later) we used the maximum recapture date to indicate when we believe that fish left the Lemhi River.</w:t>
      </w:r>
    </w:p>
    <w:p>
      <w:pPr>
        <w:pStyle w:val="BodyText"/>
      </w:pPr>
      <w:r>
        <w:t xml:space="preserve">We further filtered out tags that were less than 25 mm or greater than 200 mm as these seemed to be either fry, precocials, or errant sizes, and thus, were not assigned to the DSR or NRR strategies. Generally, parr and presmolts were classified as DSR whereas smolts were classified as NRR. Size and time of capture were used to differentiate smolts and parr as DSR or NRR during the spring period when both migratory types were captured concurrently (Figure</w:t>
      </w:r>
      <w:r>
        <w:t xml:space="preserve"> </w:t>
      </w:r>
      <w:r>
        <w:t xml:space="preserve">1</w:t>
      </w:r>
      <w:r>
        <w:t xml:space="preserve">). DSR fish were assigned a brood year on year prior to their emigration date in the fall, and NRR fish were assigned a brood year two years prior. The number of tags assigned to each brood year and emigrant strategy are shown in Table</w:t>
      </w:r>
      <w:r>
        <w:t xml:space="preserve"> </w:t>
      </w:r>
      <w:r>
        <w:t xml:space="preserve">1</w:t>
      </w:r>
      <w:r>
        <w:t xml:space="preserve">.</w:t>
      </w:r>
    </w:p>
    <w:p>
      <w:pPr>
        <w:pStyle w:val="BodyText"/>
      </w:pPr>
      <w:r>
        <w:t xml:space="preserve">Table 1: Number of PIT tags deployed at Lower Lemhi rotary screw trap by brood year and life history type.</w:t>
      </w:r>
    </w:p>
    <w:p>
      <w:pPr>
        <w:pStyle w:val="BodyText"/>
      </w:pPr>
      <w:r>
        <w:t xml:space="preserve">Brood Year</w:t>
      </w:r>
    </w:p>
    <w:p>
      <w:pPr>
        <w:pStyle w:val="BodyText"/>
      </w:pPr>
      <w:r>
        <w:t xml:space="preserve">DSR</w:t>
      </w:r>
    </w:p>
    <w:p>
      <w:pPr>
        <w:pStyle w:val="BodyText"/>
      </w:pPr>
      <w:r>
        <w:t xml:space="preserve">NRR</w:t>
      </w:r>
    </w:p>
    <w:p>
      <w:pPr>
        <w:pStyle w:val="BodyText"/>
      </w:pPr>
      <w:r>
        <w:t xml:space="preserve">2004</w:t>
      </w:r>
    </w:p>
    <w:p>
      <w:pPr>
        <w:pStyle w:val="BodyText"/>
      </w:pPr>
      <w:r>
        <w:t xml:space="preserve">1,178</w:t>
      </w:r>
    </w:p>
    <w:p>
      <w:pPr>
        <w:pStyle w:val="BodyText"/>
      </w:pPr>
      <w:r>
        <w:t xml:space="preserve">62</w:t>
      </w:r>
    </w:p>
    <w:p>
      <w:pPr>
        <w:pStyle w:val="BodyText"/>
      </w:pPr>
      <w:r>
        <w:t xml:space="preserve">2005</w:t>
      </w:r>
    </w:p>
    <w:p>
      <w:pPr>
        <w:pStyle w:val="BodyText"/>
      </w:pPr>
      <w:r>
        <w:t xml:space="preserve">1,366</w:t>
      </w:r>
    </w:p>
    <w:p>
      <w:pPr>
        <w:pStyle w:val="BodyText"/>
      </w:pPr>
      <w:r>
        <w:t xml:space="preserve">56</w:t>
      </w:r>
    </w:p>
    <w:p>
      <w:pPr>
        <w:pStyle w:val="BodyText"/>
      </w:pPr>
      <w:r>
        <w:t xml:space="preserve">2006</w:t>
      </w:r>
    </w:p>
    <w:p>
      <w:pPr>
        <w:pStyle w:val="BodyText"/>
      </w:pPr>
      <w:r>
        <w:t xml:space="preserve">694</w:t>
      </w:r>
    </w:p>
    <w:p>
      <w:pPr>
        <w:pStyle w:val="BodyText"/>
      </w:pPr>
      <w:r>
        <w:t xml:space="preserve">98</w:t>
      </w:r>
    </w:p>
    <w:p>
      <w:pPr>
        <w:pStyle w:val="BodyText"/>
      </w:pPr>
      <w:r>
        <w:t xml:space="preserve">2007</w:t>
      </w:r>
    </w:p>
    <w:p>
      <w:pPr>
        <w:pStyle w:val="BodyText"/>
      </w:pPr>
      <w:r>
        <w:t xml:space="preserve">1,634</w:t>
      </w:r>
    </w:p>
    <w:p>
      <w:pPr>
        <w:pStyle w:val="BodyText"/>
      </w:pPr>
      <w:r>
        <w:t xml:space="preserve">127</w:t>
      </w:r>
    </w:p>
    <w:p>
      <w:pPr>
        <w:pStyle w:val="BodyText"/>
      </w:pPr>
      <w:r>
        <w:t xml:space="preserve">2008</w:t>
      </w:r>
    </w:p>
    <w:p>
      <w:pPr>
        <w:pStyle w:val="BodyText"/>
      </w:pPr>
      <w:r>
        <w:t xml:space="preserve">1,055</w:t>
      </w:r>
    </w:p>
    <w:p>
      <w:pPr>
        <w:pStyle w:val="BodyText"/>
      </w:pPr>
      <w:r>
        <w:t xml:space="preserve">323</w:t>
      </w:r>
    </w:p>
    <w:p>
      <w:pPr>
        <w:pStyle w:val="BodyText"/>
      </w:pPr>
      <w:r>
        <w:t xml:space="preserve">2009</w:t>
      </w:r>
    </w:p>
    <w:p>
      <w:pPr>
        <w:pStyle w:val="BodyText"/>
      </w:pPr>
      <w:r>
        <w:t xml:space="preserve">2,096</w:t>
      </w:r>
    </w:p>
    <w:p>
      <w:pPr>
        <w:pStyle w:val="BodyText"/>
      </w:pPr>
      <w:r>
        <w:t xml:space="preserve">799</w:t>
      </w:r>
    </w:p>
    <w:p>
      <w:pPr>
        <w:pStyle w:val="BodyText"/>
      </w:pPr>
      <w:r>
        <w:t xml:space="preserve">2010</w:t>
      </w:r>
    </w:p>
    <w:p>
      <w:pPr>
        <w:pStyle w:val="BodyText"/>
      </w:pPr>
      <w:r>
        <w:t xml:space="preserve">977</w:t>
      </w:r>
    </w:p>
    <w:p>
      <w:pPr>
        <w:pStyle w:val="BodyText"/>
      </w:pPr>
      <w:r>
        <w:t xml:space="preserve">0</w:t>
      </w:r>
    </w:p>
    <w:p>
      <w:pPr>
        <w:pStyle w:val="BodyText"/>
      </w:pPr>
      <w:r>
        <w:t xml:space="preserve">2011</w:t>
      </w:r>
    </w:p>
    <w:p>
      <w:pPr>
        <w:pStyle w:val="BodyText"/>
      </w:pPr>
      <w:r>
        <w:t xml:space="preserve">96</w:t>
      </w:r>
    </w:p>
    <w:p>
      <w:pPr>
        <w:pStyle w:val="BodyText"/>
      </w:pPr>
      <w:r>
        <w:t xml:space="preserve">3,554</w:t>
      </w:r>
    </w:p>
    <w:p>
      <w:pPr>
        <w:pStyle w:val="BodyText"/>
      </w:pPr>
      <w:r>
        <w:t xml:space="preserve">2012</w:t>
      </w:r>
    </w:p>
    <w:p>
      <w:pPr>
        <w:pStyle w:val="BodyText"/>
      </w:pPr>
      <w:r>
        <w:t xml:space="preserve">2,118</w:t>
      </w:r>
    </w:p>
    <w:p>
      <w:pPr>
        <w:pStyle w:val="BodyText"/>
      </w:pPr>
      <w:r>
        <w:t xml:space="preserve">1,272</w:t>
      </w:r>
    </w:p>
    <w:p>
      <w:pPr>
        <w:pStyle w:val="BodyText"/>
      </w:pPr>
      <w:r>
        <w:t xml:space="preserve">2013</w:t>
      </w:r>
    </w:p>
    <w:p>
      <w:pPr>
        <w:pStyle w:val="BodyText"/>
      </w:pPr>
      <w:r>
        <w:t xml:space="preserve">3,121</w:t>
      </w:r>
    </w:p>
    <w:p>
      <w:pPr>
        <w:pStyle w:val="BodyText"/>
      </w:pPr>
      <w:r>
        <w:t xml:space="preserve">2,550</w:t>
      </w:r>
    </w:p>
    <w:p>
      <w:pPr>
        <w:pStyle w:val="BodyText"/>
      </w:pPr>
      <w:r>
        <w:t xml:space="preserve">2014</w:t>
      </w:r>
    </w:p>
    <w:p>
      <w:pPr>
        <w:pStyle w:val="BodyText"/>
      </w:pPr>
      <w:r>
        <w:t xml:space="preserve">4,905</w:t>
      </w:r>
    </w:p>
    <w:p>
      <w:pPr>
        <w:pStyle w:val="BodyText"/>
      </w:pPr>
      <w:r>
        <w:t xml:space="preserve">2,580</w:t>
      </w:r>
    </w:p>
    <w:p>
      <w:pPr>
        <w:pStyle w:val="BodyText"/>
      </w:pPr>
      <w:r>
        <w:t xml:space="preserve">2015</w:t>
      </w:r>
    </w:p>
    <w:p>
      <w:pPr>
        <w:pStyle w:val="BodyText"/>
      </w:pPr>
      <w:r>
        <w:t xml:space="preserve">3,510</w:t>
      </w:r>
    </w:p>
    <w:p>
      <w:pPr>
        <w:pStyle w:val="BodyText"/>
      </w:pPr>
      <w:r>
        <w:t xml:space="preserve">2,275</w:t>
      </w:r>
    </w:p>
    <w:p>
      <w:pPr>
        <w:pStyle w:val="BodyText"/>
      </w:pPr>
      <w:r>
        <w:t xml:space="preserve">2016</w:t>
      </w:r>
    </w:p>
    <w:p>
      <w:pPr>
        <w:pStyle w:val="BodyText"/>
      </w:pPr>
      <w:r>
        <w:t xml:space="preserve">4,927</w:t>
      </w:r>
    </w:p>
    <w:p>
      <w:pPr>
        <w:pStyle w:val="BodyText"/>
      </w:pPr>
      <w:r>
        <w:t xml:space="preserve">1,531</w:t>
      </w:r>
    </w:p>
    <w:p>
      <w:pPr>
        <w:pStyle w:val="BodyText"/>
      </w:pPr>
      <w:r>
        <w:t xml:space="preserve">2017</w:t>
      </w:r>
    </w:p>
    <w:p>
      <w:pPr>
        <w:pStyle w:val="BodyText"/>
      </w:pPr>
      <w:r>
        <w:t xml:space="preserve">3,202</w:t>
      </w:r>
    </w:p>
    <w:p>
      <w:pPr>
        <w:pStyle w:val="BodyText"/>
      </w:pPr>
      <w:r>
        <w:t xml:space="preserve">1,667</w:t>
      </w:r>
    </w:p>
    <w:p>
      <w:pPr>
        <w:pStyle w:val="BodyText"/>
      </w:pPr>
      <w:r>
        <w:t xml:space="preserve">2018</w:t>
      </w:r>
    </w:p>
    <w:p>
      <w:pPr>
        <w:pStyle w:val="BodyText"/>
      </w:pPr>
      <w:r>
        <w:t xml:space="preserve">3,325</w:t>
      </w:r>
    </w:p>
    <w:p>
      <w:pPr>
        <w:pStyle w:val="BodyText"/>
      </w:pPr>
      <w:r>
        <w:t xml:space="preserve">1,742</w:t>
      </w:r>
    </w:p>
    <w:p>
      <w:pPr>
        <w:pStyle w:val="BodyText"/>
      </w:pPr>
      <w:r>
        <w:t xml:space="preserve">2019</w:t>
      </w:r>
    </w:p>
    <w:p>
      <w:pPr>
        <w:pStyle w:val="BodyText"/>
      </w:pPr>
      <w:r>
        <w:t xml:space="preserve">3,814</w:t>
      </w:r>
    </w:p>
    <w:p>
      <w:pPr>
        <w:pStyle w:val="BodyText"/>
      </w:pPr>
      <w:r>
        <w:t xml:space="preserve">0</w:t>
      </w:r>
    </w:p>
    <w:p>
      <w:pPr>
        <w:pStyle w:val="BodyText"/>
      </w:pPr>
      <w:r>
        <w:t xml:space="preserve">Total</w:t>
      </w:r>
    </w:p>
    <w:p>
      <w:pPr>
        <w:pStyle w:val="BodyText"/>
      </w:pPr>
      <w:r>
        <w:t xml:space="preserve">38,018</w:t>
      </w:r>
    </w:p>
    <w:p>
      <w:pPr>
        <w:pStyle w:val="BodyText"/>
      </w:pPr>
      <w:r>
        <w:t xml:space="preserve">18,636</w:t>
      </w:r>
    </w:p>
    <w:p>
      <w:pPr>
        <w:pStyle w:val="CaptionedFigure"/>
      </w:pPr>
      <w:r>
        <w:drawing>
          <wp:inline>
            <wp:extent cx="5504749" cy="3669832"/>
            <wp:effectExtent b="0" l="0" r="0" t="0"/>
            <wp:docPr descr="Figure 1: Separation of natal-reach rearing (NRR) and downstream-rearing (DSR) types of Chinook salmon based on length and time of capture at the lower Lemhi rotary screw trap, brood years 2004-2019. Vertical lines indicate the period of time when the two strategies overlapped." title="" id="1" name="Picture"/>
            <a:graphic>
              <a:graphicData uri="http://schemas.openxmlformats.org/drawingml/2006/picture">
                <pic:pic>
                  <pic:nvPicPr>
                    <pic:cNvPr descr="C:/Git/Lemhi_RME/analysis/figures/lem-size-date-fig-1.png" id="0" name="Picture"/>
                    <pic:cNvPicPr>
                      <a:picLocks noChangeArrowheads="1" noChangeAspect="1"/>
                    </pic:cNvPicPr>
                  </pic:nvPicPr>
                  <pic:blipFill>
                    <a:blip r:embed="rId24"/>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1: Separation of natal-reach rearing (NRR) and downstream-rearing (DSR) types of Chinook salmon based on length and time of capture at the lower Lemhi rotary screw trap, brood years 2004-2019. Vertical lines indicate the period of time when the two strategies overlapped.</w:t>
      </w:r>
    </w:p>
    <w:bookmarkEnd w:id="25"/>
    <w:bookmarkStart w:id="26" w:name="abundance"/>
    <w:p>
      <w:pPr>
        <w:pStyle w:val="Heading2"/>
      </w:pPr>
      <w:r>
        <w:t xml:space="preserve">Abundance</w:t>
      </w:r>
    </w:p>
    <w:p>
      <w:pPr>
        <w:pStyle w:val="FirstParagraph"/>
      </w:pPr>
      <w:r>
        <w:t xml:space="preserve">Estimates of emigrant abundance at the lower Lemhi River rotary screw trap (LLRTP) by brood year and life stage were provided by the Idaho Department of Fish and Game (S. Meyer, personal communication, April 4, 2022) which were summarized from annual reports</w:t>
      </w:r>
      <w:r>
        <w:t xml:space="preserve"> </w:t>
      </w:r>
      <w:r>
        <w:t xml:space="preserve">(e.g., Poole et al. 2019; Feeken et al. 2020; McClure et al. 2021)</w:t>
      </w:r>
      <w:r>
        <w:t xml:space="preserve">. Detailed methods are provided by</w:t>
      </w:r>
      <w:r>
        <w:t xml:space="preserve"> </w:t>
      </w:r>
      <w:r>
        <w:t xml:space="preserve">Copeland et al. (2021)</w:t>
      </w:r>
      <w:r>
        <w:t xml:space="preserve">. Briefly, the spring trapping period occurs through June 30 and is dominated by age-1 smolts which will be emigrating past Lower Granite Dam and Bonneville Dam the same year. Age-0 fry can also be captured during the spring period, but are differentiated from smolts based on size. The summer parr period is July 1 through August 31. The fall presmolt period is September 1 through the end of the year. Seasonal abundance by life stage are calculated by stratifying fish into smaller date ranges based on recapture efficiency of the trap and processing the strata in R statistical software</w:t>
      </w:r>
      <w:r>
        <w:t xml:space="preserve"> </w:t>
      </w:r>
      <w:r>
        <w:t xml:space="preserve">(R Core Team 2021)</w:t>
      </w:r>
      <w:r>
        <w:t xml:space="preserve">.</w:t>
      </w:r>
    </w:p>
    <w:p>
      <w:pPr>
        <w:pStyle w:val="BodyText"/>
      </w:pPr>
      <w:r>
        <w:t xml:space="preserve">Emigrant abundance estimates from trap operations were estimated using the stratified Lincoln-Peterson estimator with Bailey’s modification:</w:t>
      </w:r>
    </w:p>
    <w:p>
      <w:pPr>
        <w:pStyle w:val="BodyText"/>
      </w:pPr>
      <m:oMathPara>
        <m:oMathParaPr>
          <m:jc m:val="center"/>
        </m:oMathParaPr>
        <m:oMath>
          <m:acc>
            <m:accPr>
              <m:chr m:val="̂"/>
            </m:accPr>
            <m:e>
              <m:r>
                <m:t>N</m:t>
              </m:r>
            </m:e>
          </m:acc>
          <m:r>
            <m:rPr>
              <m:sty m:val="p"/>
            </m:rPr>
            <m:t>=</m:t>
          </m:r>
          <m:nary>
            <m:naryPr>
              <m:chr m:val="∑"/>
              <m:limLoc m:val="undOvr"/>
              <m:subHide m:val="0"/>
              <m:supHide m:val="0"/>
            </m:naryPr>
            <m:sub>
              <m:r>
                <m:t>i</m:t>
              </m:r>
              <m:r>
                <m:rPr>
                  <m:sty m:val="p"/>
                </m:rPr>
                <m:t>=</m:t>
              </m:r>
              <m:r>
                <m:t>1</m:t>
              </m:r>
            </m:sub>
            <m:sup>
              <m:r>
                <m:t>k</m:t>
              </m:r>
            </m:sup>
            <m:e>
              <m:sSub>
                <m:e>
                  <m:r>
                    <m:t>c</m:t>
                  </m:r>
                </m:e>
                <m:sub>
                  <m:r>
                    <m:t>i</m:t>
                  </m:r>
                </m:sub>
              </m:sSub>
            </m:e>
          </m:nary>
          <m:d>
            <m:dPr>
              <m:begChr m:val="("/>
              <m:endChr m:val=")"/>
              <m:sepChr m:val=""/>
              <m:grow/>
            </m:dPr>
            <m:e>
              <m:sSub>
                <m:e>
                  <m:r>
                    <m:t>m</m:t>
                  </m:r>
                </m:e>
                <m:sub>
                  <m:r>
                    <m:t>i</m:t>
                  </m:r>
                </m:sub>
              </m:sSub>
              <m:r>
                <m:rPr>
                  <m:sty m:val="p"/>
                </m:rPr>
                <m:t>+</m:t>
              </m:r>
              <m:r>
                <m:t>1</m:t>
              </m:r>
            </m:e>
          </m:d>
          <m:d>
            <m:dPr>
              <m:begChr m:val="("/>
              <m:endChr m:val=")"/>
              <m:sepChr m:val=""/>
              <m:grow/>
            </m:dPr>
            <m:e>
              <m:sSub>
                <m:e>
                  <m:r>
                    <m:t>r</m:t>
                  </m:r>
                </m:e>
                <m:sub>
                  <m:r>
                    <m:t>i</m:t>
                  </m:r>
                </m:sub>
              </m:sSub>
              <m:r>
                <m:rPr>
                  <m:sty m:val="p"/>
                </m:rPr>
                <m:t>+</m:t>
              </m:r>
              <m:r>
                <m:t>1</m:t>
              </m:r>
            </m:e>
          </m:d>
        </m:oMath>
      </m:oMathPara>
    </w:p>
    <w:p>
      <w:pPr>
        <w:pStyle w:val="FirstParagraph"/>
      </w:pPr>
      <w:r>
        <w:t xml:space="preserve">where</w:t>
      </w:r>
      <w:r>
        <w:t xml:space="preserve"> </w:t>
      </w:r>
      <m:oMath>
        <m:acc>
          <m:accPr>
            <m:chr m:val="̂"/>
          </m:accPr>
          <m:e>
            <m:r>
              <m:t>N</m:t>
            </m:r>
          </m:e>
        </m:acc>
      </m:oMath>
      <w:r>
        <w:t xml:space="preserve"> </w:t>
      </w:r>
      <w:r>
        <w:t xml:space="preserve">is the estimate of abundance in a given season or year,</w:t>
      </w:r>
      <w:r>
        <w:t xml:space="preserve"> </w:t>
      </w:r>
      <m:oMath>
        <m:r>
          <m:t>i</m:t>
        </m:r>
      </m:oMath>
      <w:r>
        <w:t xml:space="preserve"> </w:t>
      </w:r>
      <w:r>
        <w:t xml:space="preserve">is season,</w:t>
      </w:r>
      <w:r>
        <w:t xml:space="preserve"> </w:t>
      </w:r>
      <m:oMath>
        <m:sSub>
          <m:e>
            <m:r>
              <m:t>c</m:t>
            </m:r>
          </m:e>
          <m:sub>
            <m:r>
              <m:t>i</m:t>
            </m:r>
          </m:sub>
        </m:sSub>
      </m:oMath>
      <w:r>
        <w:t xml:space="preserve"> </w:t>
      </w:r>
      <w:r>
        <w:t xml:space="preserve">is the number of all unique fish captures in season</w:t>
      </w:r>
      <w:r>
        <w:t xml:space="preserve"> </w:t>
      </w:r>
      <m:oMath>
        <m:r>
          <m:t>i</m:t>
        </m:r>
      </m:oMath>
      <w:r>
        <w:t xml:space="preserve">,</w:t>
      </w:r>
      <w:r>
        <w:t xml:space="preserve"> </w:t>
      </w:r>
      <m:oMath>
        <m:sSub>
          <m:e>
            <m:r>
              <m:t>m</m:t>
            </m:r>
          </m:e>
          <m:sub>
            <m:r>
              <m:t>i</m:t>
            </m:r>
          </m:sub>
        </m:sSub>
      </m:oMath>
      <w:r>
        <w:t xml:space="preserve"> </w:t>
      </w:r>
      <w:r>
        <w:t xml:space="preserve">is the number of tagged fish released in season</w:t>
      </w:r>
      <w:r>
        <w:t xml:space="preserve"> </w:t>
      </w:r>
      <m:oMath>
        <m:r>
          <m:t>i</m:t>
        </m:r>
      </m:oMath>
      <w:r>
        <w:t xml:space="preserve">, and</w:t>
      </w:r>
      <w:r>
        <w:t xml:space="preserve"> </w:t>
      </w:r>
      <m:oMath>
        <m:sSub>
          <m:e>
            <m:r>
              <m:t>r</m:t>
            </m:r>
          </m:e>
          <m:sub>
            <m:r>
              <m:t>i</m:t>
            </m:r>
          </m:sub>
        </m:sSub>
      </m:oMath>
      <w:r>
        <w:t xml:space="preserve"> </w:t>
      </w:r>
      <w:r>
        <w:t xml:space="preserve">is the number of recaptures in season</w:t>
      </w:r>
      <w:r>
        <w:t xml:space="preserve"> </w:t>
      </w:r>
      <m:oMath>
        <m:r>
          <m:t>i</m:t>
        </m:r>
      </m:oMath>
      <w:r>
        <w:t xml:space="preserve"> </w:t>
      </w:r>
      <w:r>
        <w:t xml:space="preserve">(Bailey 1951)</w:t>
      </w:r>
      <w:r>
        <w:t xml:space="preserve">. The estimator is computed using an interative maximization of the log likelihood</w:t>
      </w:r>
      <w:r>
        <w:t xml:space="preserve"> </w:t>
      </w:r>
      <w:r>
        <w:t xml:space="preserve">(Steinhorst et al. 2004)</w:t>
      </w:r>
      <w:r>
        <w:t xml:space="preserve">. The method assumes that fish are captured independently with probability</w:t>
      </w:r>
      <w:r>
        <w:t xml:space="preserve"> </w:t>
      </w:r>
      <m:oMath>
        <m:r>
          <m:t>p</m:t>
        </m:r>
      </m:oMath>
      <w:r>
        <w:t xml:space="preserve"> </w:t>
      </w:r>
      <w:r>
        <w:t xml:space="preserve">(equivalent to trap efficiency) and tagged fish mix thoroughly with untagged fish. The 95% confidence intervals were computed using 10,000 bootstraps</w:t>
      </w:r>
      <w:r>
        <w:t xml:space="preserve"> </w:t>
      </w:r>
      <w:r>
        <w:t xml:space="preserve">(Steinhorst et al. 2004)</w:t>
      </w:r>
      <w:r>
        <w:t xml:space="preserve">. Emigrant abundance estimates do not account for periods where the trap was not in operation. DSR abundance includes both parr and presmolt abundance whereas NRR abundance includes only smolts.</w:t>
      </w:r>
    </w:p>
    <w:bookmarkEnd w:id="26"/>
    <w:bookmarkStart w:id="27" w:name="body-condition"/>
    <w:p>
      <w:pPr>
        <w:pStyle w:val="Heading2"/>
      </w:pPr>
      <w:r>
        <w:t xml:space="preserve">Body Condition</w:t>
      </w:r>
    </w:p>
    <w:p>
      <w:pPr>
        <w:pStyle w:val="FirstParagraph"/>
      </w:pPr>
      <w:r>
        <w:t xml:space="preserve">We investigated differences in fork length (mm) and Fulton’s body condition factor</w:t>
      </w:r>
      <w:r>
        <w:t xml:space="preserve"> </w:t>
      </w:r>
      <m:oMath>
        <m:r>
          <m:t>K</m:t>
        </m:r>
      </m:oMath>
      <w:r>
        <w:t xml:space="preserve"> </w:t>
      </w:r>
      <w:r>
        <w:t xml:space="preserve">(Fulton 1904)</w:t>
      </w:r>
      <w:r>
        <w:t xml:space="preserve"> </w:t>
      </w:r>
      <w:r>
        <w:t xml:space="preserve">between DSR and NRR Chinook salmon captured at the lower Lemhi rotary screw trap (LLRTP). Fulton’s body condition factor</w:t>
      </w:r>
      <w:r>
        <w:t xml:space="preserve"> </w:t>
      </w:r>
      <m:oMath>
        <m:r>
          <m:t>K</m:t>
        </m:r>
      </m:oMath>
      <w:r>
        <w:t xml:space="preserve"> </w:t>
      </w:r>
      <w:r>
        <w:t xml:space="preserve">is estimated as:</w:t>
      </w:r>
    </w:p>
    <w:p>
      <w:pPr>
        <w:pStyle w:val="BodyText"/>
      </w:pPr>
      <m:oMathPara>
        <m:oMathParaPr>
          <m:jc m:val="center"/>
        </m:oMathParaPr>
        <m:oMath>
          <m:r>
            <m:t>K</m:t>
          </m:r>
          <m:r>
            <m:rPr>
              <m:sty m:val="p"/>
            </m:rPr>
            <m:t>=</m:t>
          </m:r>
          <m:f>
            <m:fPr>
              <m:type m:val="bar"/>
            </m:fPr>
            <m:num>
              <m:sSup>
                <m:e>
                  <m:r>
                    <m:t>10</m:t>
                  </m:r>
                </m:e>
                <m:sup>
                  <m:r>
                    <m:t>N</m:t>
                  </m:r>
                </m:sup>
              </m:sSup>
              <m:r>
                <m:t>W</m:t>
              </m:r>
            </m:num>
            <m:den>
              <m:sSup>
                <m:e>
                  <m:r>
                    <m:t>L</m:t>
                  </m:r>
                </m:e>
                <m:sup>
                  <m:r>
                    <m:t>3</m:t>
                  </m:r>
                </m:sup>
              </m:sSup>
            </m:den>
          </m:f>
        </m:oMath>
      </m:oMathPara>
    </w:p>
    <w:p>
      <w:pPr>
        <w:pStyle w:val="FirstParagraph"/>
      </w:pPr>
      <w:r>
        <w:t xml:space="preserve">where</w:t>
      </w:r>
      <w:r>
        <w:t xml:space="preserve"> </w:t>
      </w:r>
      <m:oMath>
        <m:r>
          <m:t>W</m:t>
        </m:r>
      </m:oMath>
      <w:r>
        <w:t xml:space="preserve"> </w:t>
      </w:r>
      <w:r>
        <w:t xml:space="preserve">is the weight in grams and</w:t>
      </w:r>
      <w:r>
        <w:t xml:space="preserve"> </w:t>
      </w:r>
      <m:oMath>
        <m:r>
          <m:t>L</m:t>
        </m:r>
      </m:oMath>
      <w:r>
        <w:t xml:space="preserve"> </w:t>
      </w:r>
      <w:r>
        <w:t xml:space="preserve">is the fork length of the fish in millimeters.</w:t>
      </w:r>
      <w:r>
        <w:t xml:space="preserve"> </w:t>
      </w:r>
      <m:oMath>
        <m:r>
          <m:t>N</m:t>
        </m:r>
      </m:oMath>
      <w:r>
        <w:t xml:space="preserve"> </w:t>
      </w:r>
      <w:r>
        <w:t xml:space="preserve">is a constant for normalizing</w:t>
      </w:r>
      <w:r>
        <w:t xml:space="preserve"> </w:t>
      </w:r>
      <m:oMath>
        <m:r>
          <m:t>K</m:t>
        </m:r>
      </m:oMath>
      <w:r>
        <w:t xml:space="preserve"> </w:t>
      </w:r>
      <w:r>
        <w:t xml:space="preserve">within reasonable values; we used an</w:t>
      </w:r>
      <w:r>
        <w:t xml:space="preserve"> </w:t>
      </w:r>
      <m:oMath>
        <m:r>
          <m:t>N</m:t>
        </m:r>
        <m:r>
          <m:rPr>
            <m:sty m:val="p"/>
          </m:rPr>
          <m:t>=</m:t>
        </m:r>
        <m:r>
          <m:t>5</m:t>
        </m:r>
      </m:oMath>
      <w:r>
        <w:t xml:space="preserve"> </w:t>
      </w:r>
      <w:r>
        <w:t xml:space="preserve">which is typical for salmonids.</w:t>
      </w:r>
    </w:p>
    <w:bookmarkEnd w:id="27"/>
    <w:bookmarkStart w:id="28" w:name="arrival-timing"/>
    <w:p>
      <w:pPr>
        <w:pStyle w:val="Heading2"/>
      </w:pPr>
      <w:r>
        <w:t xml:space="preserve">Arrival Timing</w:t>
      </w:r>
    </w:p>
    <w:p>
      <w:pPr>
        <w:pStyle w:val="FirstParagraph"/>
      </w:pPr>
      <w:r>
        <w:t xml:space="preserve">We also investigate the difference in arrival timing between DSR and NRR Chinook salmon to Lower Granite Dam as juveniles, to Bonneville Dam as juveniles, and further, back to Bonneville Dam as adults. Our assessment of arrival timing relies on tags that were detected at GRJ, BOJ, or BON, respectively. We converted the dates of detection to Julian day, and calculated the mean arrival day for each life-history strategy and brood year combination. We then estimated the mean arrival day of each strategy across all brood years. For arrivals at Bonneville, detections were based only observations at Bonneville Dam, not using the consolidated nodes as described in the</w:t>
      </w:r>
      <w:r>
        <w:t xml:space="preserve"> </w:t>
      </w:r>
      <w:hyperlink w:anchor="survival">
        <w:r>
          <w:rPr>
            <w:rStyle w:val="Hyperlink"/>
          </w:rPr>
          <w:t xml:space="preserve">Survival</w:t>
        </w:r>
      </w:hyperlink>
      <w:r>
        <w:t xml:space="preserve"> </w:t>
      </w:r>
      <w:r>
        <w:t xml:space="preserve">section. We hypothesize that DSR juveniles will arrive to LGR and BOJ sooner due to starting closer to those locations in the spring; however, we expect no difference in arrival timing of adults to Bonneville Dam after their duration in the ocean.</w:t>
      </w:r>
    </w:p>
    <w:bookmarkEnd w:id="28"/>
    <w:bookmarkStart w:id="29" w:name="survival"/>
    <w:p>
      <w:pPr>
        <w:pStyle w:val="Heading2"/>
      </w:pPr>
      <w:r>
        <w:t xml:space="preserve">Survival</w:t>
      </w:r>
    </w:p>
    <w:p>
      <w:pPr>
        <w:pStyle w:val="FirstParagraph"/>
      </w:pPr>
      <w:r>
        <w:t xml:space="preserve">We estimated survival with a Cormack-Jolly-Seber (CJS) model</w:t>
      </w:r>
      <w:r>
        <w:t xml:space="preserve"> </w:t>
      </w:r>
      <w:r>
        <w:t xml:space="preserve">(Lebreton et al. 1992)</w:t>
      </w:r>
      <w:r>
        <w:t xml:space="preserve">. We consolidated all the detection sites from the lower Lemhi River RST (LLRTP) and downstream into 6</w:t>
      </w:r>
      <w:r>
        <w:t xml:space="preserve"> </w:t>
      </w:r>
      <w:r>
        <w:t xml:space="preserve">“</w:t>
      </w:r>
      <w:r>
        <w:t xml:space="preserve">nodes</w:t>
      </w:r>
      <w:r>
        <w:t xml:space="preserve">”</w:t>
      </w:r>
      <w:r>
        <w:t xml:space="preserve">:</w:t>
      </w:r>
    </w:p>
    <w:p>
      <w:pPr>
        <w:numPr>
          <w:ilvl w:val="0"/>
          <w:numId w:val="1007"/>
        </w:numPr>
        <w:pStyle w:val="Compact"/>
      </w:pPr>
      <w:r>
        <w:t xml:space="preserve">LLRTP (lower Lemhi River screw trap)</w:t>
      </w:r>
    </w:p>
    <w:p>
      <w:pPr>
        <w:numPr>
          <w:ilvl w:val="0"/>
          <w:numId w:val="1007"/>
        </w:numPr>
        <w:pStyle w:val="Compact"/>
      </w:pPr>
      <w:r>
        <w:t xml:space="preserve">GRJ (juvenile detections at Lower Granite)</w:t>
      </w:r>
    </w:p>
    <w:p>
      <w:pPr>
        <w:numPr>
          <w:ilvl w:val="0"/>
          <w:numId w:val="1007"/>
        </w:numPr>
        <w:pStyle w:val="Compact"/>
      </w:pPr>
      <w:r>
        <w:t xml:space="preserve">BOJ (juvenile detections at Bonneville)</w:t>
      </w:r>
    </w:p>
    <w:p>
      <w:pPr>
        <w:numPr>
          <w:ilvl w:val="0"/>
          <w:numId w:val="1007"/>
        </w:numPr>
        <w:pStyle w:val="Compact"/>
      </w:pPr>
      <w:r>
        <w:t xml:space="preserve">BON (adult detections at Bonneville)</w:t>
      </w:r>
    </w:p>
    <w:p>
      <w:pPr>
        <w:numPr>
          <w:ilvl w:val="0"/>
          <w:numId w:val="1007"/>
        </w:numPr>
        <w:pStyle w:val="Compact"/>
      </w:pPr>
      <w:r>
        <w:t xml:space="preserve">GRA (adult detections at GRA)</w:t>
      </w:r>
    </w:p>
    <w:p>
      <w:pPr>
        <w:numPr>
          <w:ilvl w:val="0"/>
          <w:numId w:val="1007"/>
        </w:numPr>
        <w:pStyle w:val="Compact"/>
      </w:pPr>
      <w:r>
        <w:t xml:space="preserve">above_GRA (any adult detection upstream of GRA)</w:t>
      </w:r>
    </w:p>
    <w:p>
      <w:pPr>
        <w:pStyle w:val="FirstParagraph"/>
      </w:pPr>
      <w:r>
        <w:t xml:space="preserve">We included</w:t>
      </w:r>
      <w:r>
        <w:t xml:space="preserve"> </w:t>
      </w:r>
      <w:r>
        <w:t xml:space="preserve">“</w:t>
      </w:r>
      <w:r>
        <w:t xml:space="preserve">above_GRA</w:t>
      </w:r>
      <w:r>
        <w:t xml:space="preserve">”</w:t>
      </w:r>
      <w:r>
        <w:t xml:space="preserve"> </w:t>
      </w:r>
      <w:r>
        <w:t xml:space="preserve">so we could estimate survival and detection to GRA, since the last survival and detection parameters are confounded in a CJS model.</w:t>
      </w:r>
    </w:p>
    <w:p>
      <w:pPr>
        <w:pStyle w:val="BodyText"/>
      </w:pPr>
      <w:r>
        <w:t xml:space="preserve">After consolidation, we had a capture history for every tag consisting of 6 columns. We also had an assigned life-history (DSR or NRR) to each tag. We fit a CJS model to each brood year, independently, estimating separate survival (</w:t>
      </w:r>
      <m:oMath>
        <m:r>
          <m:t>ϕ</m:t>
        </m:r>
      </m:oMath>
      <w:r>
        <w:t xml:space="preserve">) and detection (</w:t>
      </w:r>
      <m:oMath>
        <m:r>
          <m:t>p</m:t>
        </m:r>
      </m:oMath>
      <w:r>
        <w:t xml:space="preserve">) parameters for each life stage between or at each node. This resulted in</w:t>
      </w:r>
      <w:r>
        <w:t xml:space="preserve"> </w:t>
      </w:r>
      <m:oMath>
        <m:r>
          <m:t>4</m:t>
        </m:r>
        <m:r>
          <m:rPr>
            <m:sty m:val="p"/>
          </m:rPr>
          <m:t>×</m:t>
        </m:r>
        <m:r>
          <m:t>2</m:t>
        </m:r>
        <m:r>
          <m:rPr>
            <m:sty m:val="p"/>
          </m:rPr>
          <m:t>=</m:t>
        </m:r>
        <m:r>
          <m:t>8</m:t>
        </m:r>
      </m:oMath>
      <w:r>
        <w:t xml:space="preserve"> </w:t>
      </w:r>
      <m:oMath>
        <m:r>
          <m:t>ϕ</m:t>
        </m:r>
      </m:oMath>
      <w:r>
        <w:t xml:space="preserve">’s and</w:t>
      </w:r>
      <w:r>
        <w:t xml:space="preserve"> </w:t>
      </w:r>
      <m:oMath>
        <m:r>
          <m:t>p</m:t>
        </m:r>
      </m:oMath>
      <w:r>
        <w:t xml:space="preserve">’s, as the</w:t>
      </w:r>
      <w:r>
        <w:t xml:space="preserve"> </w:t>
      </w:r>
      <w:r>
        <w:rPr>
          <w:iCs/>
          <w:i/>
        </w:rPr>
        <w:t xml:space="preserve">GRA-to-above_GRA</w:t>
      </w:r>
      <w:r>
        <w:t xml:space="preserve"> </w:t>
      </w:r>
      <m:oMath>
        <m:r>
          <m:t>ϕ</m:t>
        </m:r>
      </m:oMath>
      <w:r>
        <w:t xml:space="preserve"> </w:t>
      </w:r>
      <w:r>
        <w:t xml:space="preserve">and</w:t>
      </w:r>
      <w:r>
        <w:t xml:space="preserve"> </w:t>
      </w:r>
      <w:r>
        <w:rPr>
          <w:iCs/>
          <w:i/>
        </w:rPr>
        <w:t xml:space="preserve">above_GRA</w:t>
      </w:r>
      <w:r>
        <w:t xml:space="preserve"> </w:t>
      </w:r>
      <m:oMath>
        <m:r>
          <m:t>p</m:t>
        </m:r>
      </m:oMath>
      <w:r>
        <w:t xml:space="preserve"> </w:t>
      </w:r>
      <w:r>
        <w:t xml:space="preserve">are confounded, and the</w:t>
      </w:r>
      <w:r>
        <w:t xml:space="preserve"> </w:t>
      </w:r>
      <m:oMath>
        <m:r>
          <m:t>p</m:t>
        </m:r>
      </m:oMath>
      <w:r>
        <w:t xml:space="preserve"> </w:t>
      </w:r>
      <w:r>
        <w:t xml:space="preserve">at</w:t>
      </w:r>
      <w:r>
        <w:t xml:space="preserve"> </w:t>
      </w:r>
      <w:r>
        <w:rPr>
          <w:iCs/>
          <w:i/>
        </w:rPr>
        <w:t xml:space="preserve">LLRTP</w:t>
      </w:r>
      <w:r>
        <w:t xml:space="preserve"> </w:t>
      </w:r>
      <w:r>
        <w:t xml:space="preserve">is essentially fixed at 100%.</w:t>
      </w:r>
    </w:p>
    <w:p>
      <w:pPr>
        <w:pStyle w:val="BodyText"/>
      </w:pPr>
      <w:r>
        <w:t xml:space="preserve">To examine the relative success of each life-history, we computed the log odds ratios of several combinations of</w:t>
      </w:r>
      <w:r>
        <w:t xml:space="preserve"> </w:t>
      </w:r>
      <m:oMath>
        <m:r>
          <m:t>ϕ</m:t>
        </m:r>
      </m:oMath>
      <w:r>
        <w:t xml:space="preserve">’s, including:</w:t>
      </w:r>
    </w:p>
    <w:p>
      <w:pPr>
        <w:numPr>
          <w:ilvl w:val="0"/>
          <w:numId w:val="1008"/>
        </w:numPr>
        <w:pStyle w:val="Compact"/>
      </w:pPr>
      <w:r>
        <w:t xml:space="preserve">Survival between LLRTP and GRJ</w:t>
      </w:r>
    </w:p>
    <w:p>
      <w:pPr>
        <w:numPr>
          <w:ilvl w:val="0"/>
          <w:numId w:val="1008"/>
        </w:numPr>
        <w:pStyle w:val="Compact"/>
      </w:pPr>
      <w:r>
        <w:t xml:space="preserve">Survival between GRJ and BOJ</w:t>
      </w:r>
    </w:p>
    <w:p>
      <w:pPr>
        <w:numPr>
          <w:ilvl w:val="0"/>
          <w:numId w:val="1008"/>
        </w:numPr>
        <w:pStyle w:val="Compact"/>
      </w:pPr>
      <w:r>
        <w:t xml:space="preserve">Survival between LLRTP and BOJ (</w:t>
      </w:r>
      <m:oMath>
        <m:sSub>
          <m:e>
            <m:r>
              <m:t>ϕ</m:t>
            </m:r>
          </m:e>
          <m:sub>
            <m:r>
              <m:t>1</m:t>
            </m:r>
          </m:sub>
        </m:sSub>
        <m:r>
          <m:rPr>
            <m:sty m:val="p"/>
          </m:rPr>
          <m:t>*</m:t>
        </m:r>
        <m:sSub>
          <m:e>
            <m:r>
              <m:t>ϕ</m:t>
            </m:r>
          </m:e>
          <m:sub>
            <m:r>
              <m:t>2</m:t>
            </m:r>
          </m:sub>
        </m:sSub>
      </m:oMath>
      <w:r>
        <w:t xml:space="preserve">)</w:t>
      </w:r>
    </w:p>
    <w:p>
      <w:pPr>
        <w:numPr>
          <w:ilvl w:val="0"/>
          <w:numId w:val="1008"/>
        </w:numPr>
        <w:pStyle w:val="Compact"/>
      </w:pPr>
      <w:r>
        <w:t xml:space="preserve">Survival between LLRTP and BON (</w:t>
      </w:r>
      <m:oMath>
        <m:sSub>
          <m:e>
            <m:r>
              <m:t>ϕ</m:t>
            </m:r>
          </m:e>
          <m:sub>
            <m:r>
              <m:t>1</m:t>
            </m:r>
          </m:sub>
        </m:sSub>
        <m:r>
          <m:rPr>
            <m:sty m:val="p"/>
          </m:rPr>
          <m:t>*</m:t>
        </m:r>
        <m:sSub>
          <m:e>
            <m:r>
              <m:t>ϕ</m:t>
            </m:r>
          </m:e>
          <m:sub>
            <m:r>
              <m:t>2</m:t>
            </m:r>
          </m:sub>
        </m:sSub>
        <m:r>
          <m:rPr>
            <m:sty m:val="p"/>
          </m:rPr>
          <m:t>*</m:t>
        </m:r>
        <m:sSub>
          <m:e>
            <m:r>
              <m:t>ϕ</m:t>
            </m:r>
          </m:e>
          <m:sub>
            <m:r>
              <m:t>3</m:t>
            </m:r>
          </m:sub>
        </m:sSub>
      </m:oMath>
      <w:r>
        <w:t xml:space="preserve">)</w:t>
      </w:r>
    </w:p>
    <w:p>
      <w:pPr>
        <w:numPr>
          <w:ilvl w:val="0"/>
          <w:numId w:val="1008"/>
        </w:numPr>
        <w:pStyle w:val="Compact"/>
      </w:pPr>
      <w:r>
        <w:t xml:space="preserve">Survival between LLRTP and GRA (</w:t>
      </w:r>
      <m:oMath>
        <m:sSub>
          <m:e>
            <m:r>
              <m:t>ϕ</m:t>
            </m:r>
          </m:e>
          <m:sub>
            <m:r>
              <m:t>1</m:t>
            </m:r>
          </m:sub>
        </m:sSub>
        <m:r>
          <m:rPr>
            <m:sty m:val="p"/>
          </m:rPr>
          <m:t>*</m:t>
        </m:r>
        <m:sSub>
          <m:e>
            <m:r>
              <m:t>ϕ</m:t>
            </m:r>
          </m:e>
          <m:sub>
            <m:r>
              <m:t>2</m:t>
            </m:r>
          </m:sub>
        </m:sSub>
        <m:r>
          <m:rPr>
            <m:sty m:val="p"/>
          </m:rPr>
          <m:t>*</m:t>
        </m:r>
        <m:sSub>
          <m:e>
            <m:r>
              <m:t>ϕ</m:t>
            </m:r>
          </m:e>
          <m:sub>
            <m:r>
              <m:t>3</m:t>
            </m:r>
          </m:sub>
        </m:sSub>
        <m:r>
          <m:rPr>
            <m:sty m:val="p"/>
          </m:rPr>
          <m:t>*</m:t>
        </m:r>
        <m:sSub>
          <m:e>
            <m:r>
              <m:t>ϕ</m:t>
            </m:r>
          </m:e>
          <m:sub>
            <m:r>
              <m:t>4</m:t>
            </m:r>
          </m:sub>
        </m:sSub>
      </m:oMath>
      <w:r>
        <w:t xml:space="preserve">)</w:t>
      </w:r>
    </w:p>
    <w:p>
      <w:pPr>
        <w:numPr>
          <w:ilvl w:val="0"/>
          <w:numId w:val="1008"/>
        </w:numPr>
        <w:pStyle w:val="Compact"/>
      </w:pPr>
      <w:r>
        <w:t xml:space="preserve">SAR for GRJ-to-BON (</w:t>
      </w:r>
      <m:oMath>
        <m:sSub>
          <m:e>
            <m:r>
              <m:t>ϕ</m:t>
            </m:r>
          </m:e>
          <m:sub>
            <m:r>
              <m:t>2</m:t>
            </m:r>
          </m:sub>
        </m:sSub>
        <m:r>
          <m:rPr>
            <m:sty m:val="p"/>
          </m:rPr>
          <m:t>*</m:t>
        </m:r>
        <m:sSub>
          <m:e>
            <m:r>
              <m:t>ϕ</m:t>
            </m:r>
          </m:e>
          <m:sub>
            <m:r>
              <m:t>3</m:t>
            </m:r>
          </m:sub>
        </m:sSub>
      </m:oMath>
      <w:r>
        <w:t xml:space="preserve">)</w:t>
      </w:r>
    </w:p>
    <w:p>
      <w:pPr>
        <w:numPr>
          <w:ilvl w:val="0"/>
          <w:numId w:val="1008"/>
        </w:numPr>
        <w:pStyle w:val="Compact"/>
      </w:pPr>
      <w:r>
        <w:t xml:space="preserve">SAR for GRJ-to-GRA (</w:t>
      </w:r>
      <m:oMath>
        <m:sSub>
          <m:e>
            <m:r>
              <m:t>ϕ</m:t>
            </m:r>
          </m:e>
          <m:sub>
            <m:r>
              <m:t>2</m:t>
            </m:r>
          </m:sub>
        </m:sSub>
        <m:r>
          <m:rPr>
            <m:sty m:val="p"/>
          </m:rPr>
          <m:t>*</m:t>
        </m:r>
        <m:sSub>
          <m:e>
            <m:r>
              <m:t>ϕ</m:t>
            </m:r>
          </m:e>
          <m:sub>
            <m:r>
              <m:t>3</m:t>
            </m:r>
          </m:sub>
        </m:sSub>
        <m:r>
          <m:rPr>
            <m:sty m:val="p"/>
          </m:rPr>
          <m:t>*</m:t>
        </m:r>
        <m:sSub>
          <m:e>
            <m:r>
              <m:t>ϕ</m:t>
            </m:r>
          </m:e>
          <m:sub>
            <m:r>
              <m:t>4</m:t>
            </m:r>
          </m:sub>
        </m:sSub>
      </m:oMath>
      <w:r>
        <w:t xml:space="preserve">)</w:t>
      </w:r>
    </w:p>
    <w:p>
      <w:pPr>
        <w:pStyle w:val="FirstParagraph"/>
      </w:pPr>
      <w:r>
        <w:t xml:space="preserve">The log odds ratio of any combination of</w:t>
      </w:r>
      <w:r>
        <w:t xml:space="preserve"> </w:t>
      </w:r>
      <m:oMath>
        <m:r>
          <m:t>k</m:t>
        </m:r>
      </m:oMath>
      <w:r>
        <w:t xml:space="preserve"> </w:t>
      </w:r>
      <w:r>
        <w:t xml:space="preserve">survival parameters is computed as</w:t>
      </w:r>
    </w:p>
    <w:p>
      <w:pPr>
        <w:pStyle w:val="BodyText"/>
      </w:pPr>
      <m:oMathPara>
        <m:oMathParaPr>
          <m:jc m:val="center"/>
        </m:oMathParaPr>
        <m:oMath>
          <m:r>
            <m:rPr>
              <m:nor/>
              <m:sty m:val="p"/>
            </m:rPr>
            <m:t>log</m:t>
          </m:r>
          <m:d>
            <m:dPr>
              <m:begChr m:val="("/>
              <m:endChr m:val=")"/>
              <m:sepChr m:val=""/>
              <m:grow/>
            </m:dPr>
            <m:e>
              <m:r>
                <m:t>O</m:t>
              </m:r>
              <m:r>
                <m:t>R</m:t>
              </m:r>
            </m:e>
          </m:d>
          <m:r>
            <m:rPr>
              <m:sty m:val="p"/>
            </m:rPr>
            <m:t>=</m:t>
          </m:r>
          <m:r>
            <m:rPr>
              <m:nor/>
              <m:sty m:val="p"/>
            </m:rPr>
            <m:t>log</m:t>
          </m:r>
          <m:d>
            <m:dPr>
              <m:begChr m:val="("/>
              <m:endChr m:val=")"/>
              <m:sepChr m:val=""/>
              <m:grow/>
            </m:dPr>
            <m:e>
              <m:f>
                <m:fPr>
                  <m:type m:val="bar"/>
                </m:fPr>
                <m:num>
                  <m:nary>
                    <m:naryPr>
                      <m:chr m:val="∏"/>
                      <m:limLoc m:val="undOvr"/>
                      <m:subHide m:val="0"/>
                      <m:supHide m:val="0"/>
                    </m:naryPr>
                    <m:sub>
                      <m:r>
                        <m:t>i</m:t>
                      </m:r>
                    </m:sub>
                    <m:sup>
                      <m:r>
                        <m:t>k</m:t>
                      </m:r>
                    </m:sup>
                    <m:e>
                      <m:sSub>
                        <m:e>
                          <m:r>
                            <m:t>ϕ</m:t>
                          </m:r>
                        </m:e>
                        <m:sub>
                          <m:r>
                            <m:t>i</m:t>
                          </m:r>
                          <m:r>
                            <m:rPr>
                              <m:sty m:val="p"/>
                            </m:rPr>
                            <m:t>,</m:t>
                          </m:r>
                          <m:r>
                            <m:t>D</m:t>
                          </m:r>
                          <m:r>
                            <m:t>S</m:t>
                          </m:r>
                          <m:r>
                            <m:t>R</m:t>
                          </m:r>
                        </m:sub>
                      </m:sSub>
                    </m:e>
                  </m:nary>
                </m:num>
                <m:den>
                  <m:nary>
                    <m:naryPr>
                      <m:chr m:val="∏"/>
                      <m:limLoc m:val="undOvr"/>
                      <m:subHide m:val="0"/>
                      <m:supHide m:val="0"/>
                    </m:naryPr>
                    <m:sub>
                      <m:r>
                        <m:t>i</m:t>
                      </m:r>
                    </m:sub>
                    <m:sup>
                      <m:r>
                        <m:t>k</m:t>
                      </m:r>
                    </m:sup>
                    <m:e>
                      <m:sSub>
                        <m:e>
                          <m:r>
                            <m:t>ϕ</m:t>
                          </m:r>
                        </m:e>
                        <m:sub>
                          <m:r>
                            <m:t>i</m:t>
                          </m:r>
                          <m:r>
                            <m:rPr>
                              <m:sty m:val="p"/>
                            </m:rPr>
                            <m:t>,</m:t>
                          </m:r>
                          <m:r>
                            <m:t>N</m:t>
                          </m:r>
                          <m:r>
                            <m:t>R</m:t>
                          </m:r>
                          <m:r>
                            <m:t>R</m:t>
                          </m:r>
                        </m:sub>
                      </m:sSub>
                    </m:e>
                  </m:nary>
                </m:den>
              </m:f>
            </m:e>
          </m:d>
        </m:oMath>
      </m:oMathPara>
    </w:p>
    <w:p>
      <w:pPr>
        <w:pStyle w:val="FirstParagraph"/>
      </w:pPr>
      <w:r>
        <w:t xml:space="preserve">Because we constructed these with DSR</w:t>
      </w:r>
      <w:r>
        <w:t xml:space="preserve"> </w:t>
      </w:r>
      <m:oMath>
        <m:r>
          <m:t>ϕ</m:t>
        </m:r>
      </m:oMath>
      <w:r>
        <w:t xml:space="preserve">’s in the numerator, log odds ratios less than zero indicate a higher relative survival for NRR fish, which if it is greater than zero that indicates greater relative survival for DSR fish. When these log odds ratios are exponentiated, they provide a measure of the relative success for DSR fish compared to NRR fish. For example, if the log odds ratio is 0.693, then</w:t>
      </w:r>
      <w:r>
        <w:t xml:space="preserve"> </w:t>
      </w:r>
      <m:oMath>
        <m:r>
          <m:rPr>
            <m:nor/>
            <m:sty m:val="p"/>
          </m:rPr>
          <m:t>exp</m:t>
        </m:r>
        <m:d>
          <m:dPr>
            <m:begChr m:val="("/>
            <m:endChr m:val=")"/>
            <m:sepChr m:val=""/>
            <m:grow/>
          </m:dPr>
          <m:e>
            <m:r>
              <m:t>0.693</m:t>
            </m:r>
          </m:e>
        </m:d>
        <m:r>
          <m:rPr>
            <m:sty m:val="p"/>
          </m:rPr>
          <m:t>≈</m:t>
        </m:r>
        <m:r>
          <m:t>2</m:t>
        </m:r>
      </m:oMath>
      <w:r>
        <w:t xml:space="preserve"> </w:t>
      </w:r>
      <w:r>
        <w:t xml:space="preserve">indicating that DSR fish have about double the survival of NRR fish in that particular metric.</w:t>
      </w:r>
    </w:p>
    <w:bookmarkEnd w:id="29"/>
    <w:bookmarkStart w:id="30" w:name="smolt-to-adult-return-rates-sar"/>
    <w:p>
      <w:pPr>
        <w:pStyle w:val="Heading2"/>
      </w:pPr>
      <w:r>
        <w:t xml:space="preserve">Smolt-to-Adult Return Rates (SAR)</w:t>
      </w:r>
    </w:p>
    <w:p>
      <w:pPr>
        <w:pStyle w:val="FirstParagraph"/>
      </w:pPr>
      <w:r>
        <w:t xml:space="preserve">We anticipated that the survival between LLRTP and GRJ would be higher for smolts, because they spend much less time in that stretch of river. DSR fish alternatively overwinter in the mainstem Salmon and Snake rivers, and their survival to GRJ includes that overwinter survival, while NRR fish’s survival does not account for their overwinter survival in the Lemhi River. Therefore, we wanted to examine a few survivals that excluded that initial stretch of river. Assuming that a fish arrives at Lower Granite Dam as a juvenile, what are the chances it makes it back to Bonneville Dam as an adult, or back to Lower Granite Dam as an adult? These are the two smolt-to-adult return (SAR) metrics that we calculated.</w:t>
      </w:r>
    </w:p>
    <w:bookmarkEnd w:id="30"/>
    <w:bookmarkEnd w:id="31"/>
    <w:bookmarkStart w:id="43" w:name="results"/>
    <w:p>
      <w:pPr>
        <w:pStyle w:val="Heading1"/>
      </w:pPr>
      <w:r>
        <w:t xml:space="preserve">Results</w:t>
      </w:r>
    </w:p>
    <w:bookmarkStart w:id="32" w:name="abundance-1"/>
    <w:p>
      <w:pPr>
        <w:pStyle w:val="Heading2"/>
      </w:pPr>
      <w:r>
        <w:t xml:space="preserve">Abundance</w:t>
      </w:r>
    </w:p>
    <w:p>
      <w:pPr>
        <w:pStyle w:val="FirstParagraph"/>
      </w:pPr>
      <w:r>
        <w:t xml:space="preserve">Table 2: Estimates of emigrant abundance by life stage and brood year at the lower Lemhi rotary screw trap (LLRTP). Table provided by Idaho Department of Fish and Game (S. Meyer, personal communication, April 4, 2022).</w:t>
      </w:r>
    </w:p>
    <w:p>
      <w:pPr>
        <w:pStyle w:val="BodyText"/>
      </w:pPr>
      <w:r>
        <w:t xml:space="preserve">Brood Year</w:t>
      </w:r>
    </w:p>
    <w:p>
      <w:pPr>
        <w:pStyle w:val="BodyText"/>
      </w:pPr>
      <w:r>
        <w:t xml:space="preserve">Fry</w:t>
      </w:r>
    </w:p>
    <w:p>
      <w:pPr>
        <w:pStyle w:val="BodyText"/>
      </w:pPr>
      <w:r>
        <w:t xml:space="preserve">Parr</w:t>
      </w:r>
    </w:p>
    <w:p>
      <w:pPr>
        <w:pStyle w:val="BodyText"/>
      </w:pPr>
      <w:r>
        <w:t xml:space="preserve">Presmolt</w:t>
      </w:r>
    </w:p>
    <w:p>
      <w:pPr>
        <w:pStyle w:val="BodyText"/>
      </w:pPr>
      <w:r>
        <w:t xml:space="preserve">Smolt</w:t>
      </w:r>
    </w:p>
    <w:p>
      <w:pPr>
        <w:pStyle w:val="BodyText"/>
      </w:pPr>
      <w:r>
        <w:t xml:space="preserve">Total</w:t>
      </w:r>
    </w:p>
    <w:p>
      <w:pPr>
        <w:pStyle w:val="BodyText"/>
      </w:pPr>
      <w:r>
        <w:t xml:space="preserve">Total LCI</w:t>
      </w:r>
    </w:p>
    <w:p>
      <w:pPr>
        <w:pStyle w:val="BodyText"/>
      </w:pPr>
      <w:r>
        <w:t xml:space="preserve">Total UCI</w:t>
      </w:r>
    </w:p>
    <w:p>
      <w:pPr>
        <w:pStyle w:val="BodyText"/>
      </w:pPr>
      <w:r>
        <w:t xml:space="preserve">2004</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17,728</w:t>
      </w:r>
    </w:p>
    <w:p>
      <w:pPr>
        <w:pStyle w:val="BodyText"/>
      </w:pPr>
      <w:r>
        <w:t xml:space="preserve">14,356</w:t>
      </w:r>
    </w:p>
    <w:p>
      <w:pPr>
        <w:pStyle w:val="BodyText"/>
      </w:pPr>
      <w:r>
        <w:t xml:space="preserve">21,874</w:t>
      </w:r>
    </w:p>
    <w:p>
      <w:pPr>
        <w:pStyle w:val="BodyText"/>
      </w:pPr>
      <w:r>
        <w:t xml:space="preserve">2005</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16,042</w:t>
      </w:r>
    </w:p>
    <w:p>
      <w:pPr>
        <w:pStyle w:val="BodyText"/>
      </w:pPr>
      <w:r>
        <w:t xml:space="preserve">13,297</w:t>
      </w:r>
    </w:p>
    <w:p>
      <w:pPr>
        <w:pStyle w:val="BodyText"/>
      </w:pPr>
      <w:r>
        <w:t xml:space="preserve">19,932</w:t>
      </w:r>
    </w:p>
    <w:p>
      <w:pPr>
        <w:pStyle w:val="BodyText"/>
      </w:pPr>
      <w:r>
        <w:t xml:space="preserve">2006</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7,656</w:t>
      </w:r>
    </w:p>
    <w:p>
      <w:pPr>
        <w:pStyle w:val="BodyText"/>
      </w:pPr>
      <w:r>
        <w:t xml:space="preserve">6,318</w:t>
      </w:r>
    </w:p>
    <w:p>
      <w:pPr>
        <w:pStyle w:val="BodyText"/>
      </w:pPr>
      <w:r>
        <w:t xml:space="preserve">9,426</w:t>
      </w:r>
    </w:p>
    <w:p>
      <w:pPr>
        <w:pStyle w:val="BodyText"/>
      </w:pPr>
      <w:r>
        <w:t xml:space="preserve">2007</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21,001</w:t>
      </w:r>
    </w:p>
    <w:p>
      <w:pPr>
        <w:pStyle w:val="BodyText"/>
      </w:pPr>
      <w:r>
        <w:t xml:space="preserve">18,581</w:t>
      </w:r>
    </w:p>
    <w:p>
      <w:pPr>
        <w:pStyle w:val="BodyText"/>
      </w:pPr>
      <w:r>
        <w:t xml:space="preserve">23,548</w:t>
      </w:r>
    </w:p>
    <w:p>
      <w:pPr>
        <w:pStyle w:val="BodyText"/>
      </w:pPr>
      <w:r>
        <w:t xml:space="preserve">2008</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16,298</w:t>
      </w:r>
    </w:p>
    <w:p>
      <w:pPr>
        <w:pStyle w:val="BodyText"/>
      </w:pPr>
      <w:r>
        <w:t xml:space="preserve">14,126</w:t>
      </w:r>
    </w:p>
    <w:p>
      <w:pPr>
        <w:pStyle w:val="BodyText"/>
      </w:pPr>
      <w:r>
        <w:t xml:space="preserve">18,909</w:t>
      </w:r>
    </w:p>
    <w:p>
      <w:pPr>
        <w:pStyle w:val="BodyText"/>
      </w:pPr>
      <w:r>
        <w:t xml:space="preserve">2009</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57,301</w:t>
      </w:r>
    </w:p>
    <w:p>
      <w:pPr>
        <w:pStyle w:val="BodyText"/>
      </w:pPr>
      <w:r>
        <w:t xml:space="preserve">49,763</w:t>
      </w:r>
    </w:p>
    <w:p>
      <w:pPr>
        <w:pStyle w:val="BodyText"/>
      </w:pPr>
      <w:r>
        <w:t xml:space="preserve">66,387</w:t>
      </w:r>
    </w:p>
    <w:p>
      <w:pPr>
        <w:pStyle w:val="BodyText"/>
      </w:pPr>
      <w:r>
        <w:t xml:space="preserve">2010</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2011</w:t>
      </w:r>
    </w:p>
    <w:p>
      <w:pPr>
        <w:pStyle w:val="BodyText"/>
      </w:pPr>
      <w:r>
        <w:t xml:space="preserve">–</w:t>
      </w:r>
    </w:p>
    <w:p>
      <w:pPr>
        <w:pStyle w:val="BodyText"/>
      </w:pPr>
      <w:r>
        <w:t xml:space="preserve">–</w:t>
      </w:r>
    </w:p>
    <w:p>
      <w:pPr>
        <w:pStyle w:val="BodyText"/>
      </w:pPr>
      <w:r>
        <w:t xml:space="preserve">–</w:t>
      </w:r>
    </w:p>
    <w:p>
      <w:pPr>
        <w:pStyle w:val="BodyText"/>
      </w:pPr>
      <w:r>
        <w:t xml:space="preserve">16,842</w:t>
      </w:r>
    </w:p>
    <w:p>
      <w:pPr>
        <w:pStyle w:val="BodyText"/>
      </w:pPr>
      <w:r>
        <w:t xml:space="preserve">16,842</w:t>
      </w:r>
    </w:p>
    <w:p>
      <w:pPr>
        <w:pStyle w:val="BodyText"/>
      </w:pPr>
      <w:r>
        <w:t xml:space="preserve">15,772</w:t>
      </w:r>
    </w:p>
    <w:p>
      <w:pPr>
        <w:pStyle w:val="BodyText"/>
      </w:pPr>
      <w:r>
        <w:t xml:space="preserve">17,912</w:t>
      </w:r>
    </w:p>
    <w:p>
      <w:pPr>
        <w:pStyle w:val="BodyText"/>
      </w:pPr>
      <w:r>
        <w:t xml:space="preserve">2012</w:t>
      </w:r>
    </w:p>
    <w:p>
      <w:pPr>
        <w:pStyle w:val="BodyText"/>
      </w:pPr>
      <w:r>
        <w:t xml:space="preserve">–</w:t>
      </w:r>
    </w:p>
    <w:p>
      <w:pPr>
        <w:pStyle w:val="BodyText"/>
      </w:pPr>
      <w:r>
        <w:t xml:space="preserve">–</w:t>
      </w:r>
    </w:p>
    <w:p>
      <w:pPr>
        <w:pStyle w:val="BodyText"/>
      </w:pPr>
      <w:r>
        <w:t xml:space="preserve">15,307</w:t>
      </w:r>
    </w:p>
    <w:p>
      <w:pPr>
        <w:pStyle w:val="BodyText"/>
      </w:pPr>
      <w:r>
        <w:t xml:space="preserve">6,519</w:t>
      </w:r>
    </w:p>
    <w:p>
      <w:pPr>
        <w:pStyle w:val="BodyText"/>
      </w:pPr>
      <w:r>
        <w:t xml:space="preserve">21,825</w:t>
      </w:r>
    </w:p>
    <w:p>
      <w:pPr>
        <w:pStyle w:val="BodyText"/>
      </w:pPr>
      <w:r>
        <w:t xml:space="preserve">20,343</w:t>
      </w:r>
    </w:p>
    <w:p>
      <w:pPr>
        <w:pStyle w:val="BodyText"/>
      </w:pPr>
      <w:r>
        <w:t xml:space="preserve">23,307</w:t>
      </w:r>
    </w:p>
    <w:p>
      <w:pPr>
        <w:pStyle w:val="BodyText"/>
      </w:pPr>
      <w:r>
        <w:t xml:space="preserve">2013</w:t>
      </w:r>
    </w:p>
    <w:p>
      <w:pPr>
        <w:pStyle w:val="BodyText"/>
      </w:pPr>
      <w:r>
        <w:t xml:space="preserve">–</w:t>
      </w:r>
    </w:p>
    <w:p>
      <w:pPr>
        <w:pStyle w:val="BodyText"/>
      </w:pPr>
      <w:r>
        <w:t xml:space="preserve">–</w:t>
      </w:r>
    </w:p>
    <w:p>
      <w:pPr>
        <w:pStyle w:val="BodyText"/>
      </w:pPr>
      <w:r>
        <w:t xml:space="preserve">17,056</w:t>
      </w:r>
    </w:p>
    <w:p>
      <w:pPr>
        <w:pStyle w:val="BodyText"/>
      </w:pPr>
      <w:r>
        <w:t xml:space="preserve">14,440</w:t>
      </w:r>
    </w:p>
    <w:p>
      <w:pPr>
        <w:pStyle w:val="BodyText"/>
      </w:pPr>
      <w:r>
        <w:t xml:space="preserve">31,496</w:t>
      </w:r>
    </w:p>
    <w:p>
      <w:pPr>
        <w:pStyle w:val="BodyText"/>
      </w:pPr>
      <w:r>
        <w:t xml:space="preserve">29,519</w:t>
      </w:r>
    </w:p>
    <w:p>
      <w:pPr>
        <w:pStyle w:val="BodyText"/>
      </w:pPr>
      <w:r>
        <w:t xml:space="preserve">33,473</w:t>
      </w:r>
    </w:p>
    <w:p>
      <w:pPr>
        <w:pStyle w:val="BodyText"/>
      </w:pPr>
      <w:r>
        <w:t xml:space="preserve">2014</w:t>
      </w:r>
    </w:p>
    <w:p>
      <w:pPr>
        <w:pStyle w:val="BodyText"/>
      </w:pPr>
      <w:r>
        <w:t xml:space="preserve">–</w:t>
      </w:r>
    </w:p>
    <w:p>
      <w:pPr>
        <w:pStyle w:val="BodyText"/>
      </w:pPr>
      <w:r>
        <w:t xml:space="preserve">2,878</w:t>
      </w:r>
    </w:p>
    <w:p>
      <w:pPr>
        <w:pStyle w:val="BodyText"/>
      </w:pPr>
      <w:r>
        <w:t xml:space="preserve">56,436</w:t>
      </w:r>
    </w:p>
    <w:p>
      <w:pPr>
        <w:pStyle w:val="BodyText"/>
      </w:pPr>
      <w:r>
        <w:t xml:space="preserve">19,186</w:t>
      </w:r>
    </w:p>
    <w:p>
      <w:pPr>
        <w:pStyle w:val="BodyText"/>
      </w:pPr>
      <w:r>
        <w:t xml:space="preserve">79,130</w:t>
      </w:r>
    </w:p>
    <w:p>
      <w:pPr>
        <w:pStyle w:val="BodyText"/>
      </w:pPr>
      <w:r>
        <w:t xml:space="preserve">75,404</w:t>
      </w:r>
    </w:p>
    <w:p>
      <w:pPr>
        <w:pStyle w:val="BodyText"/>
      </w:pPr>
      <w:r>
        <w:t xml:space="preserve">82,856</w:t>
      </w:r>
    </w:p>
    <w:p>
      <w:pPr>
        <w:pStyle w:val="BodyText"/>
      </w:pPr>
      <w:r>
        <w:t xml:space="preserve">2015</w:t>
      </w:r>
    </w:p>
    <w:p>
      <w:pPr>
        <w:pStyle w:val="BodyText"/>
      </w:pPr>
      <w:r>
        <w:t xml:space="preserve">–</w:t>
      </w:r>
    </w:p>
    <w:p>
      <w:pPr>
        <w:pStyle w:val="BodyText"/>
      </w:pPr>
      <w:r>
        <w:t xml:space="preserve">862</w:t>
      </w:r>
    </w:p>
    <w:p>
      <w:pPr>
        <w:pStyle w:val="BodyText"/>
      </w:pPr>
      <w:r>
        <w:t xml:space="preserve">52,523</w:t>
      </w:r>
    </w:p>
    <w:p>
      <w:pPr>
        <w:pStyle w:val="BodyText"/>
      </w:pPr>
      <w:r>
        <w:t xml:space="preserve">11,964</w:t>
      </w:r>
    </w:p>
    <w:p>
      <w:pPr>
        <w:pStyle w:val="BodyText"/>
      </w:pPr>
      <w:r>
        <w:t xml:space="preserve">65,349</w:t>
      </w:r>
    </w:p>
    <w:p>
      <w:pPr>
        <w:pStyle w:val="BodyText"/>
      </w:pPr>
      <w:r>
        <w:t xml:space="preserve">61,616</w:t>
      </w:r>
    </w:p>
    <w:p>
      <w:pPr>
        <w:pStyle w:val="BodyText"/>
      </w:pPr>
      <w:r>
        <w:t xml:space="preserve">69,082</w:t>
      </w:r>
    </w:p>
    <w:p>
      <w:pPr>
        <w:pStyle w:val="BodyText"/>
      </w:pPr>
      <w:r>
        <w:t xml:space="preserve">2016</w:t>
      </w:r>
    </w:p>
    <w:p>
      <w:pPr>
        <w:pStyle w:val="BodyText"/>
      </w:pPr>
      <w:r>
        <w:t xml:space="preserve">–</w:t>
      </w:r>
    </w:p>
    <w:p>
      <w:pPr>
        <w:pStyle w:val="BodyText"/>
      </w:pPr>
      <w:r>
        <w:t xml:space="preserve">965</w:t>
      </w:r>
    </w:p>
    <w:p>
      <w:pPr>
        <w:pStyle w:val="BodyText"/>
      </w:pPr>
      <w:r>
        <w:t xml:space="preserve">51,025</w:t>
      </w:r>
    </w:p>
    <w:p>
      <w:pPr>
        <w:pStyle w:val="BodyText"/>
      </w:pPr>
      <w:r>
        <w:t xml:space="preserve">7,688</w:t>
      </w:r>
    </w:p>
    <w:p>
      <w:pPr>
        <w:pStyle w:val="BodyText"/>
      </w:pPr>
      <w:r>
        <w:t xml:space="preserve">51,991</w:t>
      </w:r>
    </w:p>
    <w:p>
      <w:pPr>
        <w:pStyle w:val="BodyText"/>
      </w:pPr>
      <w:r>
        <w:t xml:space="preserve">49,400</w:t>
      </w:r>
    </w:p>
    <w:p>
      <w:pPr>
        <w:pStyle w:val="BodyText"/>
      </w:pPr>
      <w:r>
        <w:t xml:space="preserve">54,580</w:t>
      </w:r>
    </w:p>
    <w:p>
      <w:pPr>
        <w:pStyle w:val="BodyText"/>
      </w:pPr>
      <w:r>
        <w:t xml:space="preserve">2017</w:t>
      </w:r>
    </w:p>
    <w:p>
      <w:pPr>
        <w:pStyle w:val="BodyText"/>
      </w:pPr>
      <w:r>
        <w:t xml:space="preserve">51</w:t>
      </w:r>
    </w:p>
    <w:p>
      <w:pPr>
        <w:pStyle w:val="BodyText"/>
      </w:pPr>
      <w:r>
        <w:t xml:space="preserve">101</w:t>
      </w:r>
    </w:p>
    <w:p>
      <w:pPr>
        <w:pStyle w:val="BodyText"/>
      </w:pPr>
      <w:r>
        <w:t xml:space="preserve">14,944</w:t>
      </w:r>
    </w:p>
    <w:p>
      <w:pPr>
        <w:pStyle w:val="BodyText"/>
      </w:pPr>
      <w:r>
        <w:t xml:space="preserve">6,070</w:t>
      </w:r>
    </w:p>
    <w:p>
      <w:pPr>
        <w:pStyle w:val="BodyText"/>
      </w:pPr>
      <w:r>
        <w:t xml:space="preserve">21,167</w:t>
      </w:r>
    </w:p>
    <w:p>
      <w:pPr>
        <w:pStyle w:val="BodyText"/>
      </w:pPr>
      <w:r>
        <w:t xml:space="preserve">20,198</w:t>
      </w:r>
    </w:p>
    <w:p>
      <w:pPr>
        <w:pStyle w:val="BodyText"/>
      </w:pPr>
      <w:r>
        <w:t xml:space="preserve">22,390</w:t>
      </w:r>
    </w:p>
    <w:p>
      <w:pPr>
        <w:pStyle w:val="BodyText"/>
      </w:pPr>
      <w:r>
        <w:t xml:space="preserve">2018</w:t>
      </w:r>
    </w:p>
    <w:p>
      <w:pPr>
        <w:pStyle w:val="BodyText"/>
      </w:pPr>
      <w:r>
        <w:t xml:space="preserve">1,084</w:t>
      </w:r>
    </w:p>
    <w:p>
      <w:pPr>
        <w:pStyle w:val="BodyText"/>
      </w:pPr>
      <w:r>
        <w:t xml:space="preserve">298</w:t>
      </w:r>
    </w:p>
    <w:p>
      <w:pPr>
        <w:pStyle w:val="BodyText"/>
      </w:pPr>
      <w:r>
        <w:t xml:space="preserve">37,900</w:t>
      </w:r>
    </w:p>
    <w:p>
      <w:pPr>
        <w:pStyle w:val="BodyText"/>
      </w:pPr>
      <w:r>
        <w:t xml:space="preserve">8,978</w:t>
      </w:r>
    </w:p>
    <w:p>
      <w:pPr>
        <w:pStyle w:val="BodyText"/>
      </w:pPr>
      <w:r>
        <w:t xml:space="preserve">46,822</w:t>
      </w:r>
    </w:p>
    <w:p>
      <w:pPr>
        <w:pStyle w:val="BodyText"/>
      </w:pPr>
      <w:r>
        <w:t xml:space="preserve">42,161</w:t>
      </w:r>
    </w:p>
    <w:p>
      <w:pPr>
        <w:pStyle w:val="BodyText"/>
      </w:pPr>
      <w:r>
        <w:t xml:space="preserve">53,631</w:t>
      </w:r>
    </w:p>
    <w:p>
      <w:pPr>
        <w:pStyle w:val="BodyText"/>
      </w:pPr>
      <w:r>
        <w:t xml:space="preserve">2019</w:t>
      </w:r>
    </w:p>
    <w:p>
      <w:pPr>
        <w:pStyle w:val="BodyText"/>
      </w:pPr>
      <w:r>
        <w:t xml:space="preserve">136</w:t>
      </w:r>
    </w:p>
    <w:p>
      <w:pPr>
        <w:pStyle w:val="BodyText"/>
      </w:pPr>
      <w:r>
        <w:t xml:space="preserve">35</w:t>
      </w:r>
    </w:p>
    <w:p>
      <w:pPr>
        <w:pStyle w:val="BodyText"/>
      </w:pPr>
      <w:r>
        <w:t xml:space="preserve">24,366</w:t>
      </w:r>
    </w:p>
    <w:p>
      <w:pPr>
        <w:pStyle w:val="BodyText"/>
      </w:pPr>
      <w:r>
        <w:t xml:space="preserve">13,804</w:t>
      </w:r>
    </w:p>
    <w:p>
      <w:pPr>
        <w:pStyle w:val="BodyText"/>
      </w:pPr>
      <w:r>
        <w:t xml:space="preserve">38,341</w:t>
      </w:r>
    </w:p>
    <w:p>
      <w:pPr>
        <w:pStyle w:val="BodyText"/>
      </w:pPr>
      <w:r>
        <w:t xml:space="preserve">35,855</w:t>
      </w:r>
    </w:p>
    <w:p>
      <w:pPr>
        <w:pStyle w:val="BodyText"/>
      </w:pPr>
      <w:r>
        <w:t xml:space="preserve">41,748</w:t>
      </w:r>
    </w:p>
    <w:p>
      <w:pPr>
        <w:pStyle w:val="BodyText"/>
      </w:pPr>
      <w:r>
        <w:t xml:space="preserve">Table 2: Estimates of emigrant abundance by emigrant strategy and brood year at the lower Lemhi rotary screw trap (LLRTP). DSR emigrant abundances for brood years 2012 and 2013 do not include parr abundance estimates, which were unavailable.</w:t>
      </w:r>
    </w:p>
    <w:p>
      <w:pPr>
        <w:pStyle w:val="BodyText"/>
      </w:pPr>
      <w:r>
        <w:t xml:space="preserve">Brood Year</w:t>
      </w:r>
    </w:p>
    <w:p>
      <w:pPr>
        <w:pStyle w:val="BodyText"/>
      </w:pPr>
      <w:r>
        <w:t xml:space="preserve">DSR</w:t>
      </w:r>
    </w:p>
    <w:p>
      <w:pPr>
        <w:pStyle w:val="BodyText"/>
      </w:pPr>
      <w:r>
        <w:t xml:space="preserve">NRR</w:t>
      </w:r>
    </w:p>
    <w:p>
      <w:pPr>
        <w:pStyle w:val="BodyText"/>
      </w:pPr>
      <w:r>
        <w:t xml:space="preserve">DSR (%)</w:t>
      </w:r>
    </w:p>
    <w:p>
      <w:pPr>
        <w:pStyle w:val="BodyText"/>
      </w:pPr>
      <w:r>
        <w:t xml:space="preserve">NRR (%)</w:t>
      </w:r>
    </w:p>
    <w:p>
      <w:pPr>
        <w:pStyle w:val="BodyText"/>
      </w:pPr>
      <w:r>
        <w:t xml:space="preserve">2012</w:t>
      </w:r>
    </w:p>
    <w:p>
      <w:pPr>
        <w:pStyle w:val="BodyText"/>
      </w:pPr>
      <w:r>
        <w:t xml:space="preserve">15,307</w:t>
      </w:r>
    </w:p>
    <w:p>
      <w:pPr>
        <w:pStyle w:val="BodyText"/>
      </w:pPr>
      <w:r>
        <w:t xml:space="preserve">6,519</w:t>
      </w:r>
    </w:p>
    <w:p>
      <w:pPr>
        <w:pStyle w:val="BodyText"/>
      </w:pPr>
      <w:r>
        <w:t xml:space="preserve">70.1</w:t>
      </w:r>
    </w:p>
    <w:p>
      <w:pPr>
        <w:pStyle w:val="BodyText"/>
      </w:pPr>
      <w:r>
        <w:t xml:space="preserve">29.9</w:t>
      </w:r>
    </w:p>
    <w:p>
      <w:pPr>
        <w:pStyle w:val="BodyText"/>
      </w:pPr>
      <w:r>
        <w:t xml:space="preserve">2013</w:t>
      </w:r>
    </w:p>
    <w:p>
      <w:pPr>
        <w:pStyle w:val="BodyText"/>
      </w:pPr>
      <w:r>
        <w:t xml:space="preserve">17,056</w:t>
      </w:r>
    </w:p>
    <w:p>
      <w:pPr>
        <w:pStyle w:val="BodyText"/>
      </w:pPr>
      <w:r>
        <w:t xml:space="preserve">14,440</w:t>
      </w:r>
    </w:p>
    <w:p>
      <w:pPr>
        <w:pStyle w:val="BodyText"/>
      </w:pPr>
      <w:r>
        <w:t xml:space="preserve">54.2</w:t>
      </w:r>
    </w:p>
    <w:p>
      <w:pPr>
        <w:pStyle w:val="BodyText"/>
      </w:pPr>
      <w:r>
        <w:t xml:space="preserve">45.8</w:t>
      </w:r>
    </w:p>
    <w:p>
      <w:pPr>
        <w:pStyle w:val="BodyText"/>
      </w:pPr>
      <w:r>
        <w:t xml:space="preserve">2014</w:t>
      </w:r>
    </w:p>
    <w:p>
      <w:pPr>
        <w:pStyle w:val="BodyText"/>
      </w:pPr>
      <w:r>
        <w:t xml:space="preserve">59,314</w:t>
      </w:r>
    </w:p>
    <w:p>
      <w:pPr>
        <w:pStyle w:val="BodyText"/>
      </w:pPr>
      <w:r>
        <w:t xml:space="preserve">19,186</w:t>
      </w:r>
    </w:p>
    <w:p>
      <w:pPr>
        <w:pStyle w:val="BodyText"/>
      </w:pPr>
      <w:r>
        <w:t xml:space="preserve">75.6</w:t>
      </w:r>
    </w:p>
    <w:p>
      <w:pPr>
        <w:pStyle w:val="BodyText"/>
      </w:pPr>
      <w:r>
        <w:t xml:space="preserve">24.4</w:t>
      </w:r>
    </w:p>
    <w:p>
      <w:pPr>
        <w:pStyle w:val="BodyText"/>
      </w:pPr>
      <w:r>
        <w:t xml:space="preserve">2015</w:t>
      </w:r>
    </w:p>
    <w:p>
      <w:pPr>
        <w:pStyle w:val="BodyText"/>
      </w:pPr>
      <w:r>
        <w:t xml:space="preserve">53,385</w:t>
      </w:r>
    </w:p>
    <w:p>
      <w:pPr>
        <w:pStyle w:val="BodyText"/>
      </w:pPr>
      <w:r>
        <w:t xml:space="preserve">11,964</w:t>
      </w:r>
    </w:p>
    <w:p>
      <w:pPr>
        <w:pStyle w:val="BodyText"/>
      </w:pPr>
      <w:r>
        <w:t xml:space="preserve">81.7</w:t>
      </w:r>
    </w:p>
    <w:p>
      <w:pPr>
        <w:pStyle w:val="BodyText"/>
      </w:pPr>
      <w:r>
        <w:t xml:space="preserve">18.3</w:t>
      </w:r>
    </w:p>
    <w:p>
      <w:pPr>
        <w:pStyle w:val="BodyText"/>
      </w:pPr>
      <w:r>
        <w:t xml:space="preserve">2016</w:t>
      </w:r>
    </w:p>
    <w:p>
      <w:pPr>
        <w:pStyle w:val="BodyText"/>
      </w:pPr>
      <w:r>
        <w:t xml:space="preserve">51,990</w:t>
      </w:r>
    </w:p>
    <w:p>
      <w:pPr>
        <w:pStyle w:val="BodyText"/>
      </w:pPr>
      <w:r>
        <w:t xml:space="preserve">7,688</w:t>
      </w:r>
    </w:p>
    <w:p>
      <w:pPr>
        <w:pStyle w:val="BodyText"/>
      </w:pPr>
      <w:r>
        <w:t xml:space="preserve">87.1</w:t>
      </w:r>
    </w:p>
    <w:p>
      <w:pPr>
        <w:pStyle w:val="BodyText"/>
      </w:pPr>
      <w:r>
        <w:t xml:space="preserve">12.9</w:t>
      </w:r>
    </w:p>
    <w:p>
      <w:pPr>
        <w:pStyle w:val="BodyText"/>
      </w:pPr>
      <w:r>
        <w:t xml:space="preserve">2017</w:t>
      </w:r>
    </w:p>
    <w:p>
      <w:pPr>
        <w:pStyle w:val="BodyText"/>
      </w:pPr>
      <w:r>
        <w:t xml:space="preserve">15,045</w:t>
      </w:r>
    </w:p>
    <w:p>
      <w:pPr>
        <w:pStyle w:val="BodyText"/>
      </w:pPr>
      <w:r>
        <w:t xml:space="preserve">6,070</w:t>
      </w:r>
    </w:p>
    <w:p>
      <w:pPr>
        <w:pStyle w:val="BodyText"/>
      </w:pPr>
      <w:r>
        <w:t xml:space="preserve">71.3</w:t>
      </w:r>
    </w:p>
    <w:p>
      <w:pPr>
        <w:pStyle w:val="BodyText"/>
      </w:pPr>
      <w:r>
        <w:t xml:space="preserve">28.7</w:t>
      </w:r>
    </w:p>
    <w:p>
      <w:pPr>
        <w:pStyle w:val="BodyText"/>
      </w:pPr>
      <w:r>
        <w:t xml:space="preserve">2018</w:t>
      </w:r>
    </w:p>
    <w:p>
      <w:pPr>
        <w:pStyle w:val="BodyText"/>
      </w:pPr>
      <w:r>
        <w:t xml:space="preserve">38,198</w:t>
      </w:r>
    </w:p>
    <w:p>
      <w:pPr>
        <w:pStyle w:val="BodyText"/>
      </w:pPr>
      <w:r>
        <w:t xml:space="preserve">8,978</w:t>
      </w:r>
    </w:p>
    <w:p>
      <w:pPr>
        <w:pStyle w:val="BodyText"/>
      </w:pPr>
      <w:r>
        <w:t xml:space="preserve">81.0</w:t>
      </w:r>
    </w:p>
    <w:p>
      <w:pPr>
        <w:pStyle w:val="BodyText"/>
      </w:pPr>
      <w:r>
        <w:t xml:space="preserve">19.0</w:t>
      </w:r>
    </w:p>
    <w:p>
      <w:pPr>
        <w:pStyle w:val="BodyText"/>
      </w:pPr>
      <w:r>
        <w:t xml:space="preserve">2019</w:t>
      </w:r>
    </w:p>
    <w:p>
      <w:pPr>
        <w:pStyle w:val="BodyText"/>
      </w:pPr>
      <w:r>
        <w:t xml:space="preserve">24,401</w:t>
      </w:r>
    </w:p>
    <w:p>
      <w:pPr>
        <w:pStyle w:val="BodyText"/>
      </w:pPr>
      <w:r>
        <w:t xml:space="preserve">13,804</w:t>
      </w:r>
    </w:p>
    <w:p>
      <w:pPr>
        <w:pStyle w:val="BodyText"/>
      </w:pPr>
      <w:r>
        <w:t xml:space="preserve">63.9</w:t>
      </w:r>
    </w:p>
    <w:p>
      <w:pPr>
        <w:pStyle w:val="BodyText"/>
      </w:pPr>
      <w:r>
        <w:t xml:space="preserve">36.1</w:t>
      </w:r>
    </w:p>
    <w:p>
      <w:pPr>
        <w:pStyle w:val="BodyText"/>
      </w:pPr>
      <w:r>
        <w:t xml:space="preserve">Total</w:t>
      </w:r>
    </w:p>
    <w:p>
      <w:pPr>
        <w:pStyle w:val="BodyText"/>
      </w:pPr>
      <w:r>
        <w:t xml:space="preserve">274,696</w:t>
      </w:r>
    </w:p>
    <w:p>
      <w:pPr>
        <w:pStyle w:val="BodyText"/>
      </w:pPr>
      <w:r>
        <w:t xml:space="preserve">88,649</w:t>
      </w:r>
    </w:p>
    <w:p>
      <w:pPr>
        <w:pStyle w:val="BodyText"/>
      </w:pPr>
      <w:r>
        <w:t xml:space="preserve">75.6</w:t>
      </w:r>
    </w:p>
    <w:p>
      <w:pPr>
        <w:pStyle w:val="BodyText"/>
      </w:pPr>
      <w:r>
        <w:t xml:space="preserve">24.4</w:t>
      </w:r>
    </w:p>
    <w:p>
      <w:pPr>
        <w:pStyle w:val="BodyText"/>
      </w:pPr>
      <w:r>
        <w:t xml:space="preserve">The DSR life history was more abundant for all years in which abundance by life history was available (Table</w:t>
      </w:r>
      <w:r>
        <w:t xml:space="preserve"> </w:t>
      </w:r>
      <w:r>
        <w:t xml:space="preserve">2</w:t>
      </w:r>
      <w:r>
        <w:t xml:space="preserve">). The percent of DSR ranged from a minimum of 54.2% in BY2013 to a maximum of 87.1% in BY2016. Again, these abundances do not account for periods in which the trap was not in operation due to high flows, icing events, etc. and so estimates of percent DSR or NRR may be biased to an unknown degree.</w:t>
      </w:r>
    </w:p>
    <w:bookmarkEnd w:id="32"/>
    <w:bookmarkStart w:id="34" w:name="body-condition-1"/>
    <w:p>
      <w:pPr>
        <w:pStyle w:val="Heading2"/>
      </w:pPr>
      <w:r>
        <w:t xml:space="preserve">Body Condition</w:t>
      </w:r>
    </w:p>
    <w:p>
      <w:pPr>
        <w:pStyle w:val="FirstParagraph"/>
      </w:pPr>
      <w:r>
        <w:t xml:space="preserve">In every case, NRR juveniles were longer; however, DSR juveniles often had a greater</w:t>
      </w:r>
      <w:r>
        <w:t xml:space="preserve"> </w:t>
      </w:r>
      <m:oMath>
        <m:r>
          <m:t>K</m:t>
        </m:r>
      </m:oMath>
      <w:r>
        <w:t xml:space="preserve"> </w:t>
      </w:r>
      <w:r>
        <w:t xml:space="preserve">factor (Figure</w:t>
      </w:r>
      <w:r>
        <w:t xml:space="preserve"> </w:t>
      </w:r>
      <w:r>
        <w:t xml:space="preserve">2</w:t>
      </w:r>
      <w:r>
        <w:t xml:space="preserve">).</w:t>
      </w:r>
    </w:p>
    <w:p>
      <w:pPr>
        <w:pStyle w:val="CaptionedFigure"/>
      </w:pPr>
      <w:r>
        <w:drawing>
          <wp:inline>
            <wp:extent cx="5504749" cy="3669832"/>
            <wp:effectExtent b="0" l="0" r="0" t="0"/>
            <wp:docPr descr="Figure 2: Boxplots showing the condition factor and length (mm) among brood years, colored by life history strategy." title="" id="1" name="Picture"/>
            <a:graphic>
              <a:graphicData uri="http://schemas.openxmlformats.org/drawingml/2006/picture">
                <pic:pic>
                  <pic:nvPicPr>
                    <pic:cNvPr descr="C:/Git/Lemhi_RME/analysis/figures/body-cond-1.png" id="0" name="Picture"/>
                    <pic:cNvPicPr>
                      <a:picLocks noChangeArrowheads="1" noChangeAspect="1"/>
                    </pic:cNvPicPr>
                  </pic:nvPicPr>
                  <pic:blipFill>
                    <a:blip r:embed="rId3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Boxplots showing the condition factor and length (mm) among brood years, colored by life history strategy.</w:t>
      </w:r>
    </w:p>
    <w:bookmarkEnd w:id="34"/>
    <w:bookmarkStart w:id="36" w:name="arrival-timing-1"/>
    <w:p>
      <w:pPr>
        <w:pStyle w:val="Heading2"/>
      </w:pPr>
      <w:r>
        <w:t xml:space="preserve">Arrival Timing</w:t>
      </w:r>
    </w:p>
    <w:p>
      <w:pPr>
        <w:pStyle w:val="FirstParagraph"/>
      </w:pPr>
      <w:r>
        <w:t xml:space="preserve">DSR juveniles arrive at both Lower Granite Dam and Bonneville Dam at an earlier date than NRR juveniles for all brood years in which comparisons were available (Figure</w:t>
      </w:r>
      <w:r>
        <w:t xml:space="preserve"> </w:t>
      </w:r>
      <w:r>
        <w:t xml:space="preserve">3</w:t>
      </w:r>
      <w:r>
        <w:t xml:space="preserve">). Comparisons were not possible for brood years 2010 and 2011. However, that relationship did not hold for arrival timing of adults to Bonneville Dam after freshwater entry. For the 10 brood years in which comparisons were made, DSR adults arrived sooner at Bonneville Dam in six years whereas NRR adults arrived sooner in four.</w:t>
      </w:r>
    </w:p>
    <w:p>
      <w:pPr>
        <w:pStyle w:val="CaptionedFigure"/>
      </w:pPr>
      <w:r>
        <w:drawing>
          <wp:inline>
            <wp:extent cx="5504749" cy="3669832"/>
            <wp:effectExtent b="0" l="0" r="0" t="0"/>
            <wp:docPr descr="Figure 3: Boxplots showing the range of arrival timing to Lower Granite as juveniles, Bonneville as juveniles and Bonneville again as adults, colored by life history strategy." title="" id="1" name="Picture"/>
            <a:graphic>
              <a:graphicData uri="http://schemas.openxmlformats.org/drawingml/2006/picture">
                <pic:pic>
                  <pic:nvPicPr>
                    <pic:cNvPr descr="C:/Git/Lemhi_RME/analysis/figures/run-timing-1.png" id="0" name="Picture"/>
                    <pic:cNvPicPr>
                      <a:picLocks noChangeArrowheads="1" noChangeAspect="1"/>
                    </pic:cNvPicPr>
                  </pic:nvPicPr>
                  <pic:blipFill>
                    <a:blip r:embed="rId35"/>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Boxplots showing the range of arrival timing to Lower Granite as juveniles, Bonneville as juveniles and Bonneville again as adults, colored by life history strategy.</w:t>
      </w:r>
    </w:p>
    <w:p>
      <w:pPr>
        <w:pStyle w:val="BodyText"/>
      </w:pPr>
      <w:r>
        <w:t xml:space="preserve">On average, DSR juveniles from the Lemhi River arrived at Lower Granite Dam 15 days earlier and at Bonneville Dam a week earlier than NRR juveniles (Table</w:t>
      </w:r>
      <w:r>
        <w:t xml:space="preserve"> </w:t>
      </w:r>
      <w:r>
        <w:t xml:space="preserve">3</w:t>
      </w:r>
      <w:r>
        <w:t xml:space="preserve">). However, the difference was only 2 days for adults at Bonneville Dam after freshwater entry. Differences in adult arrival timing at Bonneville Dam could potentially be influence by ocean-age composition differences in the strategies; however, we did not account for those here.</w:t>
      </w:r>
    </w:p>
    <w:p>
      <w:pPr>
        <w:pStyle w:val="BodyText"/>
      </w:pPr>
      <w:r>
        <w:t xml:space="preserve">Table 3: Mean Julian day of arrival at a few locations by strategy, and the difference in days.</w:t>
      </w:r>
    </w:p>
    <w:p>
      <w:pPr>
        <w:pStyle w:val="BodyText"/>
      </w:pPr>
      <w:r>
        <w:t xml:space="preserve">Location</w:t>
      </w:r>
    </w:p>
    <w:p>
      <w:pPr>
        <w:pStyle w:val="BodyText"/>
      </w:pPr>
      <w:r>
        <w:t xml:space="preserve">DSR</w:t>
      </w:r>
    </w:p>
    <w:p>
      <w:pPr>
        <w:pStyle w:val="BodyText"/>
      </w:pPr>
      <w:r>
        <w:t xml:space="preserve">NRR</w:t>
      </w:r>
    </w:p>
    <w:p>
      <w:pPr>
        <w:pStyle w:val="BodyText"/>
      </w:pPr>
      <w:r>
        <w:t xml:space="preserve">Difference (days)</w:t>
      </w:r>
    </w:p>
    <w:p>
      <w:pPr>
        <w:pStyle w:val="BodyText"/>
      </w:pPr>
      <w:r>
        <w:t xml:space="preserve">Lower Granite</w:t>
      </w:r>
    </w:p>
    <w:p>
      <w:pPr>
        <w:pStyle w:val="BodyText"/>
      </w:pPr>
      <w:r>
        <w:t xml:space="preserve">114</w:t>
      </w:r>
    </w:p>
    <w:p>
      <w:pPr>
        <w:pStyle w:val="BodyText"/>
      </w:pPr>
      <w:r>
        <w:t xml:space="preserve">129</w:t>
      </w:r>
    </w:p>
    <w:p>
      <w:pPr>
        <w:pStyle w:val="BodyText"/>
      </w:pPr>
      <w:r>
        <w:t xml:space="preserve">15</w:t>
      </w:r>
    </w:p>
    <w:p>
      <w:pPr>
        <w:pStyle w:val="BodyText"/>
      </w:pPr>
      <w:r>
        <w:t xml:space="preserve">Bonneville - Juv.</w:t>
      </w:r>
    </w:p>
    <w:p>
      <w:pPr>
        <w:pStyle w:val="BodyText"/>
      </w:pPr>
      <w:r>
        <w:t xml:space="preserve">132</w:t>
      </w:r>
    </w:p>
    <w:p>
      <w:pPr>
        <w:pStyle w:val="BodyText"/>
      </w:pPr>
      <w:r>
        <w:t xml:space="preserve">138</w:t>
      </w:r>
    </w:p>
    <w:p>
      <w:pPr>
        <w:pStyle w:val="BodyText"/>
      </w:pPr>
      <w:r>
        <w:t xml:space="preserve">7</w:t>
      </w:r>
    </w:p>
    <w:p>
      <w:pPr>
        <w:pStyle w:val="BodyText"/>
      </w:pPr>
      <w:r>
        <w:t xml:space="preserve">Bonneville - Adult</w:t>
      </w:r>
    </w:p>
    <w:p>
      <w:pPr>
        <w:pStyle w:val="BodyText"/>
      </w:pPr>
      <w:r>
        <w:t xml:space="preserve">133</w:t>
      </w:r>
    </w:p>
    <w:p>
      <w:pPr>
        <w:pStyle w:val="BodyText"/>
      </w:pPr>
      <w:r>
        <w:t xml:space="preserve">135</w:t>
      </w:r>
    </w:p>
    <w:p>
      <w:pPr>
        <w:pStyle w:val="BodyText"/>
      </w:pPr>
      <w:r>
        <w:t xml:space="preserve">2</w:t>
      </w:r>
    </w:p>
    <w:bookmarkEnd w:id="36"/>
    <w:bookmarkStart w:id="40" w:name="survival-1"/>
    <w:p>
      <w:pPr>
        <w:pStyle w:val="Heading2"/>
      </w:pPr>
      <w:r>
        <w:t xml:space="preserve">Survival</w:t>
      </w:r>
    </w:p>
    <w:p>
      <w:pPr>
        <w:pStyle w:val="FirstParagraph"/>
      </w:pPr>
      <w:r>
        <w:t xml:space="preserve">Juvenile NRR emigrants from the Lemhi River survived at a higher rate than DSR juveniles to Lower Granite Dam for all brood years where comparisons were possible except for BY2008 (upper-left facet, Figure</w:t>
      </w:r>
      <w:r>
        <w:t xml:space="preserve"> </w:t>
      </w:r>
      <w:r>
        <w:t xml:space="preserve">4</w:t>
      </w:r>
      <w:r>
        <w:t xml:space="preserve">) which was expected because NRR survival rates do not include mortality during winter months. However, differences in survival were less apparent for juveniles between Lower Granite Dam and Bonneville Dam where NRR emigrants had greater survival for only 7 of 12 brood years where comparisons were available (upper-right facet, Figure</w:t>
      </w:r>
      <w:r>
        <w:t xml:space="preserve"> </w:t>
      </w:r>
      <w:r>
        <w:t xml:space="preserve">4</w:t>
      </w:r>
      <w:r>
        <w:t xml:space="preserve">). NRR juveniles appeared to have higher ocean survival in earlier years (BY2004 - 2009), but differences are less apparent in BY2012 and after (lower-left facet, Figure</w:t>
      </w:r>
      <w:r>
        <w:t xml:space="preserve"> </w:t>
      </w:r>
      <w:r>
        <w:t xml:space="preserve">4</w:t>
      </w:r>
      <w:r>
        <w:t xml:space="preserve">)</w:t>
      </w:r>
    </w:p>
    <w:p>
      <w:pPr>
        <w:pStyle w:val="CaptionedFigure"/>
      </w:pPr>
      <w:r>
        <w:drawing>
          <wp:inline>
            <wp:extent cx="5504749" cy="3669832"/>
            <wp:effectExtent b="0" l="0" r="0" t="0"/>
            <wp:docPr descr="Figure 4: Boxplots showing posteriors of survival probability between detection sites, colored by life history. Boxes represent the middle 50% of the posterior draws and the median is shown by the bisecting line. Whiskers show range of values within 1.5 times the interquartile range. Outliers are represented by points." title="" id="1" name="Picture"/>
            <a:graphic>
              <a:graphicData uri="http://schemas.openxmlformats.org/drawingml/2006/picture">
                <pic:pic>
                  <pic:nvPicPr>
                    <pic:cNvPr descr="C:/Git/Lemhi_RME/analysis/figures/surv-post-fig-1.png" id="0" name="Picture"/>
                    <pic:cNvPicPr>
                      <a:picLocks noChangeArrowheads="1" noChangeAspect="1"/>
                    </pic:cNvPicPr>
                  </pic:nvPicPr>
                  <pic:blipFill>
                    <a:blip r:embed="rId37"/>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Boxplots showing posteriors of survival probability between detection sites, colored by life history. Boxes represent the middle 50% of the posterior draws and the median is shown by the bisecting line. Whiskers show range of values within 1.5 times the interquartile range. Outliers are represented by points.</w:t>
      </w:r>
    </w:p>
    <w:p>
      <w:pPr>
        <w:pStyle w:val="BodyText"/>
      </w:pPr>
      <w:r>
        <w:t xml:space="preserve">The NRR life-history strategy had higher relative survival from the lower Lemhi River rotary screw trap to GRJ for all brood years except BY2008 (Figure</w:t>
      </w:r>
      <w:r>
        <w:t xml:space="preserve"> </w:t>
      </w:r>
      <w:r>
        <w:t xml:space="preserve">5</w:t>
      </w:r>
      <w:r>
        <w:t xml:space="preserve">, Table</w:t>
      </w:r>
      <w:r>
        <w:t xml:space="preserve"> </w:t>
      </w:r>
      <w:r>
        <w:t xml:space="preserve">(tab:delta-tab)). The pattern was less apparent looking just at mainstem juvenile survival between GRJ and BOJ; however, evaluating the</w:t>
      </w:r>
      <w:r>
        <w:t xml:space="preserve"> </w:t>
      </w:r>
      <w:r>
        <w:t xml:space="preserve">“</w:t>
      </w:r>
      <w:r>
        <w:t xml:space="preserve">entire</w:t>
      </w:r>
      <w:r>
        <w:t xml:space="preserve">”</w:t>
      </w:r>
      <w:r>
        <w:t xml:space="preserve"> </w:t>
      </w:r>
      <w:r>
        <w:t xml:space="preserve">juvenile survival from the lower Lemhi River to BOJ, the NRR strategy again had higher relative survival in all years except BY009 (Figure</w:t>
      </w:r>
      <w:r>
        <w:t xml:space="preserve"> </w:t>
      </w:r>
      <w:r>
        <w:t xml:space="preserve">5</w:t>
      </w:r>
      <w:r>
        <w:t xml:space="preserve">, Table</w:t>
      </w:r>
      <w:r>
        <w:t xml:space="preserve"> </w:t>
      </w:r>
      <w:r>
        <w:t xml:space="preserve">(tab:delta-tab)). Higher relative juvenile survival for the NRR strategy from LLRTP to GRJ and BOJ in most years is likely largely due to NRR juveniles having already survived through winter months.</w:t>
      </w:r>
    </w:p>
    <w:p>
      <w:pPr>
        <w:pStyle w:val="CaptionedFigure"/>
      </w:pPr>
      <w:r>
        <w:drawing>
          <wp:inline>
            <wp:extent cx="5504749" cy="3669832"/>
            <wp:effectExtent b="0" l="0" r="0" t="0"/>
            <wp:docPr descr="Figure 5: Boxplots of posteriors of log odds ratios of survival between DSR and NRR tags. Values greater than 0 indicate relatively better survival for DSR fish and less than 0 indicates relatively better survival for NRR fish. Color indicates which life history strategy was favored for that brood year. Boxes represent the middle 50% of the posterior draws and the median is shown by the bisecting line. Whiskers show 95% credible intervals." title="" id="1" name="Picture"/>
            <a:graphic>
              <a:graphicData uri="http://schemas.openxmlformats.org/drawingml/2006/picture">
                <pic:pic>
                  <pic:nvPicPr>
                    <pic:cNvPr descr="C:/Git/Lemhi_RME/analysis/figures/delta-fresh-1.png" id="0" name="Picture"/>
                    <pic:cNvPicPr>
                      <a:picLocks noChangeArrowheads="1" noChangeAspect="1"/>
                    </pic:cNvPicPr>
                  </pic:nvPicPr>
                  <pic:blipFill>
                    <a:blip r:embed="rId3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5: Boxplots of posteriors of log odds ratios of survival between DSR and NRR tags. Values greater than 0 indicate relatively better survival for DSR fish and less than 0 indicates relatively better survival for NRR fish. Color indicates which life history strategy was favored for that brood year. Boxes represent the middle 50% of the posterior draws and the median is shown by the bisecting line. Whiskers show 95% credible intervals.</w:t>
      </w:r>
    </w:p>
    <w:p>
      <w:pPr>
        <w:pStyle w:val="BodyText"/>
      </w:pPr>
      <w:r>
        <w:t xml:space="preserve">Table 4: Odds ratio (90% credible interval) of survival between various detection points, comparing DSR to NRR. Values less than 1 indicate NRR has better relative survival, while values greater than 1 favor DSR. Cells in bold show statistically significant differences.</w:t>
      </w:r>
    </w:p>
    <w:p>
      <w:pPr>
        <w:pStyle w:val="BodyText"/>
      </w:pPr>
      <w:r>
        <w:t xml:space="preserve">Brood Year</w:t>
      </w:r>
    </w:p>
    <w:p>
      <w:pPr>
        <w:pStyle w:val="BodyText"/>
      </w:pPr>
      <w:r>
        <w:t xml:space="preserve">LLRTP to GRJ</w:t>
      </w:r>
    </w:p>
    <w:p>
      <w:pPr>
        <w:pStyle w:val="BodyText"/>
      </w:pPr>
      <w:r>
        <w:t xml:space="preserve">GRJ to BOJ</w:t>
      </w:r>
    </w:p>
    <w:p>
      <w:pPr>
        <w:pStyle w:val="BodyText"/>
      </w:pPr>
      <w:r>
        <w:t xml:space="preserve">LLRTP to BOJ</w:t>
      </w:r>
    </w:p>
    <w:p>
      <w:pPr>
        <w:pStyle w:val="BodyText"/>
      </w:pPr>
      <w:r>
        <w:t xml:space="preserve">2004</w:t>
      </w:r>
    </w:p>
    <w:p>
      <w:pPr>
        <w:pStyle w:val="BodyText"/>
      </w:pPr>
      <w:r>
        <w:t xml:space="preserve">0.81 (0.41, 1.51)</w:t>
      </w:r>
    </w:p>
    <w:p>
      <w:pPr>
        <w:pStyle w:val="BodyText"/>
      </w:pPr>
      <w:r>
        <w:t xml:space="preserve">0.77 (0.16, 3.6)</w:t>
      </w:r>
    </w:p>
    <w:p>
      <w:pPr>
        <w:pStyle w:val="BodyText"/>
      </w:pPr>
      <w:r>
        <w:t xml:space="preserve">0.62 (0.14, 2.9)</w:t>
      </w:r>
    </w:p>
    <w:p>
      <w:pPr>
        <w:pStyle w:val="BodyText"/>
      </w:pPr>
      <w:r>
        <w:t xml:space="preserve">2005</w:t>
      </w:r>
    </w:p>
    <w:p>
      <w:pPr>
        <w:pStyle w:val="BodyText"/>
      </w:pPr>
      <w:r>
        <w:t xml:space="preserve">0.58 (0.3, 1.19)</w:t>
      </w:r>
    </w:p>
    <w:p>
      <w:pPr>
        <w:pStyle w:val="BodyText"/>
      </w:pPr>
      <w:r>
        <w:t xml:space="preserve">1.3 (0.3, 6.93)</w:t>
      </w:r>
    </w:p>
    <w:p>
      <w:pPr>
        <w:pStyle w:val="BodyText"/>
      </w:pPr>
      <w:r>
        <w:t xml:space="preserve">0.76 (0.18, 3.62)</w:t>
      </w:r>
    </w:p>
    <w:p>
      <w:pPr>
        <w:pStyle w:val="BodyText"/>
      </w:pPr>
      <w:r>
        <w:t xml:space="preserve">2006</w:t>
      </w:r>
    </w:p>
    <w:p>
      <w:pPr>
        <w:pStyle w:val="BodyText"/>
      </w:pPr>
      <w:r>
        <w:t xml:space="preserve">0.64 (0.4, 1.03)</w:t>
      </w:r>
    </w:p>
    <w:p>
      <w:pPr>
        <w:pStyle w:val="BodyText"/>
      </w:pPr>
      <w:r>
        <w:t xml:space="preserve">0.78 (0.22, 2.88)</w:t>
      </w:r>
    </w:p>
    <w:p>
      <w:pPr>
        <w:pStyle w:val="BodyText"/>
      </w:pPr>
      <w:r>
        <w:t xml:space="preserve">0.5 (0.13, 1.71)</w:t>
      </w:r>
    </w:p>
    <w:p>
      <w:pPr>
        <w:pStyle w:val="BodyText"/>
      </w:pPr>
      <w:r>
        <w:t xml:space="preserve">2007</w:t>
      </w:r>
    </w:p>
    <w:p>
      <w:pPr>
        <w:pStyle w:val="BodyText"/>
      </w:pPr>
      <w:r>
        <w:t xml:space="preserve">0.53 (0.36, 0.76)</w:t>
      </w:r>
    </w:p>
    <w:p>
      <w:pPr>
        <w:pStyle w:val="BodyText"/>
      </w:pPr>
      <w:r>
        <w:t xml:space="preserve">1.75 (0.55, 5.62)</w:t>
      </w:r>
    </w:p>
    <w:p>
      <w:pPr>
        <w:pStyle w:val="BodyText"/>
      </w:pPr>
      <w:r>
        <w:t xml:space="preserve">0.92 (0.28, 2.83)</w:t>
      </w:r>
    </w:p>
    <w:p>
      <w:pPr>
        <w:pStyle w:val="BodyText"/>
      </w:pPr>
      <w:r>
        <w:t xml:space="preserve">2008</w:t>
      </w:r>
    </w:p>
    <w:p>
      <w:pPr>
        <w:pStyle w:val="BodyText"/>
      </w:pPr>
      <w:r>
        <w:t xml:space="preserve">1.05 (0.63, 1.76)</w:t>
      </w:r>
    </w:p>
    <w:p>
      <w:pPr>
        <w:pStyle w:val="BodyText"/>
      </w:pPr>
      <w:r>
        <w:t xml:space="preserve">0.74 (0.21, 2.49)</w:t>
      </w:r>
    </w:p>
    <w:p>
      <w:pPr>
        <w:pStyle w:val="BodyText"/>
      </w:pPr>
      <w:r>
        <w:t xml:space="preserve">0.77 (0.23, 2.48)</w:t>
      </w:r>
    </w:p>
    <w:p>
      <w:pPr>
        <w:pStyle w:val="BodyText"/>
      </w:pPr>
      <w:r>
        <w:t xml:space="preserve">2009</w:t>
      </w:r>
    </w:p>
    <w:p>
      <w:pPr>
        <w:pStyle w:val="BodyText"/>
      </w:pPr>
      <w:r>
        <w:t xml:space="preserve">0.73 (0.42, 1.21)</w:t>
      </w:r>
    </w:p>
    <w:p>
      <w:pPr>
        <w:pStyle w:val="BodyText"/>
      </w:pPr>
      <w:r>
        <w:t xml:space="preserve">7.04 (1.04, 57.48)</w:t>
      </w:r>
    </w:p>
    <w:p>
      <w:pPr>
        <w:pStyle w:val="BodyText"/>
      </w:pPr>
      <w:r>
        <w:t xml:space="preserve">5.14 (0.79, 37.01)</w:t>
      </w:r>
    </w:p>
    <w:p>
      <w:pPr>
        <w:pStyle w:val="BodyText"/>
      </w:pPr>
      <w:r>
        <w:t xml:space="preserve">2011</w:t>
      </w:r>
    </w:p>
    <w:p>
      <w:pPr>
        <w:pStyle w:val="BodyText"/>
      </w:pPr>
      <w:r>
        <w:t xml:space="preserve">0.08 (0.01, 0.51)</w:t>
      </w:r>
    </w:p>
    <w:p>
      <w:pPr>
        <w:pStyle w:val="BodyText"/>
      </w:pPr>
      <w:r>
        <w:t xml:space="preserve">0.5 (0.12, 1.94)</w:t>
      </w:r>
    </w:p>
    <w:p>
      <w:pPr>
        <w:pStyle w:val="BodyText"/>
      </w:pPr>
      <w:r>
        <w:t xml:space="preserve">0.04 (0.01, 0.18)</w:t>
      </w:r>
    </w:p>
    <w:p>
      <w:pPr>
        <w:pStyle w:val="BodyText"/>
      </w:pPr>
      <w:r>
        <w:t xml:space="preserve">2012</w:t>
      </w:r>
    </w:p>
    <w:p>
      <w:pPr>
        <w:pStyle w:val="BodyText"/>
      </w:pPr>
      <w:r>
        <w:t xml:space="preserve">0.61 (0.41, 0.91)</w:t>
      </w:r>
    </w:p>
    <w:p>
      <w:pPr>
        <w:pStyle w:val="BodyText"/>
      </w:pPr>
      <w:r>
        <w:t xml:space="preserve">0.84 (0.26, 3.18)</w:t>
      </w:r>
    </w:p>
    <w:p>
      <w:pPr>
        <w:pStyle w:val="BodyText"/>
      </w:pPr>
      <w:r>
        <w:t xml:space="preserve">0.51 (0.15, 1.82)</w:t>
      </w:r>
    </w:p>
    <w:p>
      <w:pPr>
        <w:pStyle w:val="BodyText"/>
      </w:pPr>
      <w:r>
        <w:t xml:space="preserve">2013</w:t>
      </w:r>
    </w:p>
    <w:p>
      <w:pPr>
        <w:pStyle w:val="BodyText"/>
      </w:pPr>
      <w:r>
        <w:t xml:space="preserve">0.26 (0.16, 0.43)</w:t>
      </w:r>
    </w:p>
    <w:p>
      <w:pPr>
        <w:pStyle w:val="BodyText"/>
      </w:pPr>
      <w:r>
        <w:t xml:space="preserve">0.85 (0.24, 3.26)</w:t>
      </w:r>
    </w:p>
    <w:p>
      <w:pPr>
        <w:pStyle w:val="BodyText"/>
      </w:pPr>
      <w:r>
        <w:t xml:space="preserve">0.22 (0.07, 0.82)</w:t>
      </w:r>
    </w:p>
    <w:p>
      <w:pPr>
        <w:pStyle w:val="BodyText"/>
      </w:pPr>
      <w:r>
        <w:t xml:space="preserve">2014</w:t>
      </w:r>
    </w:p>
    <w:p>
      <w:pPr>
        <w:pStyle w:val="BodyText"/>
      </w:pPr>
      <w:r>
        <w:t xml:space="preserve">0.26 (0.2, 0.32)</w:t>
      </w:r>
    </w:p>
    <w:p>
      <w:pPr>
        <w:pStyle w:val="BodyText"/>
      </w:pPr>
      <w:r>
        <w:t xml:space="preserve">0.85 (0.24, 2.82)</w:t>
      </w:r>
    </w:p>
    <w:p>
      <w:pPr>
        <w:pStyle w:val="BodyText"/>
      </w:pPr>
      <w:r>
        <w:t xml:space="preserve">0.22 (0.07, 0.83)</w:t>
      </w:r>
    </w:p>
    <w:p>
      <w:pPr>
        <w:pStyle w:val="BodyText"/>
      </w:pPr>
      <w:r>
        <w:t xml:space="preserve">2015</w:t>
      </w:r>
    </w:p>
    <w:p>
      <w:pPr>
        <w:pStyle w:val="BodyText"/>
      </w:pPr>
      <w:r>
        <w:t xml:space="preserve">0.5 (0.34, 0.71)</w:t>
      </w:r>
    </w:p>
    <w:p>
      <w:pPr>
        <w:pStyle w:val="BodyText"/>
      </w:pPr>
      <w:r>
        <w:t xml:space="preserve">0.45 (0.11, 1.67)</w:t>
      </w:r>
    </w:p>
    <w:p>
      <w:pPr>
        <w:pStyle w:val="BodyText"/>
      </w:pPr>
      <w:r>
        <w:t xml:space="preserve">0.22 (0.05, 0.73)</w:t>
      </w:r>
    </w:p>
    <w:p>
      <w:pPr>
        <w:pStyle w:val="BodyText"/>
      </w:pPr>
      <w:r>
        <w:t xml:space="preserve">2016</w:t>
      </w:r>
    </w:p>
    <w:p>
      <w:pPr>
        <w:pStyle w:val="BodyText"/>
      </w:pPr>
      <w:r>
        <w:t xml:space="preserve">0.4 (0.3, 0.56)</w:t>
      </w:r>
    </w:p>
    <w:p>
      <w:pPr>
        <w:pStyle w:val="BodyText"/>
      </w:pPr>
      <w:r>
        <w:t xml:space="preserve">1.59 (0.39, 5.9)</w:t>
      </w:r>
    </w:p>
    <w:p>
      <w:pPr>
        <w:pStyle w:val="BodyText"/>
      </w:pPr>
      <w:r>
        <w:t xml:space="preserve">0.64 (0.16, 2.29)</w:t>
      </w:r>
    </w:p>
    <w:p>
      <w:pPr>
        <w:pStyle w:val="BodyText"/>
      </w:pPr>
      <w:r>
        <w:t xml:space="preserve">2017</w:t>
      </w:r>
    </w:p>
    <w:p>
      <w:pPr>
        <w:pStyle w:val="BodyText"/>
      </w:pPr>
      <w:r>
        <w:t xml:space="preserve">0.47 (0.36, 0.6)</w:t>
      </w:r>
    </w:p>
    <w:p>
      <w:pPr>
        <w:pStyle w:val="BodyText"/>
      </w:pPr>
      <w:r>
        <w:t xml:space="preserve">1.46 (0.57, 3.78)</w:t>
      </w:r>
    </w:p>
    <w:p>
      <w:pPr>
        <w:pStyle w:val="BodyText"/>
      </w:pPr>
      <w:r>
        <w:t xml:space="preserve">0.69 (0.29, 1.78)</w:t>
      </w:r>
    </w:p>
    <w:p>
      <w:pPr>
        <w:pStyle w:val="BodyText"/>
      </w:pPr>
      <w:r>
        <w:t xml:space="preserve">Interestingly, daily survival rates were higher for DSR emigrants for 7 of 12 brood years (Figure</w:t>
      </w:r>
      <w:r>
        <w:t xml:space="preserve"> </w:t>
      </w:r>
      <w:r>
        <w:t xml:space="preserve">6</w:t>
      </w:r>
      <w:r>
        <w:t xml:space="preserve">) which is in slight contrast to results for overall juvenile survival to downstream locations.</w:t>
      </w:r>
    </w:p>
    <w:p>
      <w:pPr>
        <w:pStyle w:val="CaptionedFigure"/>
      </w:pPr>
      <w:r>
        <w:drawing>
          <wp:inline>
            <wp:extent cx="5504749" cy="3669832"/>
            <wp:effectExtent b="0" l="0" r="0" t="0"/>
            <wp:docPr descr="Figure 6: Juvenile survival to Lower Granite Dam between DSR and NRR tags, scaled temporally by days i.e., daily survival rates by brood year for juveniles tagged at the lower Lemhi River rotary screw trap." title="" id="1" name="Picture"/>
            <a:graphic>
              <a:graphicData uri="http://schemas.openxmlformats.org/drawingml/2006/picture">
                <pic:pic>
                  <pic:nvPicPr>
                    <pic:cNvPr descr="C:/Git/Lemhi_RME/analysis/figures/daily-surv-p-1.png" id="0" name="Picture"/>
                    <pic:cNvPicPr>
                      <a:picLocks noChangeArrowheads="1" noChangeAspect="1"/>
                    </pic:cNvPicPr>
                  </pic:nvPicPr>
                  <pic:blipFill>
                    <a:blip r:embed="rId3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6: Juvenile survival to Lower Granite Dam between DSR and NRR tags, scaled temporally by days i.e., daily survival rates by brood year for juveniles tagged at the lower Lemhi River rotary screw trap.</w:t>
      </w:r>
    </w:p>
    <w:bookmarkEnd w:id="40"/>
    <w:bookmarkStart w:id="42" w:name="smolt-to-adult-return-rates-sar-1"/>
    <w:p>
      <w:pPr>
        <w:pStyle w:val="Heading2"/>
      </w:pPr>
      <w:r>
        <w:t xml:space="preserve">Smolt-to-Adult Return Rates (SAR)</w:t>
      </w:r>
    </w:p>
    <w:p>
      <w:pPr>
        <w:pStyle w:val="FirstParagraph"/>
      </w:pPr>
      <w:r>
        <w:t xml:space="preserve">The SARs favored the DSR strategy during early cohorts (BY2004 - BY2008), but NRR emigrants during later cohorts (BY2009 - BY2017) (Figure</w:t>
      </w:r>
      <w:r>
        <w:t xml:space="preserve"> </w:t>
      </w:r>
      <w:r>
        <w:t xml:space="preserve">7</w:t>
      </w:r>
      <w:r>
        <w:t xml:space="preserve">). However, differences were only significant in one case where GRJ -&gt; BON SARs favored the NRR strategy in BY2006 (Table</w:t>
      </w:r>
      <w:r>
        <w:t xml:space="preserve"> </w:t>
      </w:r>
      <w:r>
        <w:t xml:space="preserve">5</w:t>
      </w:r>
      <w:r>
        <w:t xml:space="preserve">).</w:t>
      </w:r>
    </w:p>
    <w:p>
      <w:pPr>
        <w:pStyle w:val="CaptionedFigure"/>
      </w:pPr>
      <w:r>
        <w:drawing>
          <wp:inline>
            <wp:extent cx="5504749" cy="3669832"/>
            <wp:effectExtent b="0" l="0" r="0" t="0"/>
            <wp:docPr descr="Figure 7: Boxplots of posteriors of log odds ratios of SARs between DSR and NRR tags. Values greater than 0 indicate relatively better survival for DSR fish and less than 0 indicates relatively better survival for NRR fish. Color indicates which life history was favored for that brood year. Boxes represent the middle 50% of the posterior draws and the median is shown by the bisecting line. Whiskers show 95% credible intervals." title="" id="1" name="Picture"/>
            <a:graphic>
              <a:graphicData uri="http://schemas.openxmlformats.org/drawingml/2006/picture">
                <pic:pic>
                  <pic:nvPicPr>
                    <pic:cNvPr descr="C:/Git/Lemhi_RME/analysis/figures/delta-sar-1.png" id="0" name="Picture"/>
                    <pic:cNvPicPr>
                      <a:picLocks noChangeArrowheads="1" noChangeAspect="1"/>
                    </pic:cNvPicPr>
                  </pic:nvPicPr>
                  <pic:blipFill>
                    <a:blip r:embed="rId41"/>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7: Boxplots of posteriors of log odds ratios of SARs between DSR and NRR tags. Values greater than 0 indicate relatively better survival for DSR fish and less than 0 indicates relatively better survival for NRR fish. Color indicates which life history was favored for that brood year. Boxes represent the middle 50% of the posterior draws and the median is shown by the bisecting line. Whiskers show 95% credible intervals.</w:t>
      </w:r>
    </w:p>
    <w:p>
      <w:pPr>
        <w:pStyle w:val="BodyText"/>
      </w:pPr>
      <w:r>
        <w:t xml:space="preserve">Table 5: Odds ratio (90% credible interval) of SARs to BON and GRA, comparing DSR to NRR. Values less than 1 indicate NRR has better relative survival, while values greater than 1 favor DSR Cells in bold show statistically significant differences.</w:t>
      </w:r>
    </w:p>
    <w:p>
      <w:pPr>
        <w:pStyle w:val="BodyText"/>
      </w:pPr>
      <w:r>
        <w:t xml:space="preserve">Brood Year</w:t>
      </w:r>
    </w:p>
    <w:p>
      <w:pPr>
        <w:pStyle w:val="BodyText"/>
      </w:pPr>
      <w:r>
        <w:t xml:space="preserve">SAR (GRJ-BON)</w:t>
      </w:r>
    </w:p>
    <w:p>
      <w:pPr>
        <w:pStyle w:val="BodyText"/>
      </w:pPr>
      <w:r>
        <w:t xml:space="preserve">SAR (GRJ-GRA)</w:t>
      </w:r>
    </w:p>
    <w:p>
      <w:pPr>
        <w:pStyle w:val="BodyText"/>
      </w:pPr>
      <w:r>
        <w:t xml:space="preserve">2004</w:t>
      </w:r>
    </w:p>
    <w:p>
      <w:pPr>
        <w:pStyle w:val="BodyText"/>
      </w:pPr>
      <w:r>
        <w:t xml:space="preserve">0.44 (0.03, 6.88)</w:t>
      </w:r>
    </w:p>
    <w:p>
      <w:pPr>
        <w:pStyle w:val="BodyText"/>
      </w:pPr>
      <w:r>
        <w:t xml:space="preserve">0.21 (0.01, 7.18)</w:t>
      </w:r>
    </w:p>
    <w:p>
      <w:pPr>
        <w:pStyle w:val="BodyText"/>
      </w:pPr>
      <w:r>
        <w:t xml:space="preserve">2005</w:t>
      </w:r>
    </w:p>
    <w:p>
      <w:pPr>
        <w:pStyle w:val="BodyText"/>
      </w:pPr>
      <w:r>
        <w:t xml:space="preserve">0.51 (0.05, 5.86)</w:t>
      </w:r>
    </w:p>
    <w:p>
      <w:pPr>
        <w:pStyle w:val="BodyText"/>
      </w:pPr>
      <w:r>
        <w:t xml:space="preserve">1.19 (0.06, 17.18)</w:t>
      </w:r>
    </w:p>
    <w:p>
      <w:pPr>
        <w:pStyle w:val="BodyText"/>
      </w:pPr>
      <w:r>
        <w:t xml:space="preserve">2006</w:t>
      </w:r>
    </w:p>
    <w:p>
      <w:pPr>
        <w:pStyle w:val="BodyText"/>
      </w:pPr>
      <w:r>
        <w:t xml:space="preserve">0.27 (0.08, 0.84)</w:t>
      </w:r>
    </w:p>
    <w:p>
      <w:pPr>
        <w:pStyle w:val="BodyText"/>
      </w:pPr>
      <w:r>
        <w:t xml:space="preserve">0.4 (0.1, 1.57)</w:t>
      </w:r>
    </w:p>
    <w:p>
      <w:pPr>
        <w:pStyle w:val="BodyText"/>
      </w:pPr>
      <w:r>
        <w:t xml:space="preserve">2007</w:t>
      </w:r>
    </w:p>
    <w:p>
      <w:pPr>
        <w:pStyle w:val="BodyText"/>
      </w:pPr>
      <w:r>
        <w:t xml:space="preserve">0.54 (0.18, 1.56)</w:t>
      </w:r>
    </w:p>
    <w:p>
      <w:pPr>
        <w:pStyle w:val="BodyText"/>
      </w:pPr>
      <w:r>
        <w:t xml:space="preserve">0.77 (0.22, 2.53)</w:t>
      </w:r>
    </w:p>
    <w:p>
      <w:pPr>
        <w:pStyle w:val="BodyText"/>
      </w:pPr>
      <w:r>
        <w:t xml:space="preserve">2008</w:t>
      </w:r>
    </w:p>
    <w:p>
      <w:pPr>
        <w:pStyle w:val="BodyText"/>
      </w:pPr>
      <w:r>
        <w:t xml:space="preserve">0.84 (0.24, 3.13)</w:t>
      </w:r>
    </w:p>
    <w:p>
      <w:pPr>
        <w:pStyle w:val="BodyText"/>
      </w:pPr>
      <w:r>
        <w:t xml:space="preserve">0.7 (0.16, 3.02)</w:t>
      </w:r>
    </w:p>
    <w:p>
      <w:pPr>
        <w:pStyle w:val="BodyText"/>
      </w:pPr>
      <w:r>
        <w:t xml:space="preserve">2009</w:t>
      </w:r>
    </w:p>
    <w:p>
      <w:pPr>
        <w:pStyle w:val="BodyText"/>
      </w:pPr>
      <w:r>
        <w:t xml:space="preserve">1.54 (0.39, 5.45)</w:t>
      </w:r>
    </w:p>
    <w:p>
      <w:pPr>
        <w:pStyle w:val="BodyText"/>
      </w:pPr>
      <w:r>
        <w:t xml:space="preserve">1.49 (0.38, 6.7)</w:t>
      </w:r>
    </w:p>
    <w:p>
      <w:pPr>
        <w:pStyle w:val="BodyText"/>
      </w:pPr>
      <w:r>
        <w:t xml:space="preserve">2011</w:t>
      </w:r>
    </w:p>
    <w:p>
      <w:pPr>
        <w:pStyle w:val="BodyText"/>
      </w:pPr>
      <w:r>
        <w:t xml:space="preserve">4.53 (0.44, 38.76)</w:t>
      </w:r>
    </w:p>
    <w:p>
      <w:pPr>
        <w:pStyle w:val="BodyText"/>
      </w:pPr>
      <w:r>
        <w:t xml:space="preserve">1.91 (0.11, 31.32)</w:t>
      </w:r>
    </w:p>
    <w:p>
      <w:pPr>
        <w:pStyle w:val="BodyText"/>
      </w:pPr>
      <w:r>
        <w:t xml:space="preserve">2012</w:t>
      </w:r>
    </w:p>
    <w:p>
      <w:pPr>
        <w:pStyle w:val="BodyText"/>
      </w:pPr>
      <w:r>
        <w:t xml:space="preserve">1.29 (0.5, 3.44)</w:t>
      </w:r>
    </w:p>
    <w:p>
      <w:pPr>
        <w:pStyle w:val="BodyText"/>
      </w:pPr>
      <w:r>
        <w:t xml:space="preserve">1.48 (0.53, 3.98)</w:t>
      </w:r>
    </w:p>
    <w:p>
      <w:pPr>
        <w:pStyle w:val="BodyText"/>
      </w:pPr>
      <w:r>
        <w:t xml:space="preserve">2013</w:t>
      </w:r>
    </w:p>
    <w:p>
      <w:pPr>
        <w:pStyle w:val="BodyText"/>
      </w:pPr>
      <w:r>
        <w:t xml:space="preserve">1.76 (0.48, 5.97)</w:t>
      </w:r>
    </w:p>
    <w:p>
      <w:pPr>
        <w:pStyle w:val="BodyText"/>
      </w:pPr>
      <w:r>
        <w:t xml:space="preserve">2.05 (0.51, 10.24)</w:t>
      </w:r>
    </w:p>
    <w:p>
      <w:pPr>
        <w:pStyle w:val="BodyText"/>
      </w:pPr>
      <w:r>
        <w:t xml:space="preserve">2014</w:t>
      </w:r>
    </w:p>
    <w:p>
      <w:pPr>
        <w:pStyle w:val="BodyText"/>
      </w:pPr>
      <w:r>
        <w:t xml:space="preserve">1.43 (0.53, 3.87)</w:t>
      </w:r>
    </w:p>
    <w:p>
      <w:pPr>
        <w:pStyle w:val="BodyText"/>
      </w:pPr>
      <w:r>
        <w:t xml:space="preserve">0.94 (0.35, 2.8)</w:t>
      </w:r>
    </w:p>
    <w:p>
      <w:pPr>
        <w:pStyle w:val="BodyText"/>
      </w:pPr>
      <w:r>
        <w:t xml:space="preserve">2015</w:t>
      </w:r>
    </w:p>
    <w:p>
      <w:pPr>
        <w:pStyle w:val="BodyText"/>
      </w:pPr>
      <w:r>
        <w:t xml:space="preserve">0.46 (0.12, 1.85)</w:t>
      </w:r>
    </w:p>
    <w:p>
      <w:pPr>
        <w:pStyle w:val="BodyText"/>
      </w:pPr>
      <w:r>
        <w:t xml:space="preserve">0.55 (0.14, 2.58)</w:t>
      </w:r>
    </w:p>
    <w:p>
      <w:pPr>
        <w:pStyle w:val="BodyText"/>
      </w:pPr>
      <w:r>
        <w:t xml:space="preserve">2016</w:t>
      </w:r>
    </w:p>
    <w:p>
      <w:pPr>
        <w:pStyle w:val="BodyText"/>
      </w:pPr>
      <w:r>
        <w:t xml:space="preserve">1.5 (0.61, 3.38)</w:t>
      </w:r>
    </w:p>
    <w:p>
      <w:pPr>
        <w:pStyle w:val="BodyText"/>
      </w:pPr>
      <w:r>
        <w:t xml:space="preserve">1.76 (0.67, 5.04)</w:t>
      </w:r>
    </w:p>
    <w:p>
      <w:pPr>
        <w:pStyle w:val="BodyText"/>
      </w:pPr>
      <w:r>
        <w:t xml:space="preserve">2017</w:t>
      </w:r>
    </w:p>
    <w:p>
      <w:pPr>
        <w:pStyle w:val="BodyText"/>
      </w:pPr>
      <w:r>
        <w:t xml:space="preserve">1.2 (0.6, 2.38)</w:t>
      </w:r>
    </w:p>
    <w:p>
      <w:pPr>
        <w:pStyle w:val="BodyText"/>
      </w:pPr>
      <w:r>
        <w:t xml:space="preserve">1.59 (0.74, 3.68)</w:t>
      </w:r>
    </w:p>
    <w:bookmarkEnd w:id="42"/>
    <w:bookmarkEnd w:id="43"/>
    <w:bookmarkStart w:id="44" w:name="discussion"/>
    <w:p>
      <w:pPr>
        <w:pStyle w:val="Heading1"/>
      </w:pPr>
      <w:r>
        <w:t xml:space="preserve">Discussion</w:t>
      </w:r>
    </w:p>
    <w:p>
      <w:pPr>
        <w:pStyle w:val="FirstParagraph"/>
      </w:pPr>
      <w:r>
        <w:t xml:space="preserve">Discussion text to follow…</w:t>
      </w:r>
    </w:p>
    <w:bookmarkEnd w:id="44"/>
    <w:bookmarkStart w:id="56" w:name="literature-cited"/>
    <w:p>
      <w:pPr>
        <w:pStyle w:val="Heading1"/>
      </w:pPr>
      <w:r>
        <w:t xml:space="preserve">Literature Cited</w:t>
      </w:r>
    </w:p>
    <w:bookmarkStart w:id="55" w:name="refs"/>
    <w:bookmarkStart w:id="45" w:name="ref-Bailey1951"/>
    <w:p>
      <w:pPr>
        <w:pStyle w:val="Bibliography"/>
      </w:pPr>
      <w:r>
        <w:t xml:space="preserve">Bailey, N. T. J. 1951. On</w:t>
      </w:r>
      <w:r>
        <w:t xml:space="preserve"> </w:t>
      </w:r>
      <w:r>
        <w:t xml:space="preserve">Estimating</w:t>
      </w:r>
      <w:r>
        <w:t xml:space="preserve"> </w:t>
      </w:r>
      <w:r>
        <w:t xml:space="preserve">the</w:t>
      </w:r>
      <w:r>
        <w:t xml:space="preserve"> </w:t>
      </w:r>
      <w:r>
        <w:t xml:space="preserve">Size</w:t>
      </w:r>
      <w:r>
        <w:t xml:space="preserve"> </w:t>
      </w:r>
      <w:r>
        <w:t xml:space="preserve">of</w:t>
      </w:r>
      <w:r>
        <w:t xml:space="preserve"> </w:t>
      </w:r>
      <w:r>
        <w:t xml:space="preserve">Mobile Populations</w:t>
      </w:r>
      <w:r>
        <w:t xml:space="preserve"> </w:t>
      </w:r>
      <w:r>
        <w:t xml:space="preserve">from</w:t>
      </w:r>
      <w:r>
        <w:t xml:space="preserve"> </w:t>
      </w:r>
      <w:r>
        <w:t xml:space="preserve">Recapture Data</w:t>
      </w:r>
      <w:r>
        <w:t xml:space="preserve">. Biometrika 38:293–306.</w:t>
      </w:r>
    </w:p>
    <w:bookmarkEnd w:id="45"/>
    <w:bookmarkStart w:id="46" w:name="ref-Copeland2021a"/>
    <w:p>
      <w:pPr>
        <w:pStyle w:val="Bibliography"/>
      </w:pPr>
      <w:r>
        <w:t xml:space="preserve">Copeland, T., B. Barnett, W. C. Schrader, K. A. Apperson, L. Janssen, and R. V. Roberts. 2021. Protocols for</w:t>
      </w:r>
      <w:r>
        <w:t xml:space="preserve"> </w:t>
      </w:r>
      <w:r>
        <w:t xml:space="preserve">Trapping Anadromous Emigrants</w:t>
      </w:r>
      <w:r>
        <w:t xml:space="preserve"> </w:t>
      </w:r>
      <w:r>
        <w:t xml:space="preserve">in</w:t>
      </w:r>
      <w:r>
        <w:t xml:space="preserve"> </w:t>
      </w:r>
      <w:r>
        <w:t xml:space="preserve">Idaho</w:t>
      </w:r>
      <w:r>
        <w:t xml:space="preserve">. Page 93. IDFG Report Number 21-05.</w:t>
      </w:r>
    </w:p>
    <w:bookmarkEnd w:id="46"/>
    <w:bookmarkStart w:id="47" w:name="ref-Copeland2014"/>
    <w:p>
      <w:pPr>
        <w:pStyle w:val="Bibliography"/>
      </w:pPr>
      <w:r>
        <w:t xml:space="preserve">Copeland, T., D. A. Venditti, and B. R. Barnett. 2014. The importance of juvenile migration tactics to adult recruitment in stream-type</w:t>
      </w:r>
      <w:r>
        <w:t xml:space="preserve"> </w:t>
      </w:r>
      <w:r>
        <w:t xml:space="preserve">Chinook Salmon</w:t>
      </w:r>
      <w:r>
        <w:t xml:space="preserve"> </w:t>
      </w:r>
      <w:r>
        <w:t xml:space="preserve">populations. Transactions of the American Fisheries Society 143(6):1460–1475.</w:t>
      </w:r>
    </w:p>
    <w:bookmarkEnd w:id="47"/>
    <w:bookmarkStart w:id="48" w:name="ref-Feeken2020"/>
    <w:p>
      <w:pPr>
        <w:pStyle w:val="Bibliography"/>
      </w:pPr>
      <w:r>
        <w:t xml:space="preserve">Feeken, S. F., B. Barnett, E. Felts, E. J. Stark, M. Davison, J. R. Poole, C. McClure, B. A. Knoth, and M. E. Dobos. 2020. Idaho</w:t>
      </w:r>
      <w:r>
        <w:t xml:space="preserve"> </w:t>
      </w:r>
      <w:r>
        <w:t xml:space="preserve">Anadromous Emigrant Monitoring</w:t>
      </w:r>
      <w:r>
        <w:t xml:space="preserve">, 2019</w:t>
      </w:r>
      <w:r>
        <w:t xml:space="preserve"> </w:t>
      </w:r>
      <w:r>
        <w:t xml:space="preserve">Annual Report</w:t>
      </w:r>
      <w:r>
        <w:t xml:space="preserve">. IDFG Report Number 20-09:67.</w:t>
      </w:r>
    </w:p>
    <w:bookmarkEnd w:id="48"/>
    <w:bookmarkStart w:id="49" w:name="ref-Fulton1904"/>
    <w:p>
      <w:pPr>
        <w:pStyle w:val="Bibliography"/>
      </w:pPr>
      <w:r>
        <w:t xml:space="preserve">Fulton, T. W. 1904. The rate of growth of fishes. 20th Annual Report of the Fishery Board of Scotland 1902(3):326–446.</w:t>
      </w:r>
    </w:p>
    <w:bookmarkEnd w:id="49"/>
    <w:bookmarkStart w:id="50" w:name="ref-Lebreton1992"/>
    <w:p>
      <w:pPr>
        <w:pStyle w:val="Bibliography"/>
      </w:pPr>
      <w:r>
        <w:t xml:space="preserve">Lebreton, J.-D., K. P. Burnham, J. Clobert, and D. R. Anderson. 1992. Modeling</w:t>
      </w:r>
      <w:r>
        <w:t xml:space="preserve"> </w:t>
      </w:r>
      <w:r>
        <w:t xml:space="preserve">Survival</w:t>
      </w:r>
      <w:r>
        <w:t xml:space="preserve"> </w:t>
      </w:r>
      <w:r>
        <w:t xml:space="preserve">and</w:t>
      </w:r>
      <w:r>
        <w:t xml:space="preserve"> </w:t>
      </w:r>
      <w:r>
        <w:t xml:space="preserve">Testing Biological Hypotheses Using Marked Animals</w:t>
      </w:r>
      <w:r>
        <w:t xml:space="preserve">:</w:t>
      </w:r>
      <w:r>
        <w:t xml:space="preserve"> </w:t>
      </w:r>
      <w:r>
        <w:t xml:space="preserve">A Unified Approach</w:t>
      </w:r>
      <w:r>
        <w:t xml:space="preserve"> </w:t>
      </w:r>
      <w:r>
        <w:t xml:space="preserve">with</w:t>
      </w:r>
      <w:r>
        <w:t xml:space="preserve"> </w:t>
      </w:r>
      <w:r>
        <w:t xml:space="preserve">Case Studies</w:t>
      </w:r>
      <w:r>
        <w:t xml:space="preserve">. Ecological Monographs 62(1):67–118.</w:t>
      </w:r>
    </w:p>
    <w:bookmarkEnd w:id="50"/>
    <w:bookmarkStart w:id="51" w:name="ref-McClure2021"/>
    <w:p>
      <w:pPr>
        <w:pStyle w:val="Bibliography"/>
      </w:pPr>
      <w:r>
        <w:t xml:space="preserve">McClure, C., B. Barnett, E. A. Felts, M. Davison, N. Smith, B. A. Knoth, J. R. Poole, and S. F. Feeken. 2021. Idaho</w:t>
      </w:r>
      <w:r>
        <w:t xml:space="preserve"> </w:t>
      </w:r>
      <w:r>
        <w:t xml:space="preserve">Anadromous Emigrant Monitoring</w:t>
      </w:r>
      <w:r>
        <w:t xml:space="preserve">, 2020</w:t>
      </w:r>
      <w:r>
        <w:t xml:space="preserve"> </w:t>
      </w:r>
      <w:r>
        <w:t xml:space="preserve">Annual Report</w:t>
      </w:r>
      <w:r>
        <w:t xml:space="preserve">. IDFG Report Number 21-11:65.</w:t>
      </w:r>
    </w:p>
    <w:bookmarkEnd w:id="51"/>
    <w:bookmarkStart w:id="52" w:name="ref-Poole2019"/>
    <w:p>
      <w:pPr>
        <w:pStyle w:val="Bibliography"/>
      </w:pPr>
      <w:r>
        <w:t xml:space="preserve">Poole, J. R., E. Felts, M. Dobos, B. Barnett, M. Davison, C. J. Roth, B. A. Knoth, and E. J. Stark. 2019. Idaho</w:t>
      </w:r>
      <w:r>
        <w:t xml:space="preserve"> </w:t>
      </w:r>
      <w:r>
        <w:t xml:space="preserve">Anadromous Emigrant Monitoring</w:t>
      </w:r>
      <w:r>
        <w:t xml:space="preserve">, 2018</w:t>
      </w:r>
      <w:r>
        <w:t xml:space="preserve"> </w:t>
      </w:r>
      <w:r>
        <w:t xml:space="preserve">Annual Report</w:t>
      </w:r>
      <w:r>
        <w:t xml:space="preserve">. IDFG Report Number 19-11:71.</w:t>
      </w:r>
    </w:p>
    <w:bookmarkEnd w:id="52"/>
    <w:bookmarkStart w:id="53" w:name="ref-RCoreTeam2021"/>
    <w:p>
      <w:pPr>
        <w:pStyle w:val="Bibliography"/>
      </w:pPr>
      <w:r>
        <w:t xml:space="preserve">R Core Team. 2021. R:</w:t>
      </w:r>
      <w:r>
        <w:t xml:space="preserve"> </w:t>
      </w:r>
      <w:r>
        <w:t xml:space="preserve">A</w:t>
      </w:r>
      <w:r>
        <w:t xml:space="preserve"> </w:t>
      </w:r>
      <w:r>
        <w:t xml:space="preserve">language and environment for statistical computing. R Foundation for Statistical Computing,</w:t>
      </w:r>
      <w:r>
        <w:t xml:space="preserve"> </w:t>
      </w:r>
      <w:r>
        <w:t xml:space="preserve">Vienna, Austria</w:t>
      </w:r>
      <w:r>
        <w:t xml:space="preserve">.</w:t>
      </w:r>
    </w:p>
    <w:bookmarkEnd w:id="53"/>
    <w:bookmarkStart w:id="54" w:name="ref-Steinhorst2004"/>
    <w:p>
      <w:pPr>
        <w:pStyle w:val="Bibliography"/>
      </w:pPr>
      <w:r>
        <w:t xml:space="preserve">Steinhorst, K., Y. Wu, B. Dennis, and P. Kline. 2004. Confidence intervals for fish out-migration estimates using stratified trap efficiency methods. Journal of Agricultural, Biological, and Environmental Statistics 9(3):284–299.</w:t>
      </w:r>
    </w:p>
    <w:bookmarkEnd w:id="54"/>
    <w:bookmarkEnd w:id="55"/>
    <w:bookmarkEnd w:id="56"/>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21" Target="mailto:Nicholas.Porter@merck.com" TargetMode="External" /><Relationship Type="http://schemas.openxmlformats.org/officeDocument/2006/relationships/hyperlink" Id="rId20" Target="mailto:mike.ackerman@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21" Target="mailto:Nicholas.Porter@merck.com" TargetMode="External" /><Relationship Type="http://schemas.openxmlformats.org/officeDocument/2006/relationships/hyperlink" Id="rId20" Target="mailto:mike.ackerman@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DSR versus NRR Survival Analysis</dc:title>
  <dc:creator>Kevin E. See1, Michael W. Ackerman2,✉, Nick Porter3,✉, Mike Hall3, and Richie Carmichael3</dc:creator>
  <cp:keywords/>
  <dcterms:created xsi:type="dcterms:W3CDTF">2022-05-11T14:43:39Z</dcterms:created>
  <dcterms:modified xsi:type="dcterms:W3CDTF">2022-05-11T14:43:39Z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11 May, 2022</vt:lpwstr>
  </property>
  <property fmtid="{D5CDD505-2E9C-101B-9397-08002B2CF9AE}" pid="6" name="output">
    <vt:lpwstr/>
  </property>
</Properties>
</file>