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61.png" ContentType="image/png"/>
  <Override PartName="/word/media/rId65.png" ContentType="image/png"/>
  <Override PartName="/word/media/rId57.png" ContentType="image/png"/>
  <Override PartName="/word/media/rId54.png" ContentType="image/png"/>
  <Override PartName="/word/media/rId47.png" ContentType="image/png"/>
  <Override PartName="/word/media/rId39.png" ContentType="image/png"/>
  <Override PartName="/word/media/rId43.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Tulley Mackey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Richie Carmichael</w:t>
      </w:r>
      <w:r>
        <w:rPr>
          <w:vertAlign w:val="superscript"/>
        </w:rPr>
        <w:t xml:space="preserve">3</w:t>
      </w:r>
      <w:r>
        <w:t xml:space="preserve">,</w:t>
      </w:r>
      <w:r>
        <w:t xml:space="preserve"> </w:t>
      </w:r>
      <w:r>
        <w:t xml:space="preserve">and</w:t>
      </w:r>
      <w:r>
        <w:t xml:space="preserve"> </w:t>
      </w:r>
      <w:r>
        <w:t xml:space="preserve">Michael W. Ackerman</w:t>
      </w:r>
      <w:r>
        <w:rPr>
          <w:vertAlign w:val="superscript"/>
        </w:rPr>
        <w:t xml:space="preserve">4</w:t>
      </w:r>
      <w:r>
        <w:rPr>
          <w:vertAlign w:val="superscript"/>
        </w:rPr>
        <w:t xml:space="preserve">,</w:t>
      </w:r>
      <w:r>
        <w:rPr>
          <w:vertAlign w:val="superscript"/>
        </w:rPr>
        <w:t xml:space="preserve">✉</w:t>
      </w:r>
    </w:p>
    <w:p>
      <w:pPr>
        <w:pStyle w:val="Date"/>
      </w:pPr>
      <w:r>
        <w:t xml:space="preserve">23</w:t>
      </w:r>
      <w:r>
        <w:t xml:space="preserve"> </w:t>
      </w:r>
      <w:r>
        <w:t xml:space="preserve">June,</w:t>
      </w:r>
      <w:r>
        <w:t xml:space="preserve"> </w:t>
      </w:r>
      <w:r>
        <w:t xml:space="preserve">2022</w:t>
      </w:r>
    </w:p>
    <w:p>
      <w:pPr>
        <w:pStyle w:val="FirstParagraph"/>
      </w:pPr>
      <w:r>
        <w:rPr>
          <w:vertAlign w:val="superscript"/>
        </w:rPr>
        <w:t xml:space="preserve">1</w:t>
      </w:r>
      <w:r>
        <w:t xml:space="preserve"> </w:t>
      </w:r>
      <w:r>
        <w:t xml:space="preserve">Mount Hood Environmental, 1009 South Daisy Street, Salmon, Idaho, 83467, USA</w:t>
      </w:r>
      <w:r>
        <w:br/>
      </w:r>
      <w:r>
        <w:rPr>
          <w:vertAlign w:val="superscript"/>
        </w:rPr>
        <w:t xml:space="preserve">2</w:t>
      </w:r>
      <w:r>
        <w:t xml:space="preserve"> </w:t>
      </w:r>
      <w:r>
        <w:t xml:space="preserve">Washington Department of Fish and Wildife, Fish Program, Science Division, 1111 Washington Street NE, Olympia, Washington, 98501,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Tulley Mackey &lt;</w:t>
        </w:r>
        <w:hyperlink r:id="rId20">
          <w:r>
            <w:rPr>
              <w:rStyle w:val="Hyperlink"/>
            </w:rPr>
            <w:t xml:space="preserve">tulley.mackey@mthoodenvironmental.com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r>
        <w:t xml:space="preserve">,</w:t>
      </w:r>
      <w:r>
        <w:t xml:space="preserve"> </w:t>
      </w:r>
      <w:hyperlink r:id="rId22">
        <w:r>
          <w:rPr>
            <w:rStyle w:val="Hyperlink"/>
          </w:rPr>
          <w:t xml:space="preserve">Michael W. Ackerman &lt;</w:t>
        </w:r>
        <w:hyperlink r:id="rId22">
          <w:r>
            <w:rPr>
              <w:rStyle w:val="Hyperlink"/>
            </w:rPr>
            <w:t xml:space="preserve">mike.ackerman@mthoodenvironmental.com</w:t>
          </w:r>
        </w:hyperlink>
        <w:r>
          <w:rPr>
            <w:rStyle w:val="Hyperlink"/>
          </w:rPr>
          <w:t xml:space="preserve">&gt;</w:t>
        </w:r>
      </w:hyperlink>
    </w:p>
    <w:bookmarkStart w:id="24"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and preference for juvenile salmonids to inform those rehabilitation actions, particularly during winter months, are not well documented.</w:t>
      </w:r>
    </w:p>
    <w:p>
      <w:pPr>
        <w:pStyle w:val="BodyText"/>
      </w:pPr>
      <w:r>
        <w:t xml:space="preserve">Habitat requirements for fish include physical and biological components necessary to complete life histories and ensure population viability</w:t>
      </w:r>
      <w:r>
        <w:t xml:space="preserve"> </w:t>
      </w:r>
      <w:r>
        <w:t xml:space="preserve">(Rosenfeld 2003; Newcomb et al. 2007)</w:t>
      </w:r>
      <w:r>
        <w:t xml:space="preserve">. Habitat availability can be defined as the accessibility of such components by a fish</w:t>
      </w:r>
      <w:r>
        <w:t xml:space="preserve"> </w:t>
      </w:r>
      <w:r>
        <w:t xml:space="preserve">(Johnson 1980)</w:t>
      </w:r>
      <w:r>
        <w:t xml:space="preserve">. Alternatively, habitat use is the way a fish exploits the physical and biological resources available to them</w:t>
      </w:r>
      <w:r>
        <w:t xml:space="preserve"> </w:t>
      </w:r>
      <w:r>
        <w:t xml:space="preserve">(Favrot et al. 2018)</w:t>
      </w:r>
      <w:r>
        <w:t xml:space="preserve">. Habitat suitability measures a specific available habitat’s capacity to support a fish, the most suitable habitats being optimal</w:t>
      </w:r>
      <w:r>
        <w:t xml:space="preserve"> </w:t>
      </w:r>
      <w:r>
        <w:t xml:space="preserve">(Bovee 1986)</w:t>
      </w:r>
      <w:r>
        <w:t xml:space="preserve">. Available habitats can be hierarchically characterized by a spectrum ranging from least suitable (i.e., avoided) to most suitable (i.e., optimal). Habitat selection is determined when a fish chooses a physical or biological component from a spectrum of available habitats</w:t>
      </w:r>
      <w:r>
        <w:t xml:space="preserve"> </w:t>
      </w:r>
      <w:r>
        <w:t xml:space="preserve">(Johnson 1980)</w:t>
      </w:r>
      <w:r>
        <w:t xml:space="preserve">. If habitat use is proportionally equivalent to habitat availability (i.e., no preference), then habitat use is considered random. However, when a fish selects for a specific physical or biological component given equal available habitat, this is considered preferred habitat (e.g., laboratory experiment:</w:t>
      </w:r>
      <w:r>
        <w:t xml:space="preserve"> </w:t>
      </w:r>
      <w:r>
        <w:t xml:space="preserve">Johnson (1980)</w:t>
      </w:r>
      <w:r>
        <w:t xml:space="preserve">). Critical habitat provides components essential to sensitive life stages (e.g., early life history:</w:t>
      </w:r>
      <w:r>
        <w:t xml:space="preserve"> </w:t>
      </w:r>
      <w:r>
        <w:t xml:space="preserve">Pitlo (1989)</w:t>
      </w:r>
      <w:r>
        <w:t xml:space="preserve">,</w:t>
      </w:r>
      <w:r>
        <w:t xml:space="preserve"> </w:t>
      </w:r>
      <w:r>
        <w:t xml:space="preserve">Newcomb et al. (2007)</w:t>
      </w:r>
      <w:r>
        <w:t xml:space="preserve">). Winter habitat is thought be critical because of specific biological conditions required by fish for maintenance of body condition and survival during this time period</w:t>
      </w:r>
      <w:r>
        <w:t xml:space="preserve"> </w:t>
      </w:r>
      <w:r>
        <w:t xml:space="preserve">(Favrot et al. 2018)</w:t>
      </w:r>
      <w:r>
        <w:t xml:space="preserve">. However, due to extreme environs (e.g., surface ice), little research has characterized winter microhabitat use and suitability empirically for Pacific salmon juveniles</w:t>
      </w:r>
      <w:r>
        <w:t xml:space="preserve"> </w:t>
      </w:r>
      <w:r>
        <w:t xml:space="preserve">(Huusko et al. 2007)</w:t>
      </w:r>
      <w:r>
        <w:t xml:space="preserve">.</w:t>
      </w:r>
    </w:p>
    <w:bookmarkStart w:id="23"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(below its confluence with Hayden Creek) during late fall and winter months. Habitat availability and use data were collected in the lower Lemhi River using methods similar to those described by</w:t>
      </w:r>
      <w:r>
        <w:t xml:space="preserve"> </w:t>
      </w:r>
      <w:r>
        <w:t xml:space="preserve">Favrot et al. (2018)</w:t>
      </w:r>
      <w:r>
        <w:t xml:space="preserve">, previously implemented in Catherine Creek, Oregon. We used similar habitat availability and use data to describe habitat selection and preference of juvenile Chinook salmon overwintering in the lower Lemhi River, which can in turn be used to inform target habitat conditions to be used in habitat restoration planning and designs.</w:t>
      </w:r>
    </w:p>
    <w:p>
      <w:pPr>
        <w:pStyle w:val="BodyText"/>
      </w:pPr>
      <w:r>
        <w:t xml:space="preserve">Here, we use the term</w:t>
      </w:r>
      <w:r>
        <w:t xml:space="preserve"> </w:t>
      </w:r>
      <w:r>
        <w:t xml:space="preserve">“</w:t>
      </w:r>
      <w:r>
        <w:t xml:space="preserve">presmolts</w:t>
      </w:r>
      <w:r>
        <w:t xml:space="preserve">”</w:t>
      </w:r>
      <w:r>
        <w:t xml:space="preserve"> </w:t>
      </w:r>
      <w:r>
        <w:t xml:space="preserve">to refer to juvenile Chinook salmon overwintering in the lower Lemhi River i.e., juveniles surviving to their first winter prior to spring emigration.</w:t>
      </w:r>
    </w:p>
    <w:bookmarkEnd w:id="23"/>
    <w:bookmarkEnd w:id="24"/>
    <w:bookmarkStart w:id="38" w:name="methods"/>
    <w:p>
      <w:pPr>
        <w:pStyle w:val="Heading1"/>
      </w:pPr>
      <w:r>
        <w:t xml:space="preserve">Methods</w:t>
      </w:r>
    </w:p>
    <w:bookmarkStart w:id="25"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 Habitat availability measurements described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5"/>
    <w:bookmarkStart w:id="30" w:name="habitat-use"/>
    <w:p>
      <w:pPr>
        <w:pStyle w:val="Heading2"/>
      </w:pPr>
      <w:r>
        <w:t xml:space="preserve">Habitat Use</w:t>
      </w:r>
    </w:p>
    <w:p>
      <w:pPr>
        <w:pStyle w:val="FirstParagraph"/>
      </w:pPr>
      <w:r>
        <w:t xml:space="preserve">Microhabitat use data were collected from radio-tagged Chinook salmon presmolts monitored throughout the lower Lemhi River. A total of 279 fish were tagged from October 9 - 31, 2019 at three rotary screw trap (RST) locations in the Lemhi River: upper Lemhi RST (LEMTRP), Hayden Creek RST (HYDTRP), and lower Lemhi RST (LLRTP). Radio-tagged presmolts were then tracked in the lower Lemhi River beginning in November 2019 through March 2020. Advanced Telemetry Systems, Inc.(ATS;</w:t>
      </w:r>
      <w:r>
        <w:t xml:space="preserve"> </w:t>
      </w:r>
      <w:hyperlink r:id="rId26">
        <w:r>
          <w:rPr>
            <w:rStyle w:val="Hyperlink"/>
          </w:rPr>
          <w:t xml:space="preserve">https://atstrack.com</w:t>
        </w:r>
      </w:hyperlink>
      <w:r>
        <w:t xml:space="preserve">) radio transmitters (Model #ST100L) were surgically implanted into the abdomen of Chinook salmon presmolts,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then shutdown to reactivate at day 50, and batch 3 transmitters (51 fish) operated for an hour upon activation then shutdown to reactivate at day 100. Multiple batches were used to ensure that Chinook salmon presmolts could be monitored throughout the winter months.</w:t>
      </w:r>
    </w:p>
    <w:p>
      <w:pPr>
        <w:pStyle w:val="BodyText"/>
      </w:pPr>
      <w:r>
        <w:t xml:space="preserve">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 &lt;1 m</w:t>
      </w:r>
      <m:oMath>
        <m:sSup>
          <m:e>
            <m:r>
              <m:t>​</m:t>
            </m:r>
          </m:e>
          <m:sup>
            <m:r>
              <m:t>2</m:t>
            </m:r>
          </m:sup>
        </m:sSup>
      </m:oMath>
      <w:r>
        <w:t xml:space="preserve">), attempted to determine whether the tag was in a live fish, and recorded the location using an EOS Arrow 100 GNSS GPS receiver. Habitat use metrics describing channel unit type, bank condition, dominant substrate, availability of substrate concealment, dominant cover type, distance to cover, depth, and mean column velocity were also collected at each tag location for comparison with the habitat availability dataset.</w:t>
      </w:r>
    </w:p>
    <w:p>
      <w:pPr>
        <w:pStyle w:val="BodyText"/>
      </w:pPr>
      <w:r>
        <w:t xml:space="preserve">Mobile tracking surveys resulted in 213 observations of 99 radio tagged Chinook. Of those 99 tags, 22 were physically recovered from the river (one confirmed mortality). To further refine our analysis to include only those locations we deemed utilized by fish, we used a decision tree (Figure</w:t>
      </w:r>
      <w:r>
        <w:t xml:space="preserve"> </w:t>
      </w:r>
      <w:r>
        <w:t xml:space="preserve">1</w:t>
      </w:r>
      <w:r>
        <w:t xml:space="preserve">) developed by combining information from</w:t>
      </w:r>
      <w:r>
        <w:t xml:space="preserve"> </w:t>
      </w:r>
      <w:r>
        <w:t xml:space="preserve">Holleman et al. (2022)</w:t>
      </w:r>
      <w:r>
        <w:t xml:space="preserve"> </w:t>
      </w:r>
      <w:r>
        <w:t xml:space="preserve">and professional judgement. This resulted in 74 unique habitat locations utilized by 67 fish.</w:t>
      </w:r>
    </w:p>
    <w:p>
      <w:pPr>
        <w:pStyle w:val="CaptionedFigure"/>
      </w:pPr>
      <w:r>
        <w:drawing>
          <wp:inline>
            <wp:extent cx="5715000" cy="7712848"/>
            <wp:effectExtent b="0" l="0" r="0" t="0"/>
            <wp:docPr descr="Figure 1: Decision tree for determining qualified tag detection locations as selected habitat." title="" id="28" name="Picture"/>
            <a:graphic>
              <a:graphicData uri="http://schemas.openxmlformats.org/drawingml/2006/picture">
                <pic:pic>
                  <pic:nvPicPr>
                    <pic:cNvPr descr="../images/D_tree.JPG" id="29" name="Picture"/>
                    <pic:cNvPicPr>
                      <a:picLocks noChangeArrowheads="1" noChangeAspect="1"/>
                    </pic:cNvPicPr>
                  </pic:nvPicPr>
                  <pic:blipFill>
                    <a:blip r:embed="rId27"/>
                    <a:stretch>
                      <a:fillRect/>
                    </a:stretch>
                  </pic:blipFill>
                  <pic:spPr bwMode="auto">
                    <a:xfrm>
                      <a:off x="0" y="0"/>
                      <a:ext cx="5715000" cy="7712848"/>
                    </a:xfrm>
                    <a:prstGeom prst="rect">
                      <a:avLst/>
                    </a:prstGeom>
                    <a:noFill/>
                    <a:ln w="9525">
                      <a:noFill/>
                      <a:headEnd/>
                      <a:tailEnd/>
                    </a:ln>
                  </pic:spPr>
                </pic:pic>
              </a:graphicData>
            </a:graphic>
          </wp:inline>
        </w:drawing>
      </w:r>
    </w:p>
    <w:p>
      <w:pPr>
        <w:pStyle w:val="ImageCaption"/>
      </w:pPr>
      <w:r>
        <w:t xml:space="preserve">Figure 1: Decision tree for determining qualified tag detection locations as selected habitat.</w:t>
      </w:r>
    </w:p>
    <w:bookmarkEnd w:id="30"/>
    <w:bookmarkStart w:id="31" w:name="habitat-availability-power-analysis"/>
    <w:p>
      <w:pPr>
        <w:pStyle w:val="Heading2"/>
      </w:pPr>
      <w:r>
        <w:t xml:space="preserve">Habitat Availability Power Analysis</w:t>
      </w:r>
    </w:p>
    <w:p>
      <w:pPr>
        <w:pStyle w:val="FirstParagraph"/>
      </w:pPr>
      <w:r>
        <w: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transects, then the sample has done an adequate job of capturing the distribution of available habitat.</w:t>
      </w:r>
    </w:p>
    <w:bookmarkEnd w:id="31"/>
    <w:bookmarkStart w:id="37" w:name="habitat-preference"/>
    <w:p>
      <w:pPr>
        <w:pStyle w:val="Heading2"/>
      </w:pPr>
      <w:r>
        <w:t xml:space="preserve">Habitat Preference</w:t>
      </w:r>
    </w:p>
    <w:p>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presmolts. Comparisons were made for the following habitat characteristics:</w:t>
      </w:r>
    </w:p>
    <w:p>
      <w:pPr>
        <w:numPr>
          <w:ilvl w:val="0"/>
          <w:numId w:val="1001"/>
        </w:numPr>
        <w:pStyle w:val="Compact"/>
      </w:pPr>
      <w:r>
        <w:t xml:space="preserve">Sinuosity</w:t>
      </w:r>
    </w:p>
    <w:p>
      <w:pPr>
        <w:numPr>
          <w:ilvl w:val="0"/>
          <w:numId w:val="1001"/>
        </w:numPr>
        <w:pStyle w:val="Compact"/>
      </w:pPr>
      <w:r>
        <w:t xml:space="preserve">Stream Depth and Velocity</w:t>
      </w:r>
    </w:p>
    <w:p>
      <w:pPr>
        <w:numPr>
          <w:ilvl w:val="0"/>
          <w:numId w:val="1001"/>
        </w:numPr>
        <w:pStyle w:val="Compact"/>
      </w:pPr>
      <w:r>
        <w:t xml:space="preserve">Channel Unit Type</w:t>
      </w:r>
    </w:p>
    <w:p>
      <w:pPr>
        <w:numPr>
          <w:ilvl w:val="0"/>
          <w:numId w:val="1001"/>
        </w:numPr>
        <w:pStyle w:val="Compact"/>
      </w:pPr>
      <w:r>
        <w:t xml:space="preserve">Substrate Concealment</w:t>
      </w:r>
    </w:p>
    <w:p>
      <w:pPr>
        <w:numPr>
          <w:ilvl w:val="0"/>
          <w:numId w:val="1001"/>
        </w:numPr>
        <w:pStyle w:val="Compact"/>
      </w:pPr>
      <w:r>
        <w:t xml:space="preserve">Cover</w:t>
      </w:r>
    </w:p>
    <w:bookmarkStart w:id="32" w:name="sinuosity"/>
    <w:p>
      <w:pPr>
        <w:pStyle w:val="Heading3"/>
      </w:pPr>
      <w:r>
        <w:t xml:space="preserve">Sinuosity</w:t>
      </w:r>
    </w:p>
    <w:p>
      <w:pPr>
        <w:pStyle w:val="FirstParagraph"/>
      </w:pPr>
      <w:r>
        <w:t xml:space="preserve">We estimated the proportion of the total available habitat in the lower Lemhi River that fell into each of the sinuosity categories (Table</w:t>
      </w:r>
      <w:r>
        <w:t xml:space="preserve"> </w:t>
      </w:r>
      <w:r>
        <w:t xml:space="preserve">1</w:t>
      </w:r>
      <w:r>
        <w:t xml:space="preserve">), which was compared to the proportion of each category that Chinook salmon presmolts used.</w:t>
      </w:r>
    </w:p>
    <w:bookmarkEnd w:id="32"/>
    <w:bookmarkStart w:id="33" w:name="depth-and-velocity"/>
    <w:p>
      <w:pPr>
        <w:pStyle w:val="Heading3"/>
      </w:pPr>
      <w:r>
        <w:t xml:space="preserve">Depth and Velocity</w:t>
      </w:r>
    </w:p>
    <w:p>
      <w:pPr>
        <w:pStyle w:val="FirstParagraph"/>
      </w:pPr>
      <w:r>
        <w:t xml:space="preserve">Stream depth (m) and mean column velocity (m/s) were measured at 47 of the 74 selected habitat locations during typical winter flows. Environmental conditions (surface ice and depth) at the time of sampling prevented safe collection of depth and velocity measurements at some locations. This likely introduced some bias, particularly because some locations excluded because they were too deep, and thus, unwadable. The bias was likely less prevalent for velocity measurements, as presmolt Chinook salmon tend to select areas of lower velocities during winter months</w:t>
      </w:r>
      <w:r>
        <w:t xml:space="preserve"> </w:t>
      </w:r>
      <w:r>
        <w:t xml:space="preserve">(Cunjak 1996)</w:t>
      </w:r>
      <w:r>
        <w:t xml:space="preserve"> </w:t>
      </w:r>
      <w:r>
        <w:t xml:space="preserve">and we were more able to sample those locations.</w:t>
      </w:r>
    </w:p>
    <w:p>
      <w:pPr>
        <w:pStyle w:val="BodyText"/>
      </w:pPr>
      <w:r>
        <w:t xml:space="preserve">We compared the available depths and velocities for the entire lower Lemhi River (derived from 2D numerical modeling raster data) to the measured depths and velocities taken in the field during microhabitat use surveys. We used a variance test (F test; how far each data point is from the group mean), to evaluate variances between the habitat availability and habitat use datasets. This led us to use an unpooled, two-sample test (Welch test) to determine if there’s a significant difference (p-value &lt; 0.05) between mean available depth and velocity and mean selected depth and velocity.</w:t>
      </w:r>
    </w:p>
    <w:bookmarkEnd w:id="33"/>
    <w:bookmarkStart w:id="34" w:name="channel-unit-type"/>
    <w:p>
      <w:pPr>
        <w:pStyle w:val="Heading3"/>
      </w:pPr>
      <w:r>
        <w:t xml:space="preserve">Channel Unit Type</w:t>
      </w:r>
    </w:p>
    <w:p>
      <w:pPr>
        <w:pStyle w:val="FirstParagraph"/>
      </w:pPr>
      <w:r>
        <w:t xml:space="preserve">Channel unit types included pools, riffles, runs, rapid+, small side-channels (SSC), and off-channel areas (OCA), similar to channel units delineated using the DASH protocol</w:t>
      </w:r>
      <w:r>
        <w:t xml:space="preserve"> </w:t>
      </w:r>
      <w:r>
        <w:t xml:space="preserve">(Carmichael et al. 2019)</w:t>
      </w:r>
      <w:r>
        <w:t xml:space="preserve">.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34"/>
    <w:bookmarkStart w:id="35" w:name="concealment"/>
    <w:p>
      <w:pPr>
        <w:pStyle w:val="Heading3"/>
      </w:pPr>
      <w:r>
        <w:t xml:space="preserve">Concealment</w:t>
      </w:r>
    </w:p>
    <w:p>
      <w:pPr>
        <w:pStyle w:val="FirstParagraph"/>
      </w:pPr>
      <w:r>
        <w:t xml:space="preserve">At each point of habitat availability transects and at observed</w:t>
      </w:r>
      <w:r>
        <w:t xml:space="preserve"> </w:t>
      </w:r>
      <w:r>
        <w:t xml:space="preserve">“</w:t>
      </w:r>
      <w:r>
        <w:t xml:space="preserve">use</w:t>
      </w:r>
      <w:r>
        <w:t xml:space="preserve">”</w:t>
      </w:r>
      <w:r>
        <w:t xml:space="preserve"> </w:t>
      </w:r>
      <w:r>
        <w:t xml:space="preserve">locations by radio-tagged individuals, we estimated whether concealment habitat was available to Chinook salmon presmolts. Determinations of concealment availability were made using professional judgement that included observations of substrate size and embeddedness. Because concealment is binary (either available or not), we tested whether there were differences between habitat availability and use using a Chi-squared test, as well as a G-test.</w:t>
      </w:r>
    </w:p>
    <w:bookmarkEnd w:id="35"/>
    <w:bookmarkStart w:id="36" w:name="cover"/>
    <w:p>
      <w:pPr>
        <w:pStyle w:val="Heading3"/>
      </w:pPr>
      <w:r>
        <w:t xml:space="preserve">Cover</w:t>
      </w:r>
    </w:p>
    <w:p>
      <w:pPr>
        <w:pStyle w:val="FirstParagraph"/>
      </w:pPr>
      <w:r>
        <w:t xml:space="preserve">We determined whether fish cover was available within 1.5 m of each habitat availability transect point and at each</w:t>
      </w:r>
      <w:r>
        <w:t xml:space="preserve"> </w:t>
      </w:r>
      <w:r>
        <w:t xml:space="preserve">“</w:t>
      </w:r>
      <w:r>
        <w:t xml:space="preserve">use</w:t>
      </w:r>
      <w:r>
        <w:t xml:space="preserve">”</w:t>
      </w:r>
      <w:r>
        <w:t xml:space="preserve"> </w:t>
      </w:r>
      <w:r>
        <w:t xml:space="preserve">location. Cover types considered included artificial cover, aquatic vegetation, boulders, small and large wood, terrestrial vegetation, and undercut banks. Here, we grouped all types of cover into a single category, and compared whether cover was available with the category of</w:t>
      </w:r>
      <w:r>
        <w:t xml:space="preserve"> </w:t>
      </w:r>
      <w:r>
        <w:t xml:space="preserve">“</w:t>
      </w:r>
      <w:r>
        <w:t xml:space="preserve">no cover</w:t>
      </w:r>
      <w:r>
        <w:t xml:space="preserve">”</w:t>
      </w:r>
      <w:r>
        <w:t xml:space="preserve">. This resulted in a binary variable, like concealment, allowing us to also use the Chi-squared and G-test.</w:t>
      </w:r>
    </w:p>
    <w:bookmarkEnd w:id="36"/>
    <w:bookmarkEnd w:id="37"/>
    <w:bookmarkEnd w:id="38"/>
    <w:bookmarkStart w:id="70" w:name="results"/>
    <w:p>
      <w:pPr>
        <w:pStyle w:val="Heading1"/>
      </w:pPr>
      <w:r>
        <w:t xml:space="preserve">Results</w:t>
      </w:r>
    </w:p>
    <w:bookmarkStart w:id="42" w:name="habitat-availability-power-analysis-1"/>
    <w:p>
      <w:pPr>
        <w:pStyle w:val="Heading2"/>
      </w:pPr>
      <w:r>
        <w:t xml:space="preserve">Habitat Availability Power Analysis</w:t>
      </w:r>
    </w:p>
    <w:p>
      <w:pPr>
        <w:pStyle w:val="FirstParagraph"/>
      </w:pPr>
      <w:r>
        <w:t xml:space="preserve">Comparisons of the distributions of depths and velocities estimated from 1) the randomly placed transects used to estimate habitat availability, and 2) the entirety of the rasters derived from 2D numerical models were favorable (Figure</w:t>
      </w:r>
      <w:r>
        <w:t xml:space="preserve"> </w:t>
      </w:r>
      <w:r>
        <w:t xml:space="preserve">2</w:t>
      </w:r>
      <w:r>
        <w:t xml:space="preserve">). Distributions of depths and velocities were similar among all sinuosity categories (Figure</w:t>
      </w:r>
      <w:r>
        <w:t xml:space="preserve"> </w:t>
      </w:r>
      <w:r>
        <w:t xml:space="preserve">2</w:t>
      </w:r>
      <w:r>
        <w:t xml:space="preserve">). These findings suggest that the habitat availability data collected during August 2019 were sufficient to capture the available habitat throughout the lower Lemhi River.</w:t>
      </w:r>
    </w:p>
    <w:p>
      <w:pPr>
        <w:pStyle w:val="CaptionedFigure"/>
      </w:pPr>
      <w:r>
        <w:drawing>
          <wp:inline>
            <wp:extent cx="5504749" cy="3669832"/>
            <wp:effectExtent b="0" l="0" r="0" t="0"/>
            <wp:docPr descr="Figure 2: Density plots of depth and velocity, colored by whether taken from the entire raster (all) or the sampled transects (sampled), and faceted by sinuosity category." title="" id="40" name="Picture"/>
            <a:graphic>
              <a:graphicData uri="http://schemas.openxmlformats.org/drawingml/2006/picture">
                <pic:pic>
                  <pic:nvPicPr>
                    <pic:cNvPr descr="C:/Git/Lemhi_RME/analysis/figures/dist-fig-1.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Density plots of depth and velocity, colored by whether taken from the entire raster (all) or the sampled transects (sampled), and faceted by sinuosity category.</w:t>
      </w:r>
    </w:p>
    <w:bookmarkEnd w:id="42"/>
    <w:bookmarkStart w:id="69" w:name="habitat-preference-1"/>
    <w:p>
      <w:pPr>
        <w:pStyle w:val="Heading2"/>
      </w:pPr>
      <w:r>
        <w:t xml:space="preserve">Habitat Preference</w:t>
      </w:r>
    </w:p>
    <w:bookmarkStart w:id="46" w:name="sinuosity-1"/>
    <w:p>
      <w:pPr>
        <w:pStyle w:val="Heading3"/>
      </w:pPr>
      <w:r>
        <w:t xml:space="preserve">Sinuosity</w:t>
      </w:r>
    </w:p>
    <w:p>
      <w:pPr>
        <w:pStyle w:val="FirstParagraph"/>
      </w:pPr>
      <w:r>
        <w:t xml:space="preserve">Sinuosity categories selected by radio-tagged Chinook salmon presmolts were similar to the proportions of available habitat (Figure</w:t>
      </w:r>
      <w:r>
        <w:t xml:space="preserve"> </w:t>
      </w:r>
      <w:r>
        <w:t xml:space="preserve">3</w:t>
      </w:r>
      <w:r>
        <w:t xml:space="preserve">), suggesting habitat use by sinuosity category was random. In other words, presmolts were</w:t>
      </w:r>
      <w:r>
        <w:t xml:space="preserve"> </w:t>
      </w:r>
      <w:r>
        <w:rPr>
          <w:iCs/>
          <w:i/>
        </w:rPr>
        <w:t xml:space="preserve">not</w:t>
      </w:r>
      <w:r>
        <w:t xml:space="preserve"> </w:t>
      </w:r>
      <w:r>
        <w:t xml:space="preserve">observed using</w:t>
      </w:r>
      <w:r>
        <w:t xml:space="preserve"> </w:t>
      </w:r>
      <w:r>
        <w:t xml:space="preserve">“</w:t>
      </w:r>
      <w:r>
        <w:t xml:space="preserve">high</w:t>
      </w:r>
      <w:r>
        <w:t xml:space="preserve">”</w:t>
      </w:r>
      <w:r>
        <w:t xml:space="preserve"> </w:t>
      </w:r>
      <w:r>
        <w:t xml:space="preserve">sinuosity reaches of the lower Lemhi River at a higher rate than was available, as we might expect. This result is further considered below in the</w:t>
      </w:r>
      <w:r>
        <w:t xml:space="preserve"> </w:t>
      </w:r>
      <w:hyperlink w:anchor="discussion">
        <w:r>
          <w:rPr>
            <w:rStyle w:val="Hyperlink"/>
          </w:rPr>
          <w:t xml:space="preserve">Discussion</w:t>
        </w:r>
      </w:hyperlink>
      <w:r>
        <w:t xml:space="preserve"> </w:t>
      </w:r>
      <w:r>
        <w:t xml:space="preserve">section.</w:t>
      </w:r>
    </w:p>
    <w:p>
      <w:pPr>
        <w:pStyle w:val="CaptionedFigure"/>
      </w:pPr>
      <w:r>
        <w:drawing>
          <wp:inline>
            <wp:extent cx="5504749" cy="3669832"/>
            <wp:effectExtent b="0" l="0" r="0" t="0"/>
            <wp:docPr descr="Figure 3: Proportion of available and selected habitat by sinuosity category in the lower Lemhi." title="" id="44" name="Picture"/>
            <a:graphic>
              <a:graphicData uri="http://schemas.openxmlformats.org/drawingml/2006/picture">
                <pic:pic>
                  <pic:nvPicPr>
                    <pic:cNvPr descr="C:/Git/Lemhi_RME/analysis/figures/sin-use-1.png" id="45" name="Picture"/>
                    <pic:cNvPicPr>
                      <a:picLocks noChangeArrowheads="1" noChangeAspect="1"/>
                    </pic:cNvPicPr>
                  </pic:nvPicPr>
                  <pic:blipFill>
                    <a:blip r:embed="rId4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Proportion of available and selected habitat by sinuosity category in the lower Lemhi.</w:t>
      </w:r>
    </w:p>
    <w:bookmarkEnd w:id="46"/>
    <w:bookmarkStart w:id="53" w:name="depth-and-velocity-1"/>
    <w:p>
      <w:pPr>
        <w:pStyle w:val="Heading3"/>
      </w:pPr>
      <w:r>
        <w:t xml:space="preserve">Depth and Velocity</w:t>
      </w:r>
    </w:p>
    <w:p>
      <w:pPr>
        <w:pStyle w:val="FirstParagraph"/>
      </w:pPr>
      <w:r>
        <w:t xml:space="preserve">Distributions between available stream depths and depths used by Chinook salmon presmolts were similar (Figure</w:t>
      </w:r>
      <w:r>
        <w:t xml:space="preserve"> </w:t>
      </w:r>
      <w:r>
        <w:t xml:space="preserve">4</w:t>
      </w:r>
      <w:r>
        <w:t xml:space="preserve">); despite the</w:t>
      </w:r>
      <w:r>
        <w:t xml:space="preserve"> </w:t>
      </w:r>
      <w:r>
        <w:t xml:space="preserve">“</w:t>
      </w:r>
      <w:r>
        <w:t xml:space="preserve">used</w:t>
      </w:r>
      <w:r>
        <w:t xml:space="preserve">”</w:t>
      </w:r>
      <w:r>
        <w:t xml:space="preserve"> </w:t>
      </w:r>
      <w:r>
        <w:t xml:space="preserve">mean depth being significantly lower than the available mean (p &lt; 0.05; Table</w:t>
      </w:r>
      <w:r>
        <w:t xml:space="preserve"> </w:t>
      </w:r>
      <w:r>
        <w:t xml:space="preserve">3</w:t>
      </w:r>
      <w:r>
        <w:t xml:space="preserve">. However, this significance could (at least partially) be explained by a potential sampling bias considered in the</w:t>
      </w:r>
      <w:r>
        <w:t xml:space="preserve"> </w:t>
      </w:r>
      <w:hyperlink w:anchor="discussion">
        <w:r>
          <w:rPr>
            <w:rStyle w:val="Hyperlink"/>
          </w:rPr>
          <w:t xml:space="preserve">Discussion</w:t>
        </w:r>
      </w:hyperlink>
      <w:r>
        <w:t xml:space="preserve"> </w:t>
      </w:r>
      <w:r>
        <w:t xml:space="preserve">section.</w:t>
      </w:r>
    </w:p>
    <w:p>
      <w:pPr>
        <w:pStyle w:val="CaptionedFigure"/>
      </w:pPr>
      <w:r>
        <w:drawing>
          <wp:inline>
            <wp:extent cx="5504749" cy="3669832"/>
            <wp:effectExtent b="0" l="0" r="0" t="0"/>
            <wp:docPr descr="Figure 4: Distributions of all available stream depths in the lower Lemhi River derived from a 2D numerical model (available) and depths used by radio-tagged juvenile Chinook salmon during late fall and winter months (use)." title="" id="48" name="Picture"/>
            <a:graphic>
              <a:graphicData uri="http://schemas.openxmlformats.org/drawingml/2006/picture">
                <pic:pic>
                  <pic:nvPicPr>
                    <pic:cNvPr descr="C:/Git/Lemhi_RME/analysis/figures/depth-fig-1.png" id="49" name="Picture"/>
                    <pic:cNvPicPr>
                      <a:picLocks noChangeArrowheads="1" noChangeAspect="1"/>
                    </pic:cNvPicPr>
                  </pic:nvPicPr>
                  <pic:blipFill>
                    <a:blip r:embed="rId4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Distributions of all available stream depths in the lower Lemhi River derived from a 2D numerical model (available) and depths used by radio-tagged juvenile Chinook salmon during late fall and winter months (use).</w:t>
      </w:r>
    </w:p>
    <w:p>
      <w:pPr>
        <w:pStyle w:val="BodyText"/>
      </w:pPr>
      <w:r>
        <w:t xml:space="preserve">Table 3: Estimated mean depth for available and selected habitat and Welch t-test p-value.</w:t>
      </w:r>
    </w:p>
    <w:p>
      <w:pPr>
        <w:pStyle w:val="BodyText"/>
      </w:pPr>
      <w:r>
        <w:t xml:space="preserve">Mean Available Depth (m)</w:t>
      </w:r>
    </w:p>
    <w:p>
      <w:pPr>
        <w:pStyle w:val="BodyText"/>
      </w:pPr>
      <w:r>
        <w:t xml:space="preserve">Mean Select Depth (m)</w:t>
      </w:r>
    </w:p>
    <w:p>
      <w:pPr>
        <w:pStyle w:val="BodyText"/>
      </w:pPr>
      <w:r>
        <w:t xml:space="preserve">Welch t-test p-value</w:t>
      </w:r>
    </w:p>
    <w:p>
      <w:pPr>
        <w:pStyle w:val="BodyText"/>
      </w:pPr>
      <w:r>
        <w:t xml:space="preserve">0.533235</w:t>
      </w:r>
    </w:p>
    <w:p>
      <w:pPr>
        <w:pStyle w:val="BodyText"/>
      </w:pPr>
      <w:r>
        <w:t xml:space="preserve">0.437551</w:t>
      </w:r>
    </w:p>
    <w:p>
      <w:pPr>
        <w:pStyle w:val="BodyText"/>
      </w:pPr>
      <w:r>
        <w:t xml:space="preserve">0.0158433</w:t>
      </w:r>
    </w:p>
    <w:p>
      <w:pPr>
        <w:pStyle w:val="BodyText"/>
      </w:pPr>
      <w:r>
        <w:t xml:space="preserve">Mean stream velocities used by Chinook salmon presmolts were significantly lower than those available throughout the lower Lemhi River (Figure</w:t>
      </w:r>
      <w:r>
        <w:t xml:space="preserve"> </w:t>
      </w:r>
      <w:r>
        <w:t xml:space="preserve">5</w:t>
      </w:r>
      <w:r>
        <w:t xml:space="preserve">; Table</w:t>
      </w:r>
      <w:r>
        <w:t xml:space="preserve"> </w:t>
      </w:r>
      <w:r>
        <w:t xml:space="preserve">4</w:t>
      </w:r>
      <w:r>
        <w:t xml:space="preserve">), suggesting that presmolts were selecting for slower water habitats during late fall and early winter months.</w:t>
      </w:r>
    </w:p>
    <w:p>
      <w:pPr>
        <w:pStyle w:val="CaptionedFigure"/>
      </w:pPr>
      <w:r>
        <w:drawing>
          <wp:inline>
            <wp:extent cx="5504749" cy="3669832"/>
            <wp:effectExtent b="0" l="0" r="0" t="0"/>
            <wp:docPr descr="Figure 5: Distributions of all available stream velocities in the lower Lemhi River derived from a 2D numerical model (available) and velocities used by radio-tagged juvenile Chinook salmon during late fall and winter months (use)." title="" id="51" name="Picture"/>
            <a:graphic>
              <a:graphicData uri="http://schemas.openxmlformats.org/drawingml/2006/picture">
                <pic:pic>
                  <pic:nvPicPr>
                    <pic:cNvPr descr="C:/Git/Lemhi_RME/analysis/figures/vel-fig-1.png" id="52" name="Picture"/>
                    <pic:cNvPicPr>
                      <a:picLocks noChangeArrowheads="1" noChangeAspect="1"/>
                    </pic:cNvPicPr>
                  </pic:nvPicPr>
                  <pic:blipFill>
                    <a:blip r:embed="rId5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Distributions of all available stream velocities in the lower Lemhi River derived from a 2D numerical model (available) and velocities used by radio-tagged juvenile Chinook salmon during late fall and winter months (use).</w:t>
      </w:r>
    </w:p>
    <w:p>
      <w:pPr>
        <w:pStyle w:val="BodyText"/>
      </w:pPr>
      <w:r>
        <w:t xml:space="preserve">Table 4: Estimated mean velocity for available and selected habitat and Welch t-test p-value.</w:t>
      </w:r>
    </w:p>
    <w:p>
      <w:pPr>
        <w:pStyle w:val="BodyText"/>
      </w:pPr>
      <w:r>
        <w:t xml:space="preserve">Mean Available Velocity (m/s)</w:t>
      </w:r>
    </w:p>
    <w:p>
      <w:pPr>
        <w:pStyle w:val="BodyText"/>
      </w:pPr>
      <w:r>
        <w:t xml:space="preserve">Mean Select Velocity (m/s)</w:t>
      </w:r>
    </w:p>
    <w:p>
      <w:pPr>
        <w:pStyle w:val="BodyText"/>
      </w:pPr>
      <w:r>
        <w:t xml:space="preserve">Welch t-test p-value</w:t>
      </w:r>
    </w:p>
    <w:p>
      <w:pPr>
        <w:pStyle w:val="BodyText"/>
      </w:pPr>
      <w:r>
        <w:t xml:space="preserve">0.9995801</w:t>
      </w:r>
    </w:p>
    <w:p>
      <w:pPr>
        <w:pStyle w:val="BodyText"/>
      </w:pPr>
      <w:r>
        <w:t xml:space="preserve">0.177766</w:t>
      </w:r>
    </w:p>
    <w:p>
      <w:pPr>
        <w:pStyle w:val="BodyText"/>
      </w:pPr>
      <w:r>
        <w:t xml:space="preserve">0</w:t>
      </w:r>
    </w:p>
    <w:bookmarkEnd w:id="53"/>
    <w:bookmarkStart w:id="60" w:name="channel-unit-type-1"/>
    <w:p>
      <w:pPr>
        <w:pStyle w:val="Heading3"/>
      </w:pPr>
      <w:r>
        <w:t xml:space="preserve">Channel Unit Type</w:t>
      </w:r>
    </w:p>
    <w:p>
      <w:pPr>
        <w:pStyle w:val="FirstParagraph"/>
      </w:pPr>
      <w:r>
        <w:t xml:space="preserve">There were significant differences in the distribution of channel unit types used by Chinook salmon presmolts and what was available throughout the lower Lemhi River. We can see that the proportion of slow water habitat (i.e., pools, runs, OCAs) being used in larger percentages than what is available in the lower Lemhi River (Figure</w:t>
      </w:r>
      <w:r>
        <w:t xml:space="preserve"> </w:t>
      </w:r>
      <w:r>
        <w:t xml:space="preserve">6</w:t>
      </w:r>
      <w:r>
        <w:t xml:space="preserve">). This applies to small side channel habitat too. When we use the same comparison in the context of the three sinuosity categories, we see similar results (Table</w:t>
      </w:r>
      <w:r>
        <w:t xml:space="preserve"> </w:t>
      </w:r>
      <w:r>
        <w:t xml:space="preserve">5</w:t>
      </w:r>
      <w:r>
        <w:t xml:space="preserve">). Presmolts appear to use pools and off-channel areas at a higher proportion relative to their availability, and riffles at a lower proportion compared to what is available across all sinuosity categories (Figure</w:t>
      </w:r>
      <w:r>
        <w:t xml:space="preserve"> </w:t>
      </w:r>
      <w:r>
        <w:t xml:space="preserve">7</w:t>
      </w:r>
      <w:r>
        <w:t xml:space="preserve">).</w:t>
      </w:r>
    </w:p>
    <w:p>
      <w:pPr>
        <w:pStyle w:val="CaptionedFigure"/>
      </w:pPr>
      <w:r>
        <w:drawing>
          <wp:inline>
            <wp:extent cx="5504749" cy="3669832"/>
            <wp:effectExtent b="0" l="0" r="0" t="0"/>
            <wp:docPr descr="Figure 6: Proportion of channel unit types available in the lower Lemhi River versus those observed being used by radio-tagged Chinook salmon presmolts." title="" id="55" name="Picture"/>
            <a:graphic>
              <a:graphicData uri="http://schemas.openxmlformats.org/drawingml/2006/picture">
                <pic:pic>
                  <pic:nvPicPr>
                    <pic:cNvPr descr="C:/Git/Lemhi_RME/analysis/figures/cu-per-1.png" id="56" name="Picture"/>
                    <pic:cNvPicPr>
                      <a:picLocks noChangeArrowheads="1" noChangeAspect="1"/>
                    </pic:cNvPicPr>
                  </pic:nvPicPr>
                  <pic:blipFill>
                    <a:blip r:embed="rId5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Proportion of channel unit types available in the lower Lemhi River versus those observed being used by radio-tagged Chinook salmon presmolts.</w:t>
      </w:r>
    </w:p>
    <w:p>
      <w:pPr>
        <w:pStyle w:val="CaptionedFigure"/>
      </w:pPr>
      <w:r>
        <w:drawing>
          <wp:inline>
            <wp:extent cx="5504749" cy="3669832"/>
            <wp:effectExtent b="0" l="0" r="0" t="0"/>
            <wp:docPr descr="Figure 7: Proportion of channel unit types available in the entire lower Lemhi compared with percent where fish were using them, faceted by low, medium and high sinuosity classes." title="" id="58" name="Picture"/>
            <a:graphic>
              <a:graphicData uri="http://schemas.openxmlformats.org/drawingml/2006/picture">
                <pic:pic>
                  <pic:nvPicPr>
                    <pic:cNvPr descr="C:/Git/Lemhi_RME/analysis/figures/cu-fig-1.png" id="59" name="Picture"/>
                    <pic:cNvPicPr>
                      <a:picLocks noChangeArrowheads="1" noChangeAspect="1"/>
                    </pic:cNvPicPr>
                  </pic:nvPicPr>
                  <pic:blipFill>
                    <a:blip r:embed="rId5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Proportion of channel unit types available in the entire lower Lemhi compared with percent where fish were using them, faceted by low, medium and high sinuosity classes.</w:t>
      </w:r>
    </w:p>
    <w:p>
      <w:pPr>
        <w:pStyle w:val="BodyText"/>
      </w:pPr>
      <w:r>
        <w:t xml:space="preserve">Table 5: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0.0000</w:t>
      </w:r>
    </w:p>
    <w:p>
      <w:pPr>
        <w:pStyle w:val="BodyText"/>
      </w:pPr>
      <w:r>
        <w:t xml:space="preserve">0.0000009</w:t>
      </w:r>
    </w:p>
    <w:p>
      <w:pPr>
        <w:pStyle w:val="BodyText"/>
      </w:pPr>
      <w:r>
        <w:t xml:space="preserve">Med</w:t>
      </w:r>
    </w:p>
    <w:p>
      <w:pPr>
        <w:pStyle w:val="BodyText"/>
      </w:pPr>
      <w:r>
        <w:t xml:space="preserve">0.0026</w:t>
      </w:r>
    </w:p>
    <w:p>
      <w:pPr>
        <w:pStyle w:val="BodyText"/>
      </w:pPr>
      <w:r>
        <w:t xml:space="preserve">0.0060995</w:t>
      </w:r>
    </w:p>
    <w:p>
      <w:pPr>
        <w:pStyle w:val="BodyText"/>
      </w:pPr>
      <w:r>
        <w:t xml:space="preserve">High</w:t>
      </w:r>
    </w:p>
    <w:p>
      <w:pPr>
        <w:pStyle w:val="BodyText"/>
      </w:pPr>
      <w:r>
        <w:t xml:space="preserve">0.0000</w:t>
      </w:r>
    </w:p>
    <w:p>
      <w:pPr>
        <w:pStyle w:val="BodyText"/>
      </w:pPr>
      <w:r>
        <w:t xml:space="preserve">0.0000000</w:t>
      </w:r>
    </w:p>
    <w:bookmarkEnd w:id="60"/>
    <w:bookmarkStart w:id="64" w:name="concealment-1"/>
    <w:p>
      <w:pPr>
        <w:pStyle w:val="Heading3"/>
      </w:pPr>
      <w:r>
        <w:t xml:space="preserve">Concealment</w:t>
      </w:r>
    </w:p>
    <w:p>
      <w:pPr>
        <w:pStyle w:val="FirstParagraph"/>
      </w:pPr>
      <w:r>
        <w:t xml:space="preserve">We observed little difference between the proportion of locations where concealment substrate was available and locations used by Chinook salmon presmolts with concealment habitat, for both the medium and high sinuosity categories (Figure</w:t>
      </w:r>
      <w:r>
        <w:t xml:space="preserve"> </w:t>
      </w:r>
      <w:r>
        <w:t xml:space="preserve">8</w:t>
      </w:r>
      <w:r>
        <w:t xml:space="preserve">). There was a significant difference within the low sinuosity category (Table</w:t>
      </w:r>
      <w:r>
        <w:t xml:space="preserve"> </w:t>
      </w:r>
      <w:r>
        <w:t xml:space="preserve">6</w:t>
      </w:r>
      <w:r>
        <w:t xml:space="preserve">); however; Figure</w:t>
      </w:r>
      <w:r>
        <w:t xml:space="preserve"> </w:t>
      </w:r>
      <w:r>
        <w:t xml:space="preserve">8</w:t>
      </w:r>
      <w:r>
        <w:t xml:space="preserve"> </w:t>
      </w:r>
      <w:r>
        <w:t xml:space="preserve">indicates that in low sinuosity reaches, fish were more likely to select habitat that does not contain substrate concealment, contrary to our suspicions.</w:t>
      </w:r>
    </w:p>
    <w:p>
      <w:pPr>
        <w:pStyle w:val="CaptionedFigure"/>
      </w:pPr>
      <w:r>
        <w:drawing>
          <wp:inline>
            <wp:extent cx="5504749" cy="3669832"/>
            <wp:effectExtent b="0" l="0" r="0" t="0"/>
            <wp:docPr descr="Figure 8: Proportion of locations where concealment habitat was available throughout the lower Lemhi River compared with the proportion where fish had selected, faceted by low, medium and high sinuosity classes." title="" id="62" name="Picture"/>
            <a:graphic>
              <a:graphicData uri="http://schemas.openxmlformats.org/drawingml/2006/picture">
                <pic:pic>
                  <pic:nvPicPr>
                    <pic:cNvPr descr="C:/Git/Lemhi_RME/analysis/figures/conceal-fig-1.png" id="63" name="Picture"/>
                    <pic:cNvPicPr>
                      <a:picLocks noChangeArrowheads="1" noChangeAspect="1"/>
                    </pic:cNvPicPr>
                  </pic:nvPicPr>
                  <pic:blipFill>
                    <a:blip r:embed="rId6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8: Proportion of locations where concealment habitat was available throughout the lower Lemhi River compared with the proportion where fish had selected, faceted by low, medium and high sinuosity classes.</w:t>
      </w:r>
    </w:p>
    <w:p>
      <w:pPr>
        <w:pStyle w:val="BodyText"/>
      </w:pPr>
      <w:r>
        <w:t xml:space="preserve">Table 6: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0.00610</w:t>
      </w:r>
    </w:p>
    <w:p>
      <w:pPr>
        <w:pStyle w:val="BodyText"/>
      </w:pPr>
      <w:r>
        <w:t xml:space="preserve">0.00452</w:t>
      </w:r>
    </w:p>
    <w:p>
      <w:pPr>
        <w:pStyle w:val="BodyText"/>
      </w:pPr>
      <w:r>
        <w:t xml:space="preserve">Med</w:t>
      </w:r>
    </w:p>
    <w:p>
      <w:pPr>
        <w:pStyle w:val="BodyText"/>
      </w:pPr>
      <w:r>
        <w:t xml:space="preserve">0.93377</w:t>
      </w:r>
    </w:p>
    <w:p>
      <w:pPr>
        <w:pStyle w:val="BodyText"/>
      </w:pPr>
      <w:r>
        <w:t xml:space="preserve">0.77483</w:t>
      </w:r>
    </w:p>
    <w:p>
      <w:pPr>
        <w:pStyle w:val="BodyText"/>
      </w:pPr>
      <w:r>
        <w:t xml:space="preserve">High</w:t>
      </w:r>
    </w:p>
    <w:p>
      <w:pPr>
        <w:pStyle w:val="BodyText"/>
      </w:pPr>
      <w:r>
        <w:t xml:space="preserve">0.40068</w:t>
      </w:r>
    </w:p>
    <w:p>
      <w:pPr>
        <w:pStyle w:val="BodyText"/>
      </w:pPr>
      <w:r>
        <w:t xml:space="preserve">0.23493</w:t>
      </w:r>
    </w:p>
    <w:bookmarkEnd w:id="64"/>
    <w:bookmarkStart w:id="68" w:name="cover-1"/>
    <w:p>
      <w:pPr>
        <w:pStyle w:val="Heading3"/>
      </w:pPr>
      <w:r>
        <w:t xml:space="preserve">Cover</w:t>
      </w:r>
    </w:p>
    <w:p>
      <w:pPr>
        <w:pStyle w:val="FirstParagraph"/>
      </w:pPr>
      <w:r>
        <w:t xml:space="preserve">Chinook salmon presmolts were more likely to select habitat where some form of cover was available (within a 1.5 m radius), compared to what was available, including across all three sinuosity categories (Figure</w:t>
      </w:r>
      <w:r>
        <w:t xml:space="preserve"> </w:t>
      </w:r>
      <w:r>
        <w:t xml:space="preserve">9</w:t>
      </w:r>
      <w:r>
        <w:t xml:space="preserve">; Table</w:t>
      </w:r>
      <w:r>
        <w:t xml:space="preserve"> </w:t>
      </w:r>
      <w:r>
        <w:t xml:space="preserve">7</w:t>
      </w:r>
      <w:r>
        <w:t xml:space="preserve">).</w:t>
      </w:r>
    </w:p>
    <w:p>
      <w:pPr>
        <w:pStyle w:val="CaptionedFigure"/>
      </w:pPr>
      <w:r>
        <w:drawing>
          <wp:inline>
            <wp:extent cx="5504749" cy="3669832"/>
            <wp:effectExtent b="0" l="0" r="0" t="0"/>
            <wp:docPr descr="Figure 9: Proportion of transect points where cover was available throughout the entire lower Lemhi River compared to the proportion where fish had selected, faceted by low, medium, and high sinuosity categories." title="" id="66" name="Picture"/>
            <a:graphic>
              <a:graphicData uri="http://schemas.openxmlformats.org/drawingml/2006/picture">
                <pic:pic>
                  <pic:nvPicPr>
                    <pic:cNvPr descr="C:/Git/Lemhi_RME/analysis/figures/cover-fig-1.png" id="67" name="Picture"/>
                    <pic:cNvPicPr>
                      <a:picLocks noChangeArrowheads="1" noChangeAspect="1"/>
                    </pic:cNvPicPr>
                  </pic:nvPicPr>
                  <pic:blipFill>
                    <a:blip r:embed="rId6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9: Proportion of transect points where cover was available throughout the entire lower Lemhi River compared to the proportion where fish had selected, faceted by low, medium, and high sinuosity categories.</w:t>
      </w:r>
    </w:p>
    <w:p>
      <w:pPr>
        <w:pStyle w:val="BodyText"/>
      </w:pPr>
      <w:r>
        <w:t xml:space="preserve">Table 7: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0.00274</w:t>
      </w:r>
    </w:p>
    <w:p>
      <w:pPr>
        <w:pStyle w:val="BodyText"/>
      </w:pPr>
      <w:r>
        <w:t xml:space="preserve">0.00255</w:t>
      </w:r>
    </w:p>
    <w:p>
      <w:pPr>
        <w:pStyle w:val="BodyText"/>
      </w:pPr>
      <w:r>
        <w:t xml:space="preserve">Med</w:t>
      </w:r>
    </w:p>
    <w:p>
      <w:pPr>
        <w:pStyle w:val="BodyText"/>
      </w:pPr>
      <w:r>
        <w:t xml:space="preserve">0.00001</w:t>
      </w:r>
    </w:p>
    <w:p>
      <w:pPr>
        <w:pStyle w:val="BodyText"/>
      </w:pPr>
      <w:r>
        <w:t xml:space="preserve">0.00003</w:t>
      </w:r>
    </w:p>
    <w:p>
      <w:pPr>
        <w:pStyle w:val="BodyText"/>
      </w:pPr>
      <w:r>
        <w:t xml:space="preserve">High</w:t>
      </w:r>
    </w:p>
    <w:p>
      <w:pPr>
        <w:pStyle w:val="BodyText"/>
      </w:pPr>
      <w:r>
        <w:t xml:space="preserve">0.00032</w:t>
      </w:r>
    </w:p>
    <w:p>
      <w:pPr>
        <w:pStyle w:val="BodyText"/>
      </w:pPr>
      <w:r>
        <w:t xml:space="preserve">0.00027</w:t>
      </w:r>
    </w:p>
    <w:bookmarkEnd w:id="68"/>
    <w:bookmarkEnd w:id="69"/>
    <w:bookmarkEnd w:id="70"/>
    <w:bookmarkStart w:id="72" w:name="discussion"/>
    <w:p>
      <w:pPr>
        <w:pStyle w:val="Heading1"/>
      </w:pPr>
      <w:r>
        <w:t xml:space="preserve">Discussion</w:t>
      </w:r>
    </w:p>
    <w:p>
      <w:pPr>
        <w:pStyle w:val="FirstParagraph"/>
      </w:pPr>
      <w:r>
        <w:t xml:space="preserve">In this study, we identified that radio-tagged Chinook salmon presmolts selected for slower stream velocities that were typically available in the lower Lemhi River; and further, selected for slow-water channel unit types, including pools and off-channel areas (Figure</w:t>
      </w:r>
      <w:r>
        <w:t xml:space="preserve"> </w:t>
      </w:r>
      <w:r>
        <w:t xml:space="preserve">6</w:t>
      </w:r>
      <w:r>
        <w:t xml:space="preserve">), at a higher rate than those types were available. Chinook presmolts appeared to similarly select for small side channels (Figure</w:t>
      </w:r>
      <w:r>
        <w:t xml:space="preserve"> </w:t>
      </w:r>
      <w:r>
        <w:t xml:space="preserve">6</w:t>
      </w:r>
      <w:r>
        <w:t xml:space="preserve">). Additionally, we identified that presmolts selected for locations with adjacent cover (of any type), regardless of the reach-scale sinuosity of the river. We did not identify a pattern of selection (or not) for concealment habitat. In the following, we further discuss these results including potential limitation that should be considered during interpretation.</w:t>
      </w:r>
    </w:p>
    <w:p>
      <w:pPr>
        <w:pStyle w:val="BodyText"/>
      </w:pPr>
      <w:r>
        <w:t xml:space="preserve">Distribution of stream depths and velocities from the sampled transects and the rasters covering the entirety of the lower Lemhi River were nearly identical within each sinuosity class. This suggested that the sampled transects sufficiently captured the distribution of available habitat, and did not need to be supplemented with additional transects. Certainly, we were interested in habitat metrics beyond depth and velocity, but without somehow simulating the true distributions of those metrics (e.g., substrate class, fish cover, etc.)) it would have been difficult to conduct a worthwhile power analysis to evaluate whether the current dataset was sufficient to capture those distributions. Depth and velocity were used as proxies for other habitat characteristics, because we had model outputs for them across the entire lower Lemhi River, which we treated as the</w:t>
      </w:r>
      <w:r>
        <w:t xml:space="preserve"> </w:t>
      </w:r>
      <w:r>
        <w:t xml:space="preserve">“</w:t>
      </w:r>
      <w:r>
        <w:t xml:space="preserve">truth</w:t>
      </w:r>
      <w:r>
        <w:t xml:space="preserve">”</w:t>
      </w:r>
      <w:r>
        <w:t xml:space="preserve">. We feel that the habitat availability dataset available from line transects in the lower Lemhi River was sufficient to capture the true available habitat.</w:t>
      </w:r>
    </w:p>
    <w:p>
      <w:pPr>
        <w:pStyle w:val="BodyText"/>
      </w:pPr>
      <w:r>
        <w:t xml:space="preserve">We hypothesized that Chinook salmon presmolts would select high sinuosity reaches in the lower Lemhi River at a higher rate than they were available; however, this was not the case (Figure</w:t>
      </w:r>
      <w:r>
        <w:t xml:space="preserve"> </w:t>
      </w:r>
      <w:r>
        <w:t xml:space="preserve">3</w:t>
      </w:r>
      <w:r>
        <w:t xml:space="preserve">). There did not appear to be a real pattern in fish use relative to sinuosity categories, as classified. We suspected that</w:t>
      </w:r>
      <w:r>
        <w:t xml:space="preserve"> </w:t>
      </w:r>
      <w:r>
        <w:t xml:space="preserve">“</w:t>
      </w:r>
      <w:r>
        <w:t xml:space="preserve">high</w:t>
      </w:r>
      <w:r>
        <w:t xml:space="preserve">”</w:t>
      </w:r>
      <w:r>
        <w:t xml:space="preserve"> </w:t>
      </w:r>
      <w:r>
        <w:t xml:space="preserve">sinuosity reaches of the lower Lemhi River would be more likely to contain lower velocity habitats and slow-water channel units, which are typically more appealing to presmolts (supported by findings here). But that didn’t necessarily seem to be the case here, as all sinuosity categories appeared to have similar distributions of velocity (Figure</w:t>
      </w:r>
      <w:r>
        <w:t xml:space="preserve"> </w:t>
      </w:r>
      <w:r>
        <w:t xml:space="preserve">2</w:t>
      </w:r>
      <w:r>
        <w:t xml:space="preserve">) despite high sinuosity reaches having higher pool frequency (Figure</w:t>
      </w:r>
      <w:r>
        <w:t xml:space="preserve"> </w:t>
      </w:r>
      <w:r>
        <w:t xml:space="preserve">7</w:t>
      </w:r>
      <w:r>
        <w:t xml:space="preserve">). These findings may suggest that Chinook salmon presmolts are not selecting for habitat at the reach (e.g., 500 m) scale, but rather at a more microhabitat scale.</w:t>
      </w:r>
    </w:p>
    <w:p>
      <w:pPr>
        <w:pStyle w:val="BodyText"/>
      </w:pPr>
      <w:r>
        <w:t xml:space="preserve">While our analysis demonstrated a significant difference between mean available depths in the lower Lemhi River and depths used by Chinook salmon presmolts (Table</w:t>
      </w:r>
      <w:r>
        <w:t xml:space="preserve"> </w:t>
      </w:r>
      <w:r>
        <w:t xml:space="preserve">3</w:t>
      </w:r>
      <w:r>
        <w:t xml:space="preserve">), with premolts selecting for shallower depths, we believe this results could at least partially be explained by a sampling bias. For example, stream depths were not collected at some fish use locations because, at the time of sampling, those locations were too deep or swift to safely and accurately measure. Had these omitted data points been included in the used dataset, bias in observed depths may have been reduced (albeit to an unknown degree), and a significant difference may not have been found. Alternatively, some locations where radio tags were detected were considered non-selected habitats based on stream velocities. Any locations with a stream velocity greater than 0.7 m/s were excluded as potential use locations because those velocities exceed sustained swimming capabilities of the average sized Chinook salmon tagged for this study</w:t>
      </w:r>
      <w:r>
        <w:t xml:space="preserve"> </w:t>
      </w:r>
      <w:r>
        <w:t xml:space="preserve">(Holleman et al. 2022)</w:t>
      </w:r>
      <w:r>
        <w:t xml:space="preserve">.</w:t>
      </w:r>
    </w:p>
    <w:p>
      <w:pPr>
        <w:pStyle w:val="BodyText"/>
      </w:pPr>
      <w:r>
        <w:t xml:space="preserve">Contrary to our hypothesis, there was more concealment habitat available in the lower Lemhi River than what was being used by presmolts, at least in low sinuosity reaches (Figure</w:t>
      </w:r>
      <w:r>
        <w:t xml:space="preserve"> </w:t>
      </w:r>
      <w:r>
        <w:t xml:space="preserve">8</w:t>
      </w:r>
      <w:r>
        <w:t xml:space="preserve">). This may be partially explained by fish instead seeking and preferring slow velocity habitats, which are generally associated with finer bed material (i.e., gravel, sands, fines) deposition. Chinook salmon presmolts may not be selecting for areas where concealment is absent, but rather it may be that stream velocity is a more important habitat component than substrate concealment. Also, while surveyors did their best to categorize substrate accurately, turbidity in the Lemhi River, especially at higher winter flows, made substrate observations challenging.</w:t>
      </w:r>
    </w:p>
    <w:p>
      <w:pPr>
        <w:pStyle w:val="BodyText"/>
      </w:pPr>
      <w:r>
        <w:t xml:space="preserve">We showed that presmolts selected for microhabitats with cover (within a 1.5 m radius) in greater proportions than was available throughout the lower Lemhi River. Although we did not compare availability and use of dominant cover type (large and small wood, terrestrial and aquatic vegetation, boulder, and undercut bank), we don’t believe the type of cover to be overly important, rather that some type of cover is readily available.</w:t>
      </w:r>
    </w:p>
    <w:p>
      <w:pPr>
        <w:pStyle w:val="BodyText"/>
      </w:pPr>
      <w:r>
        <w:t xml:space="preserve">We belive findings from this study should prove useful for ongoing restoration efforts in the Lemhi River. However, there were some potential limitations that should be considered, which include:</w:t>
      </w:r>
    </w:p>
    <w:p>
      <w:pPr>
        <w:numPr>
          <w:ilvl w:val="0"/>
          <w:numId w:val="1002"/>
        </w:numPr>
        <w:pStyle w:val="Compact"/>
      </w:pPr>
      <w:r>
        <w:t xml:space="preserve">Limitations in radio telemetry tags and technology,</w:t>
      </w:r>
    </w:p>
    <w:p>
      <w:pPr>
        <w:numPr>
          <w:ilvl w:val="0"/>
          <w:numId w:val="1002"/>
        </w:numPr>
        <w:pStyle w:val="Compact"/>
      </w:pPr>
      <w:r>
        <w:t xml:space="preserve">Predation,</w:t>
      </w:r>
    </w:p>
    <w:p>
      <w:pPr>
        <w:numPr>
          <w:ilvl w:val="0"/>
          <w:numId w:val="1002"/>
        </w:numPr>
        <w:pStyle w:val="Compact"/>
      </w:pPr>
      <w:r>
        <w:t xml:space="preserve">Habitat use samples sizes, and</w:t>
      </w:r>
    </w:p>
    <w:p>
      <w:pPr>
        <w:numPr>
          <w:ilvl w:val="0"/>
          <w:numId w:val="1002"/>
        </w:numPr>
        <w:pStyle w:val="Compact"/>
      </w:pPr>
      <w:r>
        <w:t xml:space="preserve">Sampling bias due to harsh environmental conditions during winter months</w:t>
      </w:r>
    </w:p>
    <w:p>
      <w:pPr>
        <w:pStyle w:val="FirstParagraph"/>
      </w:pPr>
      <w:r>
        <w:t xml:space="preserve">In nearly all cases, we were unable to confirm whether radio tag detections (observations) were truly live fish, and further, 22 radio tags were physically recovered during surveys. In some cases, we suspect that tag antennas became entangled with physical habitat features (e.g., woody debris, large substrates) when fish sought cover, resulting in shed tags. Additionally, predation perhaps also contributed to the amount of radio tags recovered and created additional uncertainty on whether a detection was from a live fish or whether from a predatory species (e.g., bull trout).</w:t>
      </w:r>
    </w:p>
    <w:p>
      <w:pPr>
        <w:pStyle w:val="BodyText"/>
      </w:pPr>
      <w:r>
        <w:t xml:space="preserve">Ideally, our habitat use observations would have included a larger sample size and preferably included multiple years. However, due to concerns about tag burdens and presmolts becoming entangled with physical habitat features because of the external radio antenna, radio tagging activities were ceased after the 2019/2020 winter field season. Additional use observations would have allowed for a more robust assessment and better representation of the population as a whole; however, the</w:t>
      </w:r>
      <w:r>
        <w:t xml:space="preserve"> </w:t>
      </w:r>
      <w:r>
        <w:t xml:space="preserve">“</w:t>
      </w:r>
      <w:r>
        <w:t xml:space="preserve">use</w:t>
      </w:r>
      <w:r>
        <w:t xml:space="preserve">”</w:t>
      </w:r>
      <w:r>
        <w:t xml:space="preserve"> </w:t>
      </w:r>
      <w:r>
        <w:t xml:space="preserve">sample size (n = 74) was sufficient to perform significance tests.</w:t>
      </w:r>
    </w:p>
    <w:p>
      <w:pPr>
        <w:pStyle w:val="BodyText"/>
      </w:pPr>
      <w:r>
        <w:t xml:space="preserve">Largely due to environmental conditions microhabitat use surveys were not always feasible during certain times of the winter or in certain sections of the river. When the river was not navigable by boat due to surface ice, we were forced to conduct surveys by foot which limited access to only those areas where we had landowner permission. Also, river conditions prevented us from collecting all desired metrics (i.e., depth and velocity) at all detected tag locations during certain times.</w:t>
      </w:r>
    </w:p>
    <w:bookmarkStart w:id="71" w:name="conclusions"/>
    <w:p>
      <w:pPr>
        <w:pStyle w:val="Heading2"/>
      </w:pPr>
      <w:r>
        <w:t xml:space="preserve">Conclusions</w:t>
      </w:r>
    </w:p>
    <w:p>
      <w:pPr>
        <w:pStyle w:val="FirstParagraph"/>
      </w:pPr>
      <w:r>
        <w:t xml:space="preserve">We identified that Chinook salmon presmolts selected for slower velocity microhabitats and channel unit types, and preferred locations with cover. More specifically, slow water channel units (pool, run, and off-channel areas) accounted for 70.3% of the habitats used by presmolts whereas only 36.4% of available habitat consisted of slow water channel units (Figure</w:t>
      </w:r>
      <w:r>
        <w:t xml:space="preserve"> </w:t>
      </w:r>
      <w:r>
        <w:t xml:space="preserve">6</w:t>
      </w:r>
      <w:r>
        <w:t xml:space="preserve">). Presmolts aim to maintain their body condition (weight) through winter months to increase their probability of survival during emigration through the mainstem corridors and to the ocean. Slow velocity areas allow presmolts to preserve energy and weight. Cover both provides opportunity for (helps create) small areas of reduced velocity while also allowing for predator avoidance. The goal for a presmolt is to survive until increasing or higher flows in the spring, as fat as possible, with the aim of maximizing the probability of survival. Through velocity and channel unit type analyses, we demonstrated that Chinook salmon presmolts preferred slower channel unit types (pools and off-channel areas; Figure</w:t>
      </w:r>
      <w:r>
        <w:t xml:space="preserve"> </w:t>
      </w:r>
      <w:r>
        <w:t xml:space="preserve">7</w:t>
      </w:r>
      <w:r>
        <w:t xml:space="preserve">), supporting the idea that these fish are seeking refuge from high velocities (i.e., riffles) which could be an important survival and fitness strategy during the winter months when fish are trying to maintain condition factor. We believe that restoration efforts in the lower Lemhi River with the goal of improving overwintering habitat should increase the amount and frequency of slow-water habitats with available cover.</w:t>
      </w:r>
    </w:p>
    <w:bookmarkEnd w:id="71"/>
    <w:bookmarkEnd w:id="72"/>
    <w:bookmarkStart w:id="91" w:name="literature-cited"/>
    <w:p>
      <w:pPr>
        <w:pStyle w:val="Heading1"/>
      </w:pPr>
      <w:r>
        <w:t xml:space="preserve">Literature Cited</w:t>
      </w:r>
    </w:p>
    <w:bookmarkStart w:id="90" w:name="refs"/>
    <w:bookmarkStart w:id="73"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73"/>
    <w:bookmarkStart w:id="74" w:name="ref-Carmichael2019"/>
    <w:p>
      <w:pPr>
        <w:pStyle w:val="Bibliography"/>
      </w:pPr>
      <w:r>
        <w:t xml:space="preserve">Carmichael, R. A., M. W. Ackerman, K. See, B. Lott, T. Mackay, and C. Beasley. 2019. Drone</w:t>
      </w:r>
      <w:r>
        <w:t xml:space="preserve"> </w:t>
      </w:r>
      <w:r>
        <w:t xml:space="preserve">Assisted Stream Habitat</w:t>
      </w:r>
      <w:r>
        <w:t xml:space="preserve"> </w:t>
      </w:r>
      <w:r>
        <w:t xml:space="preserve">(</w:t>
      </w:r>
      <w:r>
        <w:t xml:space="preserve">DASH</w:t>
      </w:r>
      <w:r>
        <w:t xml:space="preserve">)</w:t>
      </w:r>
      <w:r>
        <w:t xml:space="preserve"> </w:t>
      </w:r>
      <w:r>
        <w:t xml:space="preserve">Protocol</w:t>
      </w:r>
      <w:r>
        <w:t xml:space="preserve">,</w:t>
      </w:r>
      <w:r>
        <w:t xml:space="preserve"> </w:t>
      </w:r>
      <w:r>
        <w:t xml:space="preserve">DRAFT</w:t>
      </w:r>
      <w:r>
        <w:t xml:space="preserve">.</w:t>
      </w:r>
      <w:r>
        <w:t xml:space="preserve"> </w:t>
      </w:r>
      <w:r>
        <w:t xml:space="preserve">Biomark, Applied Biological Services</w:t>
      </w:r>
      <w:r>
        <w:t xml:space="preserve">.</w:t>
      </w:r>
    </w:p>
    <w:bookmarkEnd w:id="74"/>
    <w:bookmarkStart w:id="75" w:name="ref-Cunjak1996"/>
    <w:p>
      <w:pPr>
        <w:pStyle w:val="Bibliography"/>
      </w:pPr>
      <w:r>
        <w:t xml:space="preserve">Cunjak, R. A. 1996. Winter habitat of selected stream fishes and potential impacts from land-use activity 53:16.</w:t>
      </w:r>
    </w:p>
    <w:bookmarkEnd w:id="75"/>
    <w:bookmarkStart w:id="77" w:name="ref-Favrot2018"/>
    <w:p>
      <w:pPr>
        <w:pStyle w:val="Bibliography"/>
      </w:pPr>
      <w:r>
        <w:t xml:space="preserve">Favrot, S. D., B. C. Jonasson, and J. T. Peterson. 2018.</w:t>
      </w:r>
      <w:r>
        <w:t xml:space="preserve"> </w:t>
      </w:r>
      <w:hyperlink r:id="rId76">
        <w:r>
          <w:rPr>
            <w:rStyle w:val="Hyperlink"/>
          </w:rPr>
          <w:t xml:space="preserve">Fall and</w:t>
        </w:r>
        <w:r>
          <w:rPr>
            <w:rStyle w:val="Hyperlink"/>
          </w:rPr>
          <w:t xml:space="preserve"> </w:t>
        </w:r>
        <w:r>
          <w:rPr>
            <w:rStyle w:val="Hyperlink"/>
          </w:rPr>
          <w:t xml:space="preserve">Winter Microhabitat Use</w:t>
        </w:r>
        <w:r>
          <w:rPr>
            <w:rStyle w:val="Hyperlink"/>
          </w:rPr>
          <w:t xml:space="preserve"> </w:t>
        </w:r>
        <w:r>
          <w:rPr>
            <w:rStyle w:val="Hyperlink"/>
          </w:rPr>
          <w:t xml:space="preserve">and</w:t>
        </w:r>
        <w:r>
          <w:rPr>
            <w:rStyle w:val="Hyperlink"/>
          </w:rPr>
          <w:t xml:space="preserve"> </w:t>
        </w:r>
        <w:r>
          <w:rPr>
            <w:rStyle w:val="Hyperlink"/>
          </w:rPr>
          <w:t xml:space="preserve">Suitability</w:t>
        </w:r>
        <w:r>
          <w:rPr>
            <w:rStyle w:val="Hyperlink"/>
          </w:rPr>
          <w:t xml:space="preserve"> </w:t>
        </w:r>
        <w:r>
          <w:rPr>
            <w:rStyle w:val="Hyperlink"/>
          </w:rPr>
          <w:t xml:space="preserve">for</w:t>
        </w:r>
        <w:r>
          <w:rPr>
            <w:rStyle w:val="Hyperlink"/>
          </w:rPr>
          <w:t xml:space="preserve"> </w:t>
        </w:r>
        <w:r>
          <w:rPr>
            <w:rStyle w:val="Hyperlink"/>
          </w:rPr>
          <w:t xml:space="preserve">Spring Chinook Salmon Parr</w:t>
        </w:r>
        <w:r>
          <w:rPr>
            <w:rStyle w:val="Hyperlink"/>
          </w:rPr>
          <w:t xml:space="preserve"> </w:t>
        </w:r>
        <w:r>
          <w:rPr>
            <w:rStyle w:val="Hyperlink"/>
          </w:rPr>
          <w:t xml:space="preserve">in a</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Pacific Northwest River</w:t>
        </w:r>
      </w:hyperlink>
      <w:r>
        <w:t xml:space="preserve">. Transactions of the American Fisheries Society 147(1):151–170.</w:t>
      </w:r>
    </w:p>
    <w:bookmarkEnd w:id="77"/>
    <w:bookmarkStart w:id="79" w:name="ref-Holleman2022"/>
    <w:p>
      <w:pPr>
        <w:pStyle w:val="Bibliography"/>
      </w:pPr>
      <w:r>
        <w:t xml:space="preserve">Holleman, R. C., E. S. Gross, M. J. Thomas, A. L. Rypel, and N. A. Fangue. 2022.</w:t>
      </w:r>
      <w:r>
        <w:t xml:space="preserve"> </w:t>
      </w:r>
      <w:hyperlink r:id="rId78">
        <w:r>
          <w:rPr>
            <w:rStyle w:val="Hyperlink"/>
          </w:rPr>
          <w:t xml:space="preserve">Swimming behavior of emigrating</w:t>
        </w:r>
        <w:r>
          <w:rPr>
            <w:rStyle w:val="Hyperlink"/>
          </w:rPr>
          <w:t xml:space="preserve"> </w:t>
        </w:r>
        <w:r>
          <w:rPr>
            <w:rStyle w:val="Hyperlink"/>
          </w:rPr>
          <w:t xml:space="preserve">Chinook Salmon</w:t>
        </w:r>
        <w:r>
          <w:rPr>
            <w:rStyle w:val="Hyperlink"/>
          </w:rPr>
          <w:t xml:space="preserve"> </w:t>
        </w:r>
        <w:r>
          <w:rPr>
            <w:rStyle w:val="Hyperlink"/>
          </w:rPr>
          <w:t xml:space="preserve">smolts</w:t>
        </w:r>
      </w:hyperlink>
      <w:r>
        <w:t xml:space="preserve">. PLOS ONE 17(3):e0263972.</w:t>
      </w:r>
    </w:p>
    <w:bookmarkEnd w:id="79"/>
    <w:bookmarkStart w:id="81" w:name="ref-Huusko2007"/>
    <w:p>
      <w:pPr>
        <w:pStyle w:val="Bibliography"/>
      </w:pPr>
      <w:r>
        <w:t xml:space="preserve">Huusko, A., L. Greenberg, M. Stickler, T. Linnansaari, M. Nykänen, T. Vehanen, S. Koljonen, P. Louhi, and K. Alfredsen. 2007.</w:t>
      </w:r>
      <w:r>
        <w:t xml:space="preserve"> </w:t>
      </w:r>
      <w:hyperlink r:id="rId80">
        <w:r>
          <w:rPr>
            <w:rStyle w:val="Hyperlink"/>
          </w:rPr>
          <w:t xml:space="preserve">Life in the ice lane: The winter ecology of stream salmonids</w:t>
        </w:r>
      </w:hyperlink>
      <w:r>
        <w:t xml:space="preserve">. River Research and Applications 23(5):469–491.</w:t>
      </w:r>
    </w:p>
    <w:bookmarkEnd w:id="81"/>
    <w:bookmarkStart w:id="83" w:name="ref-Johnson1980"/>
    <w:p>
      <w:pPr>
        <w:pStyle w:val="Bibliography"/>
      </w:pPr>
      <w:r>
        <w:t xml:space="preserve">Johnson, D. H. 1980.</w:t>
      </w:r>
      <w:r>
        <w:t xml:space="preserve"> </w:t>
      </w:r>
      <w:hyperlink r:id="rId82">
        <w:r>
          <w:rPr>
            <w:rStyle w:val="Hyperlink"/>
          </w:rPr>
          <w:t xml:space="preserve">The</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Usage</w:t>
        </w:r>
        <w:r>
          <w:rPr>
            <w:rStyle w:val="Hyperlink"/>
          </w:rPr>
          <w:t xml:space="preserve"> </w:t>
        </w:r>
        <w:r>
          <w:rPr>
            <w:rStyle w:val="Hyperlink"/>
          </w:rPr>
          <w:t xml:space="preserve">and</w:t>
        </w:r>
        <w:r>
          <w:rPr>
            <w:rStyle w:val="Hyperlink"/>
          </w:rPr>
          <w:t xml:space="preserve"> </w:t>
        </w:r>
        <w:r>
          <w:rPr>
            <w:rStyle w:val="Hyperlink"/>
          </w:rPr>
          <w:t xml:space="preserve">Availability Measurements</w:t>
        </w:r>
        <w:r>
          <w:rPr>
            <w:rStyle w:val="Hyperlink"/>
          </w:rPr>
          <w:t xml:space="preserve"> </w:t>
        </w:r>
        <w:r>
          <w:rPr>
            <w:rStyle w:val="Hyperlink"/>
          </w:rPr>
          <w:t xml:space="preserve">for</w:t>
        </w:r>
        <w:r>
          <w:rPr>
            <w:rStyle w:val="Hyperlink"/>
          </w:rPr>
          <w:t xml:space="preserve"> </w:t>
        </w:r>
        <w:r>
          <w:rPr>
            <w:rStyle w:val="Hyperlink"/>
          </w:rPr>
          <w:t xml:space="preserve">Evaluating Resource Preference</w:t>
        </w:r>
      </w:hyperlink>
      <w:r>
        <w:t xml:space="preserve">. Ecology 61(1):65–71.</w:t>
      </w:r>
    </w:p>
    <w:bookmarkEnd w:id="83"/>
    <w:bookmarkStart w:id="84"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84"/>
    <w:bookmarkStart w:id="85"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85"/>
    <w:bookmarkStart w:id="86"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86"/>
    <w:bookmarkStart w:id="88" w:name="ref-Rosenfeld2003"/>
    <w:p>
      <w:pPr>
        <w:pStyle w:val="Bibliography"/>
      </w:pPr>
      <w:r>
        <w:t xml:space="preserve">Rosenfeld, J. 2003.</w:t>
      </w:r>
      <w:r>
        <w:t xml:space="preserve"> </w:t>
      </w:r>
      <w:hyperlink r:id="rId87">
        <w:r>
          <w:rPr>
            <w:rStyle w:val="Hyperlink"/>
          </w:rPr>
          <w:t xml:space="preserve">Assessing the</w:t>
        </w:r>
        <w:r>
          <w:rPr>
            <w:rStyle w:val="Hyperlink"/>
          </w:rPr>
          <w:t xml:space="preserve"> </w:t>
        </w:r>
        <w:r>
          <w:rPr>
            <w:rStyle w:val="Hyperlink"/>
          </w:rPr>
          <w:t xml:space="preserve">Habitat Requirements</w:t>
        </w:r>
        <w:r>
          <w:rPr>
            <w:rStyle w:val="Hyperlink"/>
          </w:rPr>
          <w:t xml:space="preserve"> </w:t>
        </w:r>
        <w:r>
          <w:rPr>
            <w:rStyle w:val="Hyperlink"/>
          </w:rPr>
          <w:t xml:space="preserve">of</w:t>
        </w:r>
        <w:r>
          <w:rPr>
            <w:rStyle w:val="Hyperlink"/>
          </w:rPr>
          <w:t xml:space="preserve"> </w:t>
        </w:r>
        <w:r>
          <w:rPr>
            <w:rStyle w:val="Hyperlink"/>
          </w:rPr>
          <w:t xml:space="preserve">Stream Fishes</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Different Approaches</w:t>
        </w:r>
      </w:hyperlink>
      <w:r>
        <w:t xml:space="preserve">. Transactions of the American Fisheries Society 132(5):953–968.</w:t>
      </w:r>
    </w:p>
    <w:bookmarkEnd w:id="88"/>
    <w:bookmarkStart w:id="89"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89"/>
    <w:bookmarkEnd w:id="90"/>
    <w:bookmarkEnd w:id="91"/>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hyperlink" Id="rId26" Target="https://atstrack.com" TargetMode="External" /><Relationship Type="http://schemas.openxmlformats.org/officeDocument/2006/relationships/hyperlink" Id="rId80" Target="https://doi.org/10.1002/rra.999" TargetMode="External" /><Relationship Type="http://schemas.openxmlformats.org/officeDocument/2006/relationships/hyperlink" Id="rId76" Target="https://doi.org/10.1002/tafs.10011" TargetMode="External" /><Relationship Type="http://schemas.openxmlformats.org/officeDocument/2006/relationships/hyperlink" Id="rId78" Target="https://doi.org/10.1371/journal.pone.0263972" TargetMode="External" /><Relationship Type="http://schemas.openxmlformats.org/officeDocument/2006/relationships/hyperlink" Id="rId87" Target="https://doi.org/10.1577/T01-126" TargetMode="External" /><Relationship Type="http://schemas.openxmlformats.org/officeDocument/2006/relationships/hyperlink" Id="rId82"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6" Target="https://atstrack.com" TargetMode="External" /><Relationship Type="http://schemas.openxmlformats.org/officeDocument/2006/relationships/hyperlink" Id="rId80" Target="https://doi.org/10.1002/rra.999" TargetMode="External" /><Relationship Type="http://schemas.openxmlformats.org/officeDocument/2006/relationships/hyperlink" Id="rId76" Target="https://doi.org/10.1002/tafs.10011" TargetMode="External" /><Relationship Type="http://schemas.openxmlformats.org/officeDocument/2006/relationships/hyperlink" Id="rId78" Target="https://doi.org/10.1371/journal.pone.0263972" TargetMode="External" /><Relationship Type="http://schemas.openxmlformats.org/officeDocument/2006/relationships/hyperlink" Id="rId87" Target="https://doi.org/10.1577/T01-126" TargetMode="External" /><Relationship Type="http://schemas.openxmlformats.org/officeDocument/2006/relationships/hyperlink" Id="rId82"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dcterms:created xsi:type="dcterms:W3CDTF">2022-06-23T22:45:16Z</dcterms:created>
  <dcterms:modified xsi:type="dcterms:W3CDTF">2022-06-23T22:45:16Z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23 June, 2022</vt:lpwstr>
  </property>
  <property fmtid="{D5CDD505-2E9C-101B-9397-08002B2CF9AE}" pid="6" name="output">
    <vt:lpwstr/>
  </property>
</Properties>
</file>