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36.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Kevin E. See</w:t>
      </w:r>
      <w:r>
        <w:rPr>
          <w:vertAlign w:val="superscript"/>
        </w:rPr>
        <w:t xml:space="preserve">1</w:t>
      </w:r>
      <w:r>
        <w:t xml:space="preserve">,</w:t>
      </w:r>
      <w:r>
        <w:t xml:space="preserve"> </w:t>
      </w:r>
      <w:r>
        <w:t xml:space="preserve">Michael W. Ackerman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Tulley Mackey</w:t>
      </w:r>
      <w:r>
        <w:rPr>
          <w:vertAlign w:val="superscript"/>
        </w:rPr>
        <w:t xml:space="preserve">4</w:t>
      </w:r>
      <w:r>
        <w:t xml:space="preserve">,</w:t>
      </w:r>
      <w:r>
        <w:t xml:space="preserve"> </w:t>
      </w:r>
      <w:r>
        <w:t xml:space="preserve">Mike Hall</w:t>
      </w:r>
      <w:r>
        <w:rPr>
          <w:vertAlign w:val="superscript"/>
        </w:rPr>
        <w:t xml:space="preserve">3</w:t>
      </w:r>
      <w:r>
        <w:t xml:space="preserve">,</w:t>
      </w:r>
      <w:r>
        <w:t xml:space="preserve"> </w:t>
      </w:r>
      <w:r>
        <w:t xml:space="preserve">and</w:t>
      </w:r>
      <w:r>
        <w:t xml:space="preserve"> </w:t>
      </w:r>
      <w:r>
        <w:t xml:space="preserve">Richie Carmichael</w:t>
      </w:r>
      <w:r>
        <w:rPr>
          <w:vertAlign w:val="superscript"/>
        </w:rPr>
        <w:t xml:space="preserve">3</w:t>
      </w:r>
    </w:p>
    <w:p>
      <w:pPr>
        <w:pStyle w:val="Date"/>
      </w:pPr>
      <w:r>
        <w:t xml:space="preserve">09</w:t>
      </w:r>
      <w:r>
        <w:t xml:space="preserve"> </w:t>
      </w:r>
      <w:r>
        <w:t xml:space="preserve">May,</w:t>
      </w:r>
      <w:r>
        <w:t xml:space="preserve"> </w:t>
      </w:r>
      <w:r>
        <w:t xml:space="preserve">2022</w:t>
      </w:r>
    </w:p>
    <w:p>
      <w:pPr>
        <w:pStyle w:val="FirstParagraph"/>
      </w:pPr>
      <w:r>
        <w:rPr>
          <w:vertAlign w:val="superscript"/>
        </w:rPr>
        <w:t xml:space="preserve">1</w:t>
      </w:r>
      <w:r>
        <w:t xml:space="preserve"> </w:t>
      </w:r>
      <w:r>
        <w:t xml:space="preserve">Washington Department of Fish and Wildife, Fish Program, Science Division, 1111 Washington Street NE, Olympia, Washington, 98501, USA</w:t>
      </w:r>
      <w:r>
        <w:br/>
      </w:r>
      <w:r>
        <w:rPr>
          <w:vertAlign w:val="superscript"/>
        </w:rPr>
        <w:t xml:space="preserve">2</w:t>
      </w:r>
      <w:r>
        <w:t xml:space="preserve"> </w:t>
      </w:r>
      <w:r>
        <w:t xml:space="preserve">Mount Hood Environmental, PO Box 4282, McCall, Idaho, 83638,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1009 South Daisy Street, Salmon, Idaho, 83467,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p>
    <w:bookmarkStart w:id="23"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information for juvenile salmonids, particularly during winter months, is somewhat lacking.</w:t>
      </w:r>
    </w:p>
    <w:p>
      <w:pPr>
        <w:pStyle w:val="BodyText"/>
      </w:pPr>
      <w:r>
        <w:t xml:space="preserve">Fish habitat is composed of physical and biological components that are necessary to complete a fish’s life history</w:t>
      </w:r>
      <w:r>
        <w:t xml:space="preserve"> </w:t>
      </w:r>
      <w:r>
        <w:t xml:space="preserve">(Newcomb et al. 2007)</w:t>
      </w:r>
      <w:r>
        <w:t xml:space="preserve">. Habitat availability is the accessibility and procurability of those physical and biological resources by a fish</w:t>
      </w:r>
      <w:r>
        <w:t xml:space="preserve"> </w:t>
      </w:r>
      <w:r>
        <w:t xml:space="preserve">(Johnson 1980)</w:t>
      </w:r>
      <w:r>
        <w:t xml:space="preserve">. Alternatively, habitat use is the way a fish uses the physical and biological resources available to them. Habitat suitability is a measure of the capacity of a specific available habitat to support a fish, with those habitats being most suitable being optimal</w:t>
      </w:r>
      <w:r>
        <w:t xml:space="preserve"> </w:t>
      </w:r>
      <w:r>
        <w:t xml:space="preserve">(Bovee 1986)</w:t>
      </w:r>
      <w:r>
        <w:t xml:space="preserve">. Available habitats can be hierarchically characterized employing a spectrum ranging from least suitable (i.e., avoided) to most suitable (i.e., optimal). Habitat selection is the process of choosing a physical or biological component from a suite of available habitats</w:t>
      </w:r>
      <w:r>
        <w:t xml:space="preserve"> </w:t>
      </w:r>
      <w:r>
        <w:t xml:space="preserve">(Johnson 1980)</w:t>
      </w:r>
      <w:r>
        <w:t xml:space="preserve">. In general, habitat use is considered random (i.e., no preference) if habitat use is proportionally equivalent to habitat availability. However, preferred habitat refers to a specific physical or biological component that is preferentially selected under equal availabilities (e.g., laboratory experiment:</w:t>
      </w:r>
      <w:r>
        <w:t xml:space="preserve"> </w:t>
      </w:r>
      <w:r>
        <w:t xml:space="preserve">Johnson (1980)</w:t>
      </w:r>
      <w:r>
        <w:t xml:space="preserve">). Lastly, critical habitat areas exhibit characteristics important to sensitive life stages (e.g., early life history:</w:t>
      </w:r>
      <w:r>
        <w:t xml:space="preserve"> </w:t>
      </w:r>
      <w:r>
        <w:t xml:space="preserve">Pitlo (1989)</w:t>
      </w:r>
      <w:r>
        <w:t xml:space="preserve">,</w:t>
      </w:r>
      <w:r>
        <w:t xml:space="preserve"> </w:t>
      </w:r>
      <w:r>
        <w:t xml:space="preserve">Newcomb et al. (2007)</w:t>
      </w:r>
      <w:r>
        <w:t xml:space="preserve">).</w:t>
      </w:r>
    </w:p>
    <w:bookmarkStart w:id="22"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during winter months. Habitat availability data and use data were collected in the lower Lemhi River using methods similar to those described by</w:t>
      </w:r>
      <w:r>
        <w:t xml:space="preserve"> </w:t>
      </w:r>
      <w:r>
        <w:t xml:space="preserve">Favrot et al. (2018)</w:t>
      </w:r>
      <w:r>
        <w:t xml:space="preserve"> </w:t>
      </w:r>
      <w:r>
        <w:t xml:space="preserve">and implemented in Catherine Creek, Oregon. The habitat availability and use information will be used to describe habitat preference of juvenile Chinook salmon overwintering in the lower Lemhi River, which can in turn be used to describe target habitat conditions to be used in habitat restoration planning and designs.</w:t>
      </w:r>
    </w:p>
    <w:bookmarkEnd w:id="22"/>
    <w:bookmarkEnd w:id="23"/>
    <w:bookmarkStart w:id="31" w:name="methods"/>
    <w:p>
      <w:pPr>
        <w:pStyle w:val="Heading1"/>
      </w:pPr>
      <w:r>
        <w:t xml:space="preserve">Methods</w:t>
      </w:r>
    </w:p>
    <w:bookmarkStart w:id="24"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w:t>
      </w:r>
      <w:r>
        <w:t xml:space="preserve"> </w:t>
      </w:r>
      <w:r>
        <w:t xml:space="preserve">Habitat availability measurements were taken at each point describing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4"/>
    <w:bookmarkStart w:id="25" w:name="habitat-use"/>
    <w:p>
      <w:pPr>
        <w:pStyle w:val="Heading2"/>
      </w:pPr>
      <w:r>
        <w:t xml:space="preserve">Habitat Use</w:t>
      </w:r>
    </w:p>
    <w:p>
      <w:pPr>
        <w:pStyle w:val="FirstParagraph"/>
      </w:pPr>
      <w:r>
        <w:t xml:space="preserve">Microhabitat use data were collected from radio-tagged juvenile Chinook salmon in the lower Lemhi River and during winter months.</w:t>
      </w:r>
      <w:r>
        <w:t xml:space="preserve"> </w:t>
      </w:r>
    </w:p>
    <w:bookmarkEnd w:id="25"/>
    <w:bookmarkStart w:id="26" w:name="habitat-availability-power-analysis"/>
    <w:p>
      <w:pPr>
        <w:pStyle w:val="Heading2"/>
      </w:pPr>
      <w:r>
        <w:t xml:space="preserve">Habitat Availability Power Analysis</w:t>
      </w:r>
    </w:p>
    <w:p>
      <w:pPr>
        <w:pStyle w:val="FirstParagraph"/>
      </w:pPr>
      <w:r>
        <w:t xml:space="preserve">First, we wanted to assess whether the habitat availability data collected in August 2019 was sufficient to capture the overall distribution of available habitat throughout the lower Lemhi River, or whether addition habitat availablity data were needed. Again, in August 2019, a total of 173 transects (cross-sections) were sampled,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build on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enitre raster and the sampled transects, then the sample has done an adequate job of capturing the distribution of available habitat.</w:t>
      </w:r>
    </w:p>
    <w:bookmarkEnd w:id="26"/>
    <w:bookmarkStart w:id="30" w:name="habitat-preference"/>
    <w:p>
      <w:pPr>
        <w:pStyle w:val="Heading2"/>
      </w:pPr>
      <w:r>
        <w:t xml:space="preserve">Habitat Preference</w:t>
      </w:r>
    </w:p>
    <w:p>
      <w:pPr>
        <w:pStyle w:val="FirstParagraph"/>
      </w:pPr>
      <w:r>
        <w:t xml:space="preserve">After filtering the found radio tags to include only those fish that we deemed selected a given location, we compared the available habitat to the habitat used by radio-tagged juvenile Chinook salmon. To date, we made comparisons for the following categories:</w:t>
      </w:r>
    </w:p>
    <w:p>
      <w:pPr>
        <w:numPr>
          <w:ilvl w:val="0"/>
          <w:numId w:val="1001"/>
        </w:numPr>
        <w:pStyle w:val="Compact"/>
      </w:pPr>
      <w:r>
        <w:t xml:space="preserve">Channel Unit Types</w:t>
      </w:r>
    </w:p>
    <w:p>
      <w:pPr>
        <w:numPr>
          <w:ilvl w:val="0"/>
          <w:numId w:val="1001"/>
        </w:numPr>
        <w:pStyle w:val="Compact"/>
      </w:pPr>
      <w:r>
        <w:t xml:space="preserve">Substrate Concealment</w:t>
      </w:r>
    </w:p>
    <w:p>
      <w:pPr>
        <w:numPr>
          <w:ilvl w:val="0"/>
          <w:numId w:val="1001"/>
        </w:numPr>
        <w:pStyle w:val="Compact"/>
      </w:pPr>
      <w:r>
        <w:t xml:space="preserve">Cover within 1.5 m</w:t>
      </w:r>
    </w:p>
    <w:bookmarkStart w:id="27" w:name="channel-unit-types"/>
    <w:p>
      <w:pPr>
        <w:pStyle w:val="Heading3"/>
      </w:pPr>
      <w:r>
        <w:t xml:space="preserve">Channel Unit Types</w:t>
      </w:r>
    </w:p>
    <w:p>
      <w:pPr>
        <w:pStyle w:val="FirstParagraph"/>
      </w:pPr>
      <w:r>
        <w:t xml:space="preserve">Because there are multiple types of channel units, we employed a goodness-of-fit test for discrete multivariate data. This test compares the observed channel unit type that radio-tagged juveniles were found in with the proportion of channel unit types from the habitat availability dataset. The null hypothesis is that the</w:t>
      </w:r>
      <w:r>
        <w:t xml:space="preserve"> </w:t>
      </w:r>
      <w:r>
        <w:t xml:space="preserve">“</w:t>
      </w:r>
      <w:r>
        <w:t xml:space="preserve">use</w:t>
      </w:r>
      <w:r>
        <w:t xml:space="preserve">”</w:t>
      </w:r>
      <w:r>
        <w:t xml:space="preserve"> </w:t>
      </w:r>
      <w:r>
        <w:t xml:space="preserve">tags will be found in similar channel unit types relative to what is available. Because there are 7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27"/>
    <w:bookmarkStart w:id="28" w:name="concealment"/>
    <w:p>
      <w:pPr>
        <w:pStyle w:val="Heading3"/>
      </w:pPr>
      <w:r>
        <w:t xml:space="preserve">Concealment</w:t>
      </w:r>
    </w:p>
    <w:p>
      <w:pPr>
        <w:pStyle w:val="FirstParagraph"/>
      </w:pPr>
      <w:r>
        <w:t xml:space="preserve">Because concealment is binary (either available or not), we tested whether there were differences between habitat availability and use using a Chi-squared test, as well as a G-test.</w:t>
      </w:r>
    </w:p>
    <w:bookmarkEnd w:id="28"/>
    <w:bookmarkStart w:id="29" w:name="cover"/>
    <w:p>
      <w:pPr>
        <w:pStyle w:val="Heading3"/>
      </w:pPr>
      <w:r>
        <w:t xml:space="preserve">Cover</w:t>
      </w:r>
    </w:p>
    <w:p>
      <w:pPr>
        <w:pStyle w:val="FirstParagraph"/>
      </w:pPr>
      <w:r>
        <w:t xml:space="preserve">For the purposed of our initial cover analysis, we grouped all types of cover into a single category, and compared that with the category of</w:t>
      </w:r>
      <w:r>
        <w:t xml:space="preserve"> </w:t>
      </w:r>
      <w:r>
        <w:t xml:space="preserve">“</w:t>
      </w:r>
      <w:r>
        <w:t xml:space="preserve">no cover.</w:t>
      </w:r>
      <w:r>
        <w:t xml:space="preserve">”</w:t>
      </w:r>
      <w:r>
        <w:t xml:space="preserve"> </w:t>
      </w:r>
      <w:r>
        <w:t xml:space="preserve">This made cover a binary variable, like concealment, allowing us to also use the Chi-squared and G-test.</w:t>
      </w:r>
    </w:p>
    <w:bookmarkEnd w:id="29"/>
    <w:bookmarkEnd w:id="30"/>
    <w:bookmarkEnd w:id="31"/>
    <w:bookmarkStart w:id="43" w:name="results"/>
    <w:p>
      <w:pPr>
        <w:pStyle w:val="Heading1"/>
      </w:pPr>
      <w:r>
        <w:t xml:space="preserve">Results</w:t>
      </w:r>
    </w:p>
    <w:bookmarkStart w:id="32" w:name="habitat-availability-1"/>
    <w:p>
      <w:pPr>
        <w:pStyle w:val="Heading2"/>
      </w:pPr>
      <w:r>
        <w:t xml:space="preserve">Habitat Availability</w:t>
      </w:r>
    </w:p>
    <w:p>
      <w:pPr>
        <w:pStyle w:val="FirstParagraph"/>
      </w:pPr>
      <w:r>
        <w:t xml:space="preserve">Habitat availability text…</w:t>
      </w:r>
    </w:p>
    <w:bookmarkEnd w:id="32"/>
    <w:bookmarkStart w:id="33" w:name="habitat-use-1"/>
    <w:p>
      <w:pPr>
        <w:pStyle w:val="Heading2"/>
      </w:pPr>
      <w:r>
        <w:t xml:space="preserve">Habitat Use</w:t>
      </w:r>
    </w:p>
    <w:p>
      <w:pPr>
        <w:pStyle w:val="FirstParagraph"/>
      </w:pPr>
      <w:r>
        <w:t xml:space="preserve">Habitat use text…</w:t>
      </w:r>
    </w:p>
    <w:bookmarkEnd w:id="33"/>
    <w:bookmarkStart w:id="35" w:name="habitat-availability-power-analysis-1"/>
    <w:p>
      <w:pPr>
        <w:pStyle w:val="Heading2"/>
      </w:pPr>
      <w:r>
        <w:t xml:space="preserve">Habitat Availability Power Analysis</w:t>
      </w:r>
    </w:p>
    <w:p>
      <w:pPr>
        <w:pStyle w:val="FirstParagraph"/>
      </w:pPr>
      <w:r>
        <w:t xml:space="preserve">Results of the habitat availability power analysis are shown in Figure</w:t>
      </w:r>
      <w:r>
        <w:t xml:space="preserve"> </w:t>
      </w:r>
      <w:r>
        <w:t xml:space="preserve">1</w:t>
      </w:r>
      <w:r>
        <w:t xml:space="preserve">.</w:t>
      </w:r>
    </w:p>
    <w:p>
      <w:pPr>
        <w:pStyle w:val="CaptionedFigure"/>
      </w:pPr>
      <w:r>
        <w:drawing>
          <wp:inline>
            <wp:extent cx="5504749" cy="3669832"/>
            <wp:effectExtent b="0" l="0" r="0" t="0"/>
            <wp:docPr descr="Figure 1: Density plots of depth and velocity, colored by whether taken from the entire raster (All) or the sampled transects (Sampled), faceted by sinuosity category." title="" id="1" name="Picture"/>
            <a:graphic>
              <a:graphicData uri="http://schemas.openxmlformats.org/drawingml/2006/picture">
                <pic:pic>
                  <pic:nvPicPr>
                    <pic:cNvPr descr="C:/Git/Lemhi_RME/analysis/figures/dist-fig-1.png" id="0" name="Picture"/>
                    <pic:cNvPicPr>
                      <a:picLocks noChangeArrowheads="1" noChangeAspect="1"/>
                    </pic:cNvPicPr>
                  </pic:nvPicPr>
                  <pic:blipFill>
                    <a:blip r:embed="rId3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 Density plots of depth and velocity, colored by whether taken from the entire raster (All) or the sampled transects (Sampled), faceted by sinuosity category.</w:t>
      </w:r>
    </w:p>
    <w:bookmarkEnd w:id="35"/>
    <w:bookmarkStart w:id="42" w:name="habitat-preference-1"/>
    <w:p>
      <w:pPr>
        <w:pStyle w:val="Heading2"/>
      </w:pPr>
      <w:r>
        <w:t xml:space="preserve">Habitat Preference</w:t>
      </w:r>
    </w:p>
    <w:bookmarkStart w:id="37" w:name="channel-unit-types-1"/>
    <w:p>
      <w:pPr>
        <w:pStyle w:val="Heading3"/>
      </w:pPr>
      <w:r>
        <w:t xml:space="preserve">Channel Unit Types</w:t>
      </w:r>
    </w:p>
    <w:p>
      <w:pPr>
        <w:pStyle w:val="CaptionedFigure"/>
      </w:pPr>
      <w:r>
        <w:drawing>
          <wp:inline>
            <wp:extent cx="5504749" cy="3669832"/>
            <wp:effectExtent b="0" l="0" r="0" t="0"/>
            <wp:docPr descr="Figure 2: Percent of channel unit types available in the entire Lemhi compared with percent where fish were using them, faceted by low, medium and high sinuosity classes." title="" id="1" name="Picture"/>
            <a:graphic>
              <a:graphicData uri="http://schemas.openxmlformats.org/drawingml/2006/picture">
                <pic:pic>
                  <pic:nvPicPr>
                    <pic:cNvPr descr="C:/Git/Lemhi_RME/analysis/figures/cu-fig-1.png" id="0" name="Picture"/>
                    <pic:cNvPicPr>
                      <a:picLocks noChangeArrowheads="1" noChangeAspect="1"/>
                    </pic:cNvPicPr>
                  </pic:nvPicPr>
                  <pic:blipFill>
                    <a:blip r:embed="rId3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Percent of channel unit types available in the entire Lemhi compared with percent where fish were using them, faceted by low, medium and high sinuosity classes.</w:t>
      </w:r>
    </w:p>
    <w:p>
      <w:pPr>
        <w:pStyle w:val="BodyText"/>
      </w:pPr>
      <w:r>
        <w:t xml:space="preserve">Table 3: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1e-04</w:t>
      </w:r>
    </w:p>
    <w:p>
      <w:pPr>
        <w:pStyle w:val="BodyText"/>
      </w:pPr>
      <w:r>
        <w:t xml:space="preserve">0e+00</w:t>
      </w:r>
    </w:p>
    <w:p>
      <w:pPr>
        <w:pStyle w:val="BodyText"/>
      </w:pPr>
      <w:r>
        <w:t xml:space="preserve">Med</w:t>
      </w:r>
    </w:p>
    <w:p>
      <w:pPr>
        <w:pStyle w:val="BodyText"/>
      </w:pPr>
      <w:r>
        <w:t xml:space="preserve">8e-04</w:t>
      </w:r>
    </w:p>
    <w:p>
      <w:pPr>
        <w:pStyle w:val="BodyText"/>
      </w:pPr>
      <w:r>
        <w:t xml:space="preserve">5e-07</w:t>
      </w:r>
    </w:p>
    <w:p>
      <w:pPr>
        <w:pStyle w:val="BodyText"/>
      </w:pPr>
      <w:r>
        <w:t xml:space="preserve">High</w:t>
      </w:r>
    </w:p>
    <w:p>
      <w:pPr>
        <w:pStyle w:val="BodyText"/>
      </w:pPr>
      <w:r>
        <w:t xml:space="preserve">0e+00</w:t>
      </w:r>
    </w:p>
    <w:p>
      <w:pPr>
        <w:pStyle w:val="BodyText"/>
      </w:pPr>
      <w:r>
        <w:t xml:space="preserve">0e+00</w:t>
      </w:r>
    </w:p>
    <w:p>
      <w:pPr>
        <w:pStyle w:val="BodyText"/>
      </w:pPr>
      <w:r>
        <w:t xml:space="preserve">There are statistically significant differences in the distribution of channel units selected by radio-tagged juvenile Chinook salmon during winter months and what is available in the lower Lemhi River, across all three sinuosity categories (Table</w:t>
      </w:r>
      <w:r>
        <w:t xml:space="preserve"> </w:t>
      </w:r>
      <w:r>
        <w:t xml:space="preserve">3</w:t>
      </w:r>
      <w:r>
        <w:t xml:space="preserve">). It appears that juvenile Chinook salmon tend to use pools and off-channel areas at a higher frequency than their availability, and riffles at a lower frequency compared to what is available (Figure</w:t>
      </w:r>
      <w:r>
        <w:t xml:space="preserve"> </w:t>
      </w:r>
      <w:r>
        <w:t xml:space="preserve">2</w:t>
      </w:r>
      <w:r>
        <w:t xml:space="preserve">).</w:t>
      </w:r>
    </w:p>
    <w:bookmarkEnd w:id="37"/>
    <w:bookmarkStart w:id="39" w:name="concealment-1"/>
    <w:p>
      <w:pPr>
        <w:pStyle w:val="Heading3"/>
      </w:pPr>
      <w:r>
        <w:t xml:space="preserve">Concealment</w:t>
      </w:r>
    </w:p>
    <w:p>
      <w:pPr>
        <w:pStyle w:val="CaptionedFigure"/>
      </w:pPr>
      <w:r>
        <w:drawing>
          <wp:inline>
            <wp:extent cx="5504749" cy="3669832"/>
            <wp:effectExtent b="0" l="0" r="0" t="0"/>
            <wp:docPr descr="Figure 3: Percent of spots where concealment is available in the entire Lemhi compared with percent of where fish had selected, faceted by low, medium and high sinuosity classes." title="" id="1" name="Picture"/>
            <a:graphic>
              <a:graphicData uri="http://schemas.openxmlformats.org/drawingml/2006/picture">
                <pic:pic>
                  <pic:nvPicPr>
                    <pic:cNvPr descr="C:/Git/Lemhi_RME/analysis/figures/conceal-fig-1.png" id="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Percent of spots where concealment is available in the entire Lemhi compared with percent of where fish had selected, faceted by low, medium and high sinuosity classes.</w:t>
      </w:r>
    </w:p>
    <w:p>
      <w:pPr>
        <w:pStyle w:val="BodyText"/>
      </w:pPr>
      <w:r>
        <w:t xml:space="preserve">Table 4: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0.00007</w:t>
      </w:r>
    </w:p>
    <w:p>
      <w:pPr>
        <w:pStyle w:val="BodyText"/>
      </w:pPr>
      <w:r>
        <w:t xml:space="preserve">0.00007</w:t>
      </w:r>
    </w:p>
    <w:p>
      <w:pPr>
        <w:pStyle w:val="BodyText"/>
      </w:pPr>
      <w:r>
        <w:t xml:space="preserve">Med</w:t>
      </w:r>
    </w:p>
    <w:p>
      <w:pPr>
        <w:pStyle w:val="BodyText"/>
      </w:pPr>
      <w:r>
        <w:t xml:space="preserve">0.47443</w:t>
      </w:r>
    </w:p>
    <w:p>
      <w:pPr>
        <w:pStyle w:val="BodyText"/>
      </w:pPr>
      <w:r>
        <w:t xml:space="preserve">0.37954</w:t>
      </w:r>
    </w:p>
    <w:p>
      <w:pPr>
        <w:pStyle w:val="BodyText"/>
      </w:pPr>
      <w:r>
        <w:t xml:space="preserve">High</w:t>
      </w:r>
    </w:p>
    <w:p>
      <w:pPr>
        <w:pStyle w:val="BodyText"/>
      </w:pPr>
      <w:r>
        <w:t xml:space="preserve">0.62843</w:t>
      </w:r>
    </w:p>
    <w:p>
      <w:pPr>
        <w:pStyle w:val="BodyText"/>
      </w:pPr>
      <w:r>
        <w:t xml:space="preserve">0.41224</w:t>
      </w:r>
    </w:p>
    <w:p>
      <w:pPr>
        <w:pStyle w:val="BodyText"/>
      </w:pPr>
      <w:r>
        <w:t xml:space="preserve">There appears to be very little difference in the substrate concealment between what is available and what is selected by juvenile Chinook salmon for both the medium and high sinuosity categories. There is a difference in the little sinuosity category (Table</w:t>
      </w:r>
      <w:r>
        <w:t xml:space="preserve"> </w:t>
      </w:r>
      <w:r>
        <w:t xml:space="preserve">4</w:t>
      </w:r>
      <w:r>
        <w:t xml:space="preserve">; however, Figure</w:t>
      </w:r>
      <w:r>
        <w:t xml:space="preserve"> </w:t>
      </w:r>
      <w:r>
        <w:t xml:space="preserve">3</w:t>
      </w:r>
      <w:r>
        <w:t xml:space="preserve"> </w:t>
      </w:r>
      <w:r>
        <w:t xml:space="preserve">indicates that in low sinuosity reaches, fish are more likely to select habitat that does not contain substrate concealment, contrary to our suspicions.</w:t>
      </w:r>
    </w:p>
    <w:bookmarkEnd w:id="39"/>
    <w:bookmarkStart w:id="41" w:name="cover-1"/>
    <w:p>
      <w:pPr>
        <w:pStyle w:val="Heading3"/>
      </w:pPr>
      <w:r>
        <w:t xml:space="preserve">Cover</w:t>
      </w:r>
    </w:p>
    <w:p>
      <w:pPr>
        <w:pStyle w:val="CaptionedFigure"/>
      </w:pPr>
      <w:r>
        <w:drawing>
          <wp:inline>
            <wp:extent cx="5504749" cy="3669832"/>
            <wp:effectExtent b="0" l="0" r="0" t="0"/>
            <wp:docPr descr="Figure 4: Percentage of points where cover is available in the entire lower Lemhi River compared to the percent where fish had selected, faceted by low, medium, and high sinuosity categories." title="" id="1" name="Picture"/>
            <a:graphic>
              <a:graphicData uri="http://schemas.openxmlformats.org/drawingml/2006/picture">
                <pic:pic>
                  <pic:nvPicPr>
                    <pic:cNvPr descr="C:/Git/Lemhi_RME/analysis/figures/cover-fig-1.png" id="0" name="Picture"/>
                    <pic:cNvPicPr>
                      <a:picLocks noChangeArrowheads="1" noChangeAspect="1"/>
                    </pic:cNvPicPr>
                  </pic:nvPicPr>
                  <pic:blipFill>
                    <a:blip r:embed="rId4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Percentage of points where cover is available in the entire lower Lemhi River compared to the percent where fish had selected, faceted by low, medium, and high sinuosity categories.</w:t>
      </w:r>
    </w:p>
    <w:p>
      <w:pPr>
        <w:pStyle w:val="BodyText"/>
      </w:pPr>
      <w:r>
        <w:t xml:space="preserve">Table 5: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0.00044</w:t>
      </w:r>
    </w:p>
    <w:p>
      <w:pPr>
        <w:pStyle w:val="BodyText"/>
      </w:pPr>
      <w:r>
        <w:t xml:space="preserve">0.00038</w:t>
      </w:r>
    </w:p>
    <w:p>
      <w:pPr>
        <w:pStyle w:val="BodyText"/>
      </w:pPr>
      <w:r>
        <w:t xml:space="preserve">Med</w:t>
      </w:r>
    </w:p>
    <w:p>
      <w:pPr>
        <w:pStyle w:val="BodyText"/>
      </w:pPr>
      <w:r>
        <w:t xml:space="preserve">0.00000</w:t>
      </w:r>
    </w:p>
    <w:p>
      <w:pPr>
        <w:pStyle w:val="BodyText"/>
      </w:pPr>
      <w:r>
        <w:t xml:space="preserve">0.00000</w:t>
      </w:r>
    </w:p>
    <w:p>
      <w:pPr>
        <w:pStyle w:val="BodyText"/>
      </w:pPr>
      <w:r>
        <w:t xml:space="preserve">High</w:t>
      </w:r>
    </w:p>
    <w:p>
      <w:pPr>
        <w:pStyle w:val="BodyText"/>
      </w:pPr>
      <w:r>
        <w:t xml:space="preserve">0.00001</w:t>
      </w:r>
    </w:p>
    <w:p>
      <w:pPr>
        <w:pStyle w:val="BodyText"/>
      </w:pPr>
      <w:r>
        <w:t xml:space="preserve">0.00001</w:t>
      </w:r>
    </w:p>
    <w:p>
      <w:pPr>
        <w:pStyle w:val="BodyText"/>
      </w:pPr>
      <w:r>
        <w:t xml:space="preserve">Unlike concealment, it does appear that radio-tagged juvenile Chinook salmon are more likely to select habitat where some form of cover is available (within a 1.5 m radius), compared to what is available, across all three sinuosity categories (Table</w:t>
      </w:r>
      <w:r>
        <w:t xml:space="preserve"> </w:t>
      </w:r>
      <w:r>
        <w:t xml:space="preserve">5</w:t>
      </w:r>
      <w:r>
        <w:t xml:space="preserve">, Figure</w:t>
      </w:r>
      <w:r>
        <w:t xml:space="preserve"> </w:t>
      </w:r>
      <w:r>
        <w:t xml:space="preserve">4</w:t>
      </w:r>
      <w:r>
        <w:t xml:space="preserve">).</w:t>
      </w:r>
    </w:p>
    <w:bookmarkEnd w:id="41"/>
    <w:bookmarkEnd w:id="42"/>
    <w:bookmarkEnd w:id="43"/>
    <w:bookmarkStart w:id="46" w:name="discussion"/>
    <w:p>
      <w:pPr>
        <w:pStyle w:val="Heading1"/>
      </w:pPr>
      <w:r>
        <w:t xml:space="preserve">Discussion</w:t>
      </w:r>
    </w:p>
    <w:bookmarkStart w:id="44" w:name="habitat-availability-power-analysis-2"/>
    <w:p>
      <w:pPr>
        <w:pStyle w:val="Heading2"/>
      </w:pPr>
      <w:r>
        <w:t xml:space="preserve">Habitat Availability Power Analysis</w:t>
      </w:r>
    </w:p>
    <w:p>
      <w:pPr>
        <w:pStyle w:val="FirstParagraph"/>
      </w:pPr>
      <w:r>
        <w:t xml:space="preserve">The distributions of the depths and velocities from the sampled transects and the rasters covering the entirety of the lower Lemhi River are nearly identical within each sinuosity class. This suggest that the sampled transects are capturing the distribution of available habitat well, and did not need to be supplemented with additional transects. Certainly, we are interested in habitat metrics other than depth and velocity, but without somehow simulating the true distributions of those metrics (e.g., substrate class, fish cover, etc.)) it would be diffucult to conduct a worthwhile power analysis to evaluate whether our current dataset is sufficient to capture those distributions. Depth and velocity were used as proxies for everything elese, because we had model outputs for them across the entire Lemhi River, which we treated as the</w:t>
      </w:r>
      <w:r>
        <w:t xml:space="preserve"> </w:t>
      </w:r>
      <w:r>
        <w:t xml:space="preserve">“</w:t>
      </w:r>
      <w:r>
        <w:t xml:space="preserve">truth.</w:t>
      </w:r>
      <w:r>
        <w:t xml:space="preserve">”</w:t>
      </w:r>
      <w:r>
        <w:t xml:space="preserve"> </w:t>
      </w:r>
      <w:r>
        <w:t xml:space="preserve">We feel that the habitat availability dataset available from line transects in the lower Lemhi River is sufficient to capture the true available habitat.</w:t>
      </w:r>
    </w:p>
    <w:bookmarkEnd w:id="44"/>
    <w:bookmarkStart w:id="45" w:name="habitat-preference-2"/>
    <w:p>
      <w:pPr>
        <w:pStyle w:val="Heading2"/>
      </w:pPr>
      <w:r>
        <w:t xml:space="preserve">Habitat Preference</w:t>
      </w:r>
    </w:p>
    <w:p>
      <w:pPr>
        <w:pStyle w:val="FirstParagraph"/>
      </w:pPr>
      <w:r>
        <w:t xml:space="preserve">Habitat preference discussion here…</w:t>
      </w:r>
    </w:p>
    <w:bookmarkEnd w:id="45"/>
    <w:bookmarkEnd w:id="46"/>
    <w:bookmarkStart w:id="55" w:name="literature-cited"/>
    <w:p>
      <w:pPr>
        <w:pStyle w:val="Heading1"/>
      </w:pPr>
      <w:r>
        <w:t xml:space="preserve">Literature Cited</w:t>
      </w:r>
    </w:p>
    <w:bookmarkStart w:id="54" w:name="refs"/>
    <w:bookmarkStart w:id="47"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47"/>
    <w:bookmarkStart w:id="48" w:name="ref-Favrot2018"/>
    <w:p>
      <w:pPr>
        <w:pStyle w:val="Bibliography"/>
      </w:pPr>
      <w:r>
        <w:t xml:space="preserve">Favrot, S. D., B. C. Jonasson, and J. T. Peterson. 2018. Fall and</w:t>
      </w:r>
      <w:r>
        <w:t xml:space="preserve"> </w:t>
      </w:r>
      <w:r>
        <w:t xml:space="preserve">Winter Microhabitat Use</w:t>
      </w:r>
      <w:r>
        <w:t xml:space="preserve"> </w:t>
      </w:r>
      <w:r>
        <w:t xml:space="preserve">and</w:t>
      </w:r>
      <w:r>
        <w:t xml:space="preserve"> </w:t>
      </w:r>
      <w:r>
        <w:t xml:space="preserve">Suitability</w:t>
      </w:r>
      <w:r>
        <w:t xml:space="preserve"> </w:t>
      </w:r>
      <w:r>
        <w:t xml:space="preserve">for</w:t>
      </w:r>
      <w:r>
        <w:t xml:space="preserve"> </w:t>
      </w:r>
      <w:r>
        <w:t xml:space="preserve">Spring Chinook Salmon Parr</w:t>
      </w:r>
      <w:r>
        <w:t xml:space="preserve"> </w:t>
      </w:r>
      <w:r>
        <w:t xml:space="preserve">in a</w:t>
      </w:r>
      <w:r>
        <w:t xml:space="preserve"> </w:t>
      </w:r>
      <w:r>
        <w:t xml:space="preserve">U</w:t>
      </w:r>
      <w:r>
        <w:t xml:space="preserve">.</w:t>
      </w:r>
      <w:r>
        <w:t xml:space="preserve">S</w:t>
      </w:r>
      <w:r>
        <w:t xml:space="preserve">.</w:t>
      </w:r>
      <w:r>
        <w:t xml:space="preserve"> </w:t>
      </w:r>
      <w:r>
        <w:t xml:space="preserve">Pacific Northwest River</w:t>
      </w:r>
      <w:r>
        <w:t xml:space="preserve">. Transactions of the American Fisheries Society 147(1):151–170.</w:t>
      </w:r>
    </w:p>
    <w:bookmarkEnd w:id="48"/>
    <w:bookmarkStart w:id="49" w:name="ref-Johnson1980"/>
    <w:p>
      <w:pPr>
        <w:pStyle w:val="Bibliography"/>
      </w:pPr>
      <w:r>
        <w:t xml:space="preserve">Johnson, D. H. 1980. The</w:t>
      </w:r>
      <w:r>
        <w:t xml:space="preserve"> </w:t>
      </w:r>
      <w:r>
        <w:t xml:space="preserve">Comparison</w:t>
      </w:r>
      <w:r>
        <w:t xml:space="preserve"> </w:t>
      </w:r>
      <w:r>
        <w:t xml:space="preserve">of</w:t>
      </w:r>
      <w:r>
        <w:t xml:space="preserve"> </w:t>
      </w:r>
      <w:r>
        <w:t xml:space="preserve">Usage</w:t>
      </w:r>
      <w:r>
        <w:t xml:space="preserve"> </w:t>
      </w:r>
      <w:r>
        <w:t xml:space="preserve">and</w:t>
      </w:r>
      <w:r>
        <w:t xml:space="preserve"> </w:t>
      </w:r>
      <w:r>
        <w:t xml:space="preserve">Availability Measurements</w:t>
      </w:r>
      <w:r>
        <w:t xml:space="preserve"> </w:t>
      </w:r>
      <w:r>
        <w:t xml:space="preserve">for</w:t>
      </w:r>
      <w:r>
        <w:t xml:space="preserve"> </w:t>
      </w:r>
      <w:r>
        <w:t xml:space="preserve">Evaluating Resource Preference</w:t>
      </w:r>
      <w:r>
        <w:t xml:space="preserve">. Ecology 61(1):65–71.</w:t>
      </w:r>
    </w:p>
    <w:bookmarkEnd w:id="49"/>
    <w:bookmarkStart w:id="50"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50"/>
    <w:bookmarkStart w:id="51"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51"/>
    <w:bookmarkStart w:id="52"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52"/>
    <w:bookmarkStart w:id="53"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53"/>
    <w:bookmarkEnd w:id="54"/>
    <w:bookmarkEnd w:id="55"/>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Kevin E. See1, Michael W. Ackerman2,✉, Nick Porter3,✉, Tulley Mackey4, Mike Hall3, and Richie Carmichael3</dc:creator>
  <cp:keywords/>
  <dcterms:created xsi:type="dcterms:W3CDTF">2022-05-09T22:04:49Z</dcterms:created>
  <dcterms:modified xsi:type="dcterms:W3CDTF">2022-05-09T22:04:49Z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09 May, 2022</vt:lpwstr>
  </property>
  <property fmtid="{D5CDD505-2E9C-101B-9397-08002B2CF9AE}" pid="6" name="output">
    <vt:lpwstr/>
  </property>
</Properties>
</file>