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Posterior Estimates for the Effect of iCST on ADAS-Cog Scores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R̂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Bulk ESS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Tail 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[20.31, 22.25]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Baseline ADAS-Cog (centred)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[0.87, 1.04]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Randomisation: iCST vs. 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[-2.31, 0.32]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3,144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Note.</w:t>
            </w:r>
            <w:r>
              <w:rPr>
                <w:rFonts w:ascii="Calibri" w:hAnsi="Calibri"/>
                <w:sz w:val="20"/>
              </w:rPr>
              <w:t xml:space="preserve"> b = unstandardised posterior median estimate; SE = posterior standard error (Est.Error); CI = credible interval; R̂ = potential scale reduction factor (values &lt; 1.01 indicate convergence); ESS = effective sample size. Positive estimates indicate higher (worse) ADAS-Cog scores; negative estimates indicate improvement.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2026-07-30T05:30:41Z</dcterms:created>
  <dcterms:modified xsi:type="dcterms:W3CDTF">2026-07-30T05:30:41Z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