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Person with Dementia: Baseline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Person with dementia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Control group (</w:t>
            </w:r>
            <w:r>
              <w:rPr>
                <w:i/>
                <w:rFonts w:ascii="Calibri" w:hAnsi="Calibri"/>
                <w:sz w:val="20"/>
              </w:rPr>
              <w:t xml:space="preserve">n</w:t>
            </w:r>
            <w:r>
              <w:rPr>
                <w:rFonts w:ascii="Calibri" w:hAnsi="Calibri"/>
                <w:sz w:val="20"/>
              </w:rPr>
              <w:t xml:space="preserve"> = 139)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Treatment group (</w:t>
            </w:r>
            <w:r>
              <w:rPr>
                <w:i/>
                <w:rFonts w:ascii="Calibri" w:hAnsi="Calibri"/>
                <w:sz w:val="20"/>
              </w:rPr>
              <w:t xml:space="preserve">n</w:t>
            </w:r>
            <w:r>
              <w:rPr>
                <w:rFonts w:ascii="Calibri" w:hAnsi="Calibri"/>
                <w:sz w:val="20"/>
              </w:rPr>
              <w:t xml:space="preserve"> = 134)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 gender,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(46.0%)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(46.3%)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years: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77.62 (7.16)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78.34 (7.17)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ADAS-Cog: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-0.71 (8.22)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 (8.34)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white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Relationship status: spouse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Relationship status: child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2026-07-31T05:04:12Z</dcterms:created>
  <dcterms:modified xsi:type="dcterms:W3CDTF">2026-07-31T05:04:12Z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