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5C"/>
          <w:sz w:val="56"/>
        </w:rPr>
        <w:t>Prime Saint Francis FMIGS</w:t>
      </w:r>
    </w:p>
    <w:p>
      <w:pPr>
        <w:jc w:val="center"/>
      </w:pPr>
      <w:r>
        <w:rPr>
          <w:rFonts w:ascii="Calibri" w:hAnsi="Calibri"/>
          <w:color w:val="2E86AB"/>
          <w:sz w:val="40"/>
        </w:rPr>
        <w:t>Site Inspection Documentation</w:t>
      </w:r>
    </w:p>
    <w:p>
      <w:pPr>
        <w:jc w:val="center"/>
      </w:pPr>
      <w:r>
        <w:rPr>
          <w:rFonts w:ascii="Calibri" w:hAnsi="Calibri"/>
          <w:b/>
          <w:color w:val="1B3A5C"/>
          <w:sz w:val="36"/>
        </w:rPr>
        <w:t>Year 3 Extension Addendum</w:t>
      </w:r>
    </w:p>
    <w:p/>
    <w:p>
      <w:pPr>
        <w:jc w:val="center"/>
      </w:pPr>
      <w:r>
        <w:rPr>
          <w:rFonts w:ascii="Calibri" w:hAnsi="Calibri"/>
          <w:color w:val="333333"/>
          <w:sz w:val="28"/>
        </w:rPr>
        <w:t>and Curriculum Overview</w:t>
      </w:r>
    </w:p>
    <w:p/>
    <w:p/>
    <w:p>
      <w:pPr>
        <w:jc w:val="center"/>
      </w:pPr>
      <w:r>
        <w:rPr>
          <w:b/>
          <w:color w:val="1B3A5C"/>
          <w:sz w:val="22"/>
        </w:rPr>
        <w:t xml:space="preserve">Program Director: </w:t>
      </w:r>
      <w:r>
        <w:rPr>
          <w:color w:val="333333"/>
          <w:sz w:val="22"/>
        </w:rPr>
        <w:t>Teresa Tam, MD</w:t>
      </w:r>
    </w:p>
    <w:p>
      <w:pPr>
        <w:jc w:val="center"/>
      </w:pPr>
      <w:r>
        <w:rPr>
          <w:b/>
          <w:color w:val="1B3A5C"/>
          <w:sz w:val="22"/>
        </w:rPr>
        <w:t xml:space="preserve">Associate Program Director: </w:t>
      </w:r>
      <w:r>
        <w:rPr>
          <w:color w:val="333333"/>
          <w:sz w:val="22"/>
        </w:rPr>
        <w:t>Sohail Siddique, MD, MBA</w:t>
      </w:r>
    </w:p>
    <w:p>
      <w:pPr>
        <w:jc w:val="center"/>
      </w:pPr>
      <w:r>
        <w:rPr>
          <w:b/>
          <w:color w:val="1B3A5C"/>
          <w:sz w:val="22"/>
        </w:rPr>
        <w:t xml:space="preserve">Program Coordinator: </w:t>
      </w:r>
      <w:r>
        <w:rPr>
          <w:color w:val="333333"/>
          <w:sz w:val="22"/>
        </w:rPr>
        <w:t>Farheen Syeda</w:t>
      </w:r>
    </w:p>
    <w:p>
      <w:pPr>
        <w:jc w:val="center"/>
      </w:pPr>
      <w:r>
        <w:rPr>
          <w:b/>
          <w:color w:val="1B3A5C"/>
          <w:sz w:val="22"/>
        </w:rPr>
        <w:t xml:space="preserve">Fellow: </w:t>
      </w:r>
      <w:r>
        <w:rPr>
          <w:color w:val="333333"/>
          <w:sz w:val="22"/>
        </w:rPr>
        <w:t>Christopher Mabini, DO, MSAEd</w:t>
      </w:r>
    </w:p>
    <w:p/>
    <w:p>
      <w:pPr>
        <w:jc w:val="center"/>
      </w:pPr>
      <w:r>
        <w:rPr>
          <w:color w:val="333333"/>
          <w:sz w:val="22"/>
        </w:rPr>
        <w:t>Prime Healthcare Illinois Medical Group</w:t>
      </w:r>
    </w:p>
    <w:p>
      <w:pPr>
        <w:jc w:val="center"/>
      </w:pPr>
      <w:r>
        <w:rPr>
          <w:color w:val="2E86AB"/>
          <w:sz w:val="20"/>
        </w:rPr>
        <w:t>(847) 316-4000 | fellowship@ascension.org | ascensionsaintfrancis.org</w:t>
      </w:r>
    </w:p>
    <w:p/>
    <w:p>
      <w:pPr>
        <w:jc w:val="center"/>
      </w:pPr>
      <w:r>
        <w:rPr>
          <w:color w:val="333333"/>
          <w:sz w:val="20"/>
        </w:rPr>
        <w:t>Issued Date: July 31, 2025  |  Valid Date: 2025–2027</w:t>
      </w:r>
    </w:p>
    <w:p>
      <w:pPr>
        <w:jc w:val="center"/>
      </w:pPr>
      <w:r>
        <w:rPr>
          <w:b/>
          <w:color w:val="1B3A5C"/>
          <w:sz w:val="20"/>
        </w:rPr>
        <w:t>Prepared for: AAGL FMIGS Board — Site Inspection Committee</w:t>
      </w:r>
    </w:p>
    <w:p>
      <w:r>
        <w:br w:type="page"/>
      </w:r>
    </w:p>
    <w:p/>
    <w:p>
      <w:pPr>
        <w:jc w:val="center"/>
      </w:pPr>
      <w:r>
        <w:rPr>
          <w:b/>
          <w:color w:val="1B3A5C"/>
          <w:sz w:val="40"/>
        </w:rPr>
        <w:t>Fellowship in Minimally Invasive Gynecologic Surgery</w:t>
      </w:r>
    </w:p>
    <w:p>
      <w:pPr>
        <w:jc w:val="center"/>
      </w:pPr>
      <w:r>
        <w:rPr>
          <w:color w:val="2E86AB"/>
          <w:sz w:val="32"/>
        </w:rPr>
        <w:t>3-Year Curriculum Extension &amp; Training Program</w:t>
      </w:r>
    </w:p>
    <w:p>
      <w:pPr>
        <w:jc w:val="center"/>
      </w:pPr>
      <w:r>
        <w:rPr>
          <w:color w:val="333333"/>
          <w:sz w:val="28"/>
        </w:rPr>
        <w:t>Prime Healthcare Illinois — St. Francis Hospital</w:t>
      </w:r>
    </w:p>
    <w:p/>
    <w:p>
      <w:pPr>
        <w:pStyle w:val="Heading1"/>
      </w:pPr>
      <w:r>
        <w:t>Table of Contents</w:t>
      </w:r>
    </w:p>
    <w:tbl>
      <w:tblPr>
        <w:tblStyle w:val="TableGrid"/>
        <w:tblW w:type="auto" w:w="0"/>
        <w:jc w:val="center"/>
        <w:tblLook w:firstColumn="1" w:firstRow="1" w:lastColumn="0" w:lastRow="0" w:noHBand="0" w:noVBand="1" w:val="04A0"/>
      </w:tblPr>
      <w:tblGrid>
        <w:gridCol w:w="4703"/>
        <w:gridCol w:w="4703"/>
      </w:tblGrid>
      <w:tr>
        <w:tc>
          <w:tcPr>
            <w:tcW w:type="dxa" w:w="4703"/>
            <w:shd w:fill="1B3A5C"/>
          </w:tcPr>
          <w:p>
            <w:pPr>
              <w:jc w:val="left"/>
            </w:pPr>
            <w:r>
              <w:rPr>
                <w:rFonts w:ascii="Calibri" w:hAnsi="Calibri"/>
                <w:b/>
                <w:color w:val="FFFFFF"/>
                <w:sz w:val="20"/>
              </w:rPr>
              <w:t>Section</w:t>
            </w:r>
          </w:p>
        </w:tc>
        <w:tc>
          <w:tcPr>
            <w:tcW w:type="dxa" w:w="4703"/>
            <w:shd w:fill="1B3A5C"/>
          </w:tcPr>
          <w:p>
            <w:pPr>
              <w:jc w:val="left"/>
            </w:pPr>
            <w:r>
              <w:rPr>
                <w:rFonts w:ascii="Calibri" w:hAnsi="Calibri"/>
                <w:b/>
                <w:color w:val="FFFFFF"/>
                <w:sz w:val="20"/>
              </w:rPr>
              <w:t>Title</w:t>
            </w:r>
          </w:p>
        </w:tc>
      </w:tr>
      <w:tr>
        <w:tc>
          <w:tcPr>
            <w:tcW w:type="dxa" w:w="4703"/>
          </w:tcPr>
          <w:p>
            <w:r>
              <w:rPr>
                <w:rFonts w:ascii="Calibri" w:hAnsi="Calibri"/>
                <w:b w:val="0"/>
                <w:color w:val="333333"/>
                <w:sz w:val="20"/>
              </w:rPr>
              <w:t>1</w:t>
            </w:r>
          </w:p>
        </w:tc>
        <w:tc>
          <w:tcPr>
            <w:tcW w:type="dxa" w:w="4703"/>
          </w:tcPr>
          <w:p>
            <w:r>
              <w:rPr>
                <w:rFonts w:ascii="Calibri" w:hAnsi="Calibri"/>
                <w:b w:val="0"/>
                <w:color w:val="333333"/>
                <w:sz w:val="20"/>
              </w:rPr>
              <w:t>Program Extension Rationale &amp; Overview</w:t>
            </w:r>
          </w:p>
        </w:tc>
      </w:tr>
      <w:tr>
        <w:tc>
          <w:tcPr>
            <w:tcW w:type="dxa" w:w="4703"/>
            <w:shd w:fill="F0F4F8"/>
          </w:tcPr>
          <w:p>
            <w:r>
              <w:rPr>
                <w:rFonts w:ascii="Calibri" w:hAnsi="Calibri"/>
                <w:b w:val="0"/>
                <w:color w:val="333333"/>
                <w:sz w:val="20"/>
              </w:rPr>
              <w:t>2</w:t>
            </w:r>
          </w:p>
        </w:tc>
        <w:tc>
          <w:tcPr>
            <w:tcW w:type="dxa" w:w="4703"/>
            <w:shd w:fill="F0F4F8"/>
          </w:tcPr>
          <w:p>
            <w:r>
              <w:rPr>
                <w:rFonts w:ascii="Calibri" w:hAnsi="Calibri"/>
                <w:b w:val="0"/>
                <w:color w:val="333333"/>
                <w:sz w:val="20"/>
              </w:rPr>
              <w:t>Updated Faculty &amp; Leadership</w:t>
            </w:r>
          </w:p>
        </w:tc>
      </w:tr>
      <w:tr>
        <w:tc>
          <w:tcPr>
            <w:tcW w:type="dxa" w:w="4703"/>
          </w:tcPr>
          <w:p>
            <w:r>
              <w:rPr>
                <w:rFonts w:ascii="Calibri" w:hAnsi="Calibri"/>
                <w:b w:val="0"/>
                <w:color w:val="333333"/>
                <w:sz w:val="20"/>
              </w:rPr>
              <w:t>3</w:t>
            </w:r>
          </w:p>
        </w:tc>
        <w:tc>
          <w:tcPr>
            <w:tcW w:type="dxa" w:w="4703"/>
          </w:tcPr>
          <w:p>
            <w:r>
              <w:rPr>
                <w:rFonts w:ascii="Calibri" w:hAnsi="Calibri"/>
                <w:b w:val="0"/>
                <w:color w:val="333333"/>
                <w:sz w:val="20"/>
              </w:rPr>
              <w:t>Year 3 Monthly Rotation Schedule</w:t>
            </w:r>
          </w:p>
        </w:tc>
      </w:tr>
      <w:tr>
        <w:tc>
          <w:tcPr>
            <w:tcW w:type="dxa" w:w="4703"/>
            <w:shd w:fill="F0F4F8"/>
          </w:tcPr>
          <w:p>
            <w:r>
              <w:rPr>
                <w:rFonts w:ascii="Calibri" w:hAnsi="Calibri"/>
                <w:b w:val="0"/>
                <w:color w:val="333333"/>
                <w:sz w:val="20"/>
              </w:rPr>
              <w:t>4</w:t>
            </w:r>
          </w:p>
        </w:tc>
        <w:tc>
          <w:tcPr>
            <w:tcW w:type="dxa" w:w="4703"/>
            <w:shd w:fill="F0F4F8"/>
          </w:tcPr>
          <w:p>
            <w:r>
              <w:rPr>
                <w:rFonts w:ascii="Calibri" w:hAnsi="Calibri"/>
                <w:b w:val="0"/>
                <w:color w:val="333333"/>
                <w:sz w:val="20"/>
              </w:rPr>
              <w:t>Year 3 Weekly Block Schedule</w:t>
            </w:r>
          </w:p>
        </w:tc>
      </w:tr>
      <w:tr>
        <w:tc>
          <w:tcPr>
            <w:tcW w:type="dxa" w:w="4703"/>
          </w:tcPr>
          <w:p>
            <w:r>
              <w:rPr>
                <w:rFonts w:ascii="Calibri" w:hAnsi="Calibri"/>
                <w:b w:val="0"/>
                <w:color w:val="333333"/>
                <w:sz w:val="20"/>
              </w:rPr>
              <w:t>5</w:t>
            </w:r>
          </w:p>
        </w:tc>
        <w:tc>
          <w:tcPr>
            <w:tcW w:type="dxa" w:w="4703"/>
          </w:tcPr>
          <w:p>
            <w:r>
              <w:rPr>
                <w:rFonts w:ascii="Calibri" w:hAnsi="Calibri"/>
                <w:b w:val="0"/>
                <w:color w:val="333333"/>
                <w:sz w:val="20"/>
              </w:rPr>
              <w:t>Year 3 Call Schedule (ED SFH)</w:t>
            </w:r>
          </w:p>
        </w:tc>
      </w:tr>
      <w:tr>
        <w:tc>
          <w:tcPr>
            <w:tcW w:type="dxa" w:w="4703"/>
            <w:shd w:fill="F0F4F8"/>
          </w:tcPr>
          <w:p>
            <w:r>
              <w:rPr>
                <w:rFonts w:ascii="Calibri" w:hAnsi="Calibri"/>
                <w:b w:val="0"/>
                <w:color w:val="333333"/>
                <w:sz w:val="20"/>
              </w:rPr>
              <w:t>6</w:t>
            </w:r>
          </w:p>
        </w:tc>
        <w:tc>
          <w:tcPr>
            <w:tcW w:type="dxa" w:w="4703"/>
            <w:shd w:fill="F0F4F8"/>
          </w:tcPr>
          <w:p>
            <w:r>
              <w:rPr>
                <w:rFonts w:ascii="Calibri" w:hAnsi="Calibri"/>
                <w:b w:val="0"/>
                <w:color w:val="333333"/>
                <w:sz w:val="20"/>
              </w:rPr>
              <w:t>Year 3 Graduated Responsibility Framework</w:t>
            </w:r>
          </w:p>
        </w:tc>
      </w:tr>
      <w:tr>
        <w:tc>
          <w:tcPr>
            <w:tcW w:type="dxa" w:w="4703"/>
          </w:tcPr>
          <w:p>
            <w:r>
              <w:rPr>
                <w:rFonts w:ascii="Calibri" w:hAnsi="Calibri"/>
                <w:b w:val="0"/>
                <w:color w:val="333333"/>
                <w:sz w:val="20"/>
              </w:rPr>
              <w:t>7</w:t>
            </w:r>
          </w:p>
        </w:tc>
        <w:tc>
          <w:tcPr>
            <w:tcW w:type="dxa" w:w="4703"/>
          </w:tcPr>
          <w:p>
            <w:r>
              <w:rPr>
                <w:rFonts w:ascii="Calibri" w:hAnsi="Calibri"/>
                <w:b w:val="0"/>
                <w:color w:val="333333"/>
                <w:sz w:val="20"/>
              </w:rPr>
              <w:t>Year 3 Didactic Education Curriculum</w:t>
            </w:r>
          </w:p>
        </w:tc>
      </w:tr>
      <w:tr>
        <w:tc>
          <w:tcPr>
            <w:tcW w:type="dxa" w:w="4703"/>
            <w:shd w:fill="F0F4F8"/>
          </w:tcPr>
          <w:p>
            <w:r>
              <w:rPr>
                <w:rFonts w:ascii="Calibri" w:hAnsi="Calibri"/>
                <w:b w:val="0"/>
                <w:color w:val="333333"/>
                <w:sz w:val="20"/>
              </w:rPr>
              <w:t>8</w:t>
            </w:r>
          </w:p>
        </w:tc>
        <w:tc>
          <w:tcPr>
            <w:tcW w:type="dxa" w:w="4703"/>
            <w:shd w:fill="F0F4F8"/>
          </w:tcPr>
          <w:p>
            <w:r>
              <w:rPr>
                <w:rFonts w:ascii="Calibri" w:hAnsi="Calibri"/>
                <w:b w:val="0"/>
                <w:color w:val="333333"/>
                <w:sz w:val="20"/>
              </w:rPr>
              <w:t>Year 3 Simulation Workshops Schedule</w:t>
            </w:r>
          </w:p>
        </w:tc>
      </w:tr>
      <w:tr>
        <w:tc>
          <w:tcPr>
            <w:tcW w:type="dxa" w:w="4703"/>
          </w:tcPr>
          <w:p>
            <w:r>
              <w:rPr>
                <w:rFonts w:ascii="Calibri" w:hAnsi="Calibri"/>
                <w:b w:val="0"/>
                <w:color w:val="333333"/>
                <w:sz w:val="20"/>
              </w:rPr>
              <w:t>9</w:t>
            </w:r>
          </w:p>
        </w:tc>
        <w:tc>
          <w:tcPr>
            <w:tcW w:type="dxa" w:w="4703"/>
          </w:tcPr>
          <w:p>
            <w:r>
              <w:rPr>
                <w:rFonts w:ascii="Calibri" w:hAnsi="Calibri"/>
                <w:b w:val="0"/>
                <w:color w:val="333333"/>
                <w:sz w:val="20"/>
              </w:rPr>
              <w:t>Updated Fellow Profile &amp; Timeline</w:t>
            </w:r>
          </w:p>
        </w:tc>
      </w:tr>
      <w:tr>
        <w:tc>
          <w:tcPr>
            <w:tcW w:type="dxa" w:w="4703"/>
            <w:shd w:fill="F0F4F8"/>
          </w:tcPr>
          <w:p>
            <w:r>
              <w:rPr>
                <w:rFonts w:ascii="Calibri" w:hAnsi="Calibri"/>
                <w:b w:val="0"/>
                <w:color w:val="333333"/>
                <w:sz w:val="20"/>
              </w:rPr>
              <w:t>10</w:t>
            </w:r>
          </w:p>
        </w:tc>
        <w:tc>
          <w:tcPr>
            <w:tcW w:type="dxa" w:w="4703"/>
            <w:shd w:fill="F0F4F8"/>
          </w:tcPr>
          <w:p>
            <w:r>
              <w:rPr>
                <w:rFonts w:ascii="Calibri" w:hAnsi="Calibri"/>
                <w:b w:val="0"/>
                <w:color w:val="333333"/>
                <w:sz w:val="20"/>
              </w:rPr>
              <w:t>Year 3 Case Volume Projections</w:t>
            </w:r>
          </w:p>
        </w:tc>
      </w:tr>
      <w:tr>
        <w:tc>
          <w:tcPr>
            <w:tcW w:type="dxa" w:w="4703"/>
          </w:tcPr>
          <w:p>
            <w:r>
              <w:rPr>
                <w:rFonts w:ascii="Calibri" w:hAnsi="Calibri"/>
                <w:b w:val="0"/>
                <w:color w:val="333333"/>
                <w:sz w:val="20"/>
              </w:rPr>
              <w:t>11</w:t>
            </w:r>
          </w:p>
        </w:tc>
        <w:tc>
          <w:tcPr>
            <w:tcW w:type="dxa" w:w="4703"/>
          </w:tcPr>
          <w:p>
            <w:r>
              <w:rPr>
                <w:rFonts w:ascii="Calibri" w:hAnsi="Calibri"/>
                <w:b w:val="0"/>
                <w:color w:val="333333"/>
                <w:sz w:val="20"/>
              </w:rPr>
              <w:t>Updated Program Letters of Agreement</w:t>
            </w:r>
          </w:p>
        </w:tc>
      </w:tr>
      <w:tr>
        <w:tc>
          <w:tcPr>
            <w:tcW w:type="dxa" w:w="4703"/>
            <w:shd w:fill="F0F4F8"/>
          </w:tcPr>
          <w:p>
            <w:r>
              <w:rPr>
                <w:rFonts w:ascii="Calibri" w:hAnsi="Calibri"/>
                <w:b w:val="0"/>
                <w:color w:val="333333"/>
                <w:sz w:val="20"/>
              </w:rPr>
              <w:t>12</w:t>
            </w:r>
          </w:p>
        </w:tc>
        <w:tc>
          <w:tcPr>
            <w:tcW w:type="dxa" w:w="4703"/>
            <w:shd w:fill="F0F4F8"/>
          </w:tcPr>
          <w:p>
            <w:r>
              <w:rPr>
                <w:rFonts w:ascii="Calibri" w:hAnsi="Calibri"/>
                <w:b w:val="0"/>
                <w:color w:val="333333"/>
                <w:sz w:val="20"/>
              </w:rPr>
              <w:t>Updated Accreditation Timeline</w:t>
            </w:r>
          </w:p>
        </w:tc>
      </w:tr>
      <w:tr>
        <w:tc>
          <w:tcPr>
            <w:tcW w:type="dxa" w:w="4703"/>
          </w:tcPr>
          <w:p>
            <w:r>
              <w:rPr>
                <w:rFonts w:ascii="Calibri" w:hAnsi="Calibri"/>
                <w:b w:val="0"/>
                <w:color w:val="333333"/>
                <w:sz w:val="20"/>
              </w:rPr>
              <w:t>13</w:t>
            </w:r>
          </w:p>
        </w:tc>
        <w:tc>
          <w:tcPr>
            <w:tcW w:type="dxa" w:w="4703"/>
          </w:tcPr>
          <w:p>
            <w:r>
              <w:rPr>
                <w:rFonts w:ascii="Calibri" w:hAnsi="Calibri"/>
                <w:b w:val="0"/>
                <w:color w:val="333333"/>
                <w:sz w:val="20"/>
              </w:rPr>
              <w:t>Year 3 Financial Support &amp; Resource Allocation</w:t>
            </w:r>
          </w:p>
        </w:tc>
      </w:tr>
    </w:tbl>
    <w:p>
      <w:r>
        <w:br w:type="page"/>
      </w:r>
    </w:p>
    <w:p>
      <w:pPr>
        <w:jc w:val="left"/>
      </w:pPr>
      <w:r>
        <w:rPr>
          <w:rFonts w:ascii="Calibri" w:hAnsi="Calibri"/>
          <w:i/>
          <w:color w:val="2E86AB"/>
          <w:sz w:val="20"/>
        </w:rPr>
        <w:t>Section 1 • Program Extension Rationale &amp; Overview</w:t>
      </w:r>
    </w:p>
    <w:p>
      <w:pPr>
        <w:pStyle w:val="Heading1"/>
      </w:pPr>
      <w:r>
        <w:t>Program Description — 3-Year Extension</w:t>
      </w:r>
    </w:p>
    <w:p>
      <w:pPr>
        <w:pStyle w:val="Heading2"/>
      </w:pPr>
      <w:r>
        <w:t>Mission and Goals (Updated)</w:t>
      </w:r>
    </w:p>
    <w:p>
      <w:r>
        <w:t>The Fellowship in Minimally Invasive Gynecologic Surgery (FMIGS) at Ascension Saint Francis Hospital has been extended from a two-year to a three-year training program to provide an enhanced, competency-based educational experience that further prepares gynecologic surgeons to become leaders in complex benign gynecologic surgery, surgical innovation, research, and community health advocacy. The additional year allows for deepened subspecialty exposure, expanded research productivity, increased operative autonomy, and leadership development in preparation for independent MIGS practice.</w:t>
      </w:r>
    </w:p>
    <w:p>
      <w:r>
        <w:t>The fellowship emphasizes equity-driven care, ensuring fellows develop expertise in addressing disparities in gynecologic healthcare while implementing evidence-based minimally invasive surgical techniques. Through multidisciplinary collaboration with urogynecology, colorectal, bariatric, and gynecologic expert physicians in vNOTES, fellows achieve clinical excellence in advanced MIGS techniques including laparoscopic hysterectomy, myomectomy, excision of deep infiltrating endometriosis, and robotic surgery.</w:t>
      </w:r>
    </w:p>
    <w:p>
      <w:pPr>
        <w:pStyle w:val="Heading2"/>
      </w:pPr>
      <w:r>
        <w:t>Comprehensive Training Environment</w:t>
      </w:r>
    </w:p>
    <w:p>
      <w:r>
        <w:t>Fellows complete rotations across four major hospital systems serving diverse patient populations: Ascension Saint Francis Hospital (Evanston), Saint Joseph Hospital (Lincoln Park), Saint Mary Hospital (West Town), and Thorek Memorial Hospital (Uptown), ranging from affluent communities (median income $98,426) to underserved populations (22% below poverty line). This unique multi-site training provides exposure to complex case variety including high-prevalence conditions including fibroids in African American women, endometriosis management, and culturally sensitive care for immigrant populations.</w:t>
      </w:r>
    </w:p>
    <w:p>
      <w:pPr>
        <w:pStyle w:val="Heading2"/>
      </w:pPr>
      <w:r>
        <w:t>Curriculum Structure and Innovation (3-Year Model)</w:t>
      </w:r>
    </w:p>
    <w:p>
      <w:r>
        <w:t>The three-year curriculum combines rigorous clinical training with mandatory research components, requiring fellows to complete minimum case requirements per AAGL FMIGS Board while conducting research with national presentation and publication expectations. Year 3 consolidates and extends the competency-based training of Years 1 and 2, with emphasis on independent surgical practice, teaching leadership, and transition to autonomous MIGS practice.</w:t>
      </w:r>
    </w:p>
    <w:p>
      <w:pPr>
        <w:pStyle w:val="Heading2"/>
      </w:pPr>
      <w:r>
        <w:t>Rationale for Third Year Extension</w:t>
      </w:r>
    </w:p>
    <w:p>
      <w:r>
        <w:t>1. Enhanced Surgical Autonomy — Additional operative volume and complexity to achieve full independent practice readiness</w:t>
      </w:r>
    </w:p>
    <w:p>
      <w:r>
        <w:t>2. Research Maturation — Extended timeline for IRB-approved studies to reach completion, publication, and dissemination</w:t>
      </w:r>
    </w:p>
    <w:p>
      <w:r>
        <w:t>3. Teaching Leadership — Opportunity to mentor junior trainees and lead resident didactics and simulation labs</w:t>
      </w:r>
    </w:p>
    <w:p>
      <w:r>
        <w:t>4. Faculty Transition — Integration of new MIGS-trained faculty (Dr. Sankey-Thomas) to ensure continuity of subspecialty training</w:t>
      </w:r>
    </w:p>
    <w:p>
      <w:r>
        <w:t>5. Case Diversity — Expanded exposure across all four hospital sites to maximize procedural range and patient population diversity</w:t>
      </w:r>
    </w:p>
    <w:p>
      <w:r>
        <w:br w:type="page"/>
      </w:r>
    </w:p>
    <w:p>
      <w:pPr>
        <w:jc w:val="left"/>
      </w:pPr>
      <w:r>
        <w:rPr>
          <w:rFonts w:ascii="Calibri" w:hAnsi="Calibri"/>
          <w:i/>
          <w:color w:val="2E86AB"/>
          <w:sz w:val="20"/>
        </w:rPr>
        <w:t>Section 2 • Updated Faculty &amp; Leadership</w:t>
      </w:r>
    </w:p>
    <w:p>
      <w:pPr>
        <w:pStyle w:val="Heading1"/>
      </w:pPr>
      <w:r>
        <w:t>Faculty &amp; Leadership (Year 3)</w:t>
      </w:r>
    </w:p>
    <w:p>
      <w:pPr>
        <w:pStyle w:val="Heading2"/>
      </w:pPr>
      <w:r>
        <w:t>Program Director</w:t>
      </w:r>
    </w:p>
    <w:p>
      <w:r>
        <w:rPr>
          <w:b/>
          <w:sz w:val="24"/>
        </w:rPr>
        <w:t>Dr. Teresa Tam, MD</w:t>
        <w:br/>
      </w:r>
    </w:p>
    <w:p>
      <w:r>
        <w:t>Board Certifications: ABOG (2001), FMIGS (2013)</w:t>
      </w:r>
    </w:p>
    <w:p>
      <w:r>
        <w:t>Teaching Experience: 27+ years teaching, 25+ years at current institution</w:t>
      </w:r>
    </w:p>
    <w:p>
      <w:r>
        <w:t>Hospital Locations: Saint Francis Hospital, Saint Mary Hospital, Saint Joseph Hospital, Thorek Memorial Hospital</w:t>
      </w:r>
    </w:p>
    <w:p>
      <w:pPr>
        <w:pStyle w:val="Heading2"/>
      </w:pPr>
      <w:r>
        <w:t>Associate Program Director</w:t>
      </w:r>
    </w:p>
    <w:p>
      <w:r>
        <w:rPr>
          <w:b/>
          <w:sz w:val="24"/>
        </w:rPr>
        <w:t>Sohail Siddique, MD, MBA</w:t>
        <w:br/>
      </w:r>
    </w:p>
    <w:p>
      <w:r>
        <w:t>Board Certifications: ABOG (2007), FPMRS (2013), FMIGS (2022)</w:t>
      </w:r>
    </w:p>
    <w:p>
      <w:r>
        <w:t>Teaching Experience: 17+ years teaching</w:t>
      </w:r>
    </w:p>
    <w:p>
      <w:r>
        <w:t>Hospital Locations: Saint Francis Hospital, Saint Mary Hospital, Saint Joseph Hospital</w:t>
      </w:r>
    </w:p>
    <w:p>
      <w:pPr>
        <w:pStyle w:val="Heading2"/>
      </w:pPr>
      <w:r>
        <w:t>Core FMIGS Faculty</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B3A5C"/>
          </w:tcPr>
          <w:p>
            <w:pPr>
              <w:jc w:val="left"/>
            </w:pPr>
            <w:r>
              <w:rPr>
                <w:rFonts w:ascii="Calibri" w:hAnsi="Calibri"/>
                <w:b/>
                <w:color w:val="FFFFFF"/>
                <w:sz w:val="20"/>
              </w:rPr>
              <w:t>Faculty</w:t>
            </w:r>
          </w:p>
        </w:tc>
        <w:tc>
          <w:tcPr>
            <w:tcW w:type="dxa" w:w="1881"/>
            <w:shd w:fill="1B3A5C"/>
          </w:tcPr>
          <w:p>
            <w:pPr>
              <w:jc w:val="left"/>
            </w:pPr>
            <w:r>
              <w:rPr>
                <w:rFonts w:ascii="Calibri" w:hAnsi="Calibri"/>
                <w:b/>
                <w:color w:val="FFFFFF"/>
                <w:sz w:val="20"/>
              </w:rPr>
              <w:t>Board Certification</w:t>
            </w:r>
          </w:p>
        </w:tc>
        <w:tc>
          <w:tcPr>
            <w:tcW w:type="dxa" w:w="1881"/>
            <w:shd w:fill="1B3A5C"/>
          </w:tcPr>
          <w:p>
            <w:pPr>
              <w:jc w:val="left"/>
            </w:pPr>
            <w:r>
              <w:rPr>
                <w:rFonts w:ascii="Calibri" w:hAnsi="Calibri"/>
                <w:b/>
                <w:color w:val="FFFFFF"/>
                <w:sz w:val="20"/>
              </w:rPr>
              <w:t>Hospital Location</w:t>
            </w:r>
          </w:p>
        </w:tc>
        <w:tc>
          <w:tcPr>
            <w:tcW w:type="dxa" w:w="1881"/>
            <w:shd w:fill="1B3A5C"/>
          </w:tcPr>
          <w:p>
            <w:pPr>
              <w:jc w:val="left"/>
            </w:pPr>
            <w:r>
              <w:rPr>
                <w:rFonts w:ascii="Calibri" w:hAnsi="Calibri"/>
                <w:b/>
                <w:color w:val="FFFFFF"/>
                <w:sz w:val="20"/>
              </w:rPr>
              <w:t>Teaching Experience</w:t>
            </w:r>
          </w:p>
        </w:tc>
        <w:tc>
          <w:tcPr>
            <w:tcW w:type="dxa" w:w="1881"/>
            <w:shd w:fill="1B3A5C"/>
          </w:tcPr>
          <w:p>
            <w:pPr>
              <w:jc w:val="left"/>
            </w:pPr>
            <w:r>
              <w:rPr>
                <w:rFonts w:ascii="Calibri" w:hAnsi="Calibri"/>
                <w:b/>
                <w:color w:val="FFFFFF"/>
                <w:sz w:val="20"/>
              </w:rPr>
              <w:t>Status</w:t>
            </w:r>
          </w:p>
        </w:tc>
      </w:tr>
      <w:tr>
        <w:tc>
          <w:tcPr>
            <w:tcW w:type="dxa" w:w="1881"/>
          </w:tcPr>
          <w:p>
            <w:r>
              <w:rPr>
                <w:rFonts w:ascii="Calibri" w:hAnsi="Calibri"/>
                <w:b w:val="0"/>
                <w:color w:val="333333"/>
                <w:sz w:val="20"/>
              </w:rPr>
              <w:t>Riley Lloyd, MD</w:t>
            </w:r>
          </w:p>
        </w:tc>
        <w:tc>
          <w:tcPr>
            <w:tcW w:type="dxa" w:w="1881"/>
          </w:tcPr>
          <w:p>
            <w:r>
              <w:rPr>
                <w:rFonts w:ascii="Calibri" w:hAnsi="Calibri"/>
                <w:b w:val="0"/>
                <w:color w:val="333333"/>
                <w:sz w:val="20"/>
              </w:rPr>
              <w:t>ABOG (1995)</w:t>
            </w:r>
          </w:p>
        </w:tc>
        <w:tc>
          <w:tcPr>
            <w:tcW w:type="dxa" w:w="1881"/>
          </w:tcPr>
          <w:p>
            <w:r>
              <w:rPr>
                <w:rFonts w:ascii="Calibri" w:hAnsi="Calibri"/>
                <w:b w:val="0"/>
                <w:color w:val="333333"/>
                <w:sz w:val="20"/>
              </w:rPr>
              <w:t>Saint Francis Hospital</w:t>
            </w:r>
          </w:p>
        </w:tc>
        <w:tc>
          <w:tcPr>
            <w:tcW w:type="dxa" w:w="1881"/>
          </w:tcPr>
          <w:p>
            <w:r>
              <w:rPr>
                <w:rFonts w:ascii="Calibri" w:hAnsi="Calibri"/>
                <w:b w:val="0"/>
                <w:color w:val="333333"/>
                <w:sz w:val="20"/>
              </w:rPr>
              <w:t>34 years</w:t>
            </w:r>
          </w:p>
        </w:tc>
        <w:tc>
          <w:tcPr>
            <w:tcW w:type="dxa" w:w="1881"/>
          </w:tcPr>
          <w:p>
            <w:r>
              <w:rPr>
                <w:rFonts w:ascii="Calibri" w:hAnsi="Calibri"/>
                <w:b w:val="0"/>
                <w:color w:val="333333"/>
                <w:sz w:val="20"/>
              </w:rPr>
              <w:t>DEPARTED</w:t>
            </w:r>
          </w:p>
        </w:tc>
      </w:tr>
      <w:tr>
        <w:tc>
          <w:tcPr>
            <w:tcW w:type="dxa" w:w="1881"/>
            <w:shd w:fill="F0F4F8"/>
          </w:tcPr>
          <w:p>
            <w:r>
              <w:rPr>
                <w:rFonts w:ascii="Calibri" w:hAnsi="Calibri"/>
                <w:b w:val="0"/>
                <w:color w:val="333333"/>
                <w:sz w:val="20"/>
              </w:rPr>
              <w:t>Sankey-Thomas, MD (MIGS Trained)</w:t>
            </w:r>
          </w:p>
        </w:tc>
        <w:tc>
          <w:tcPr>
            <w:tcW w:type="dxa" w:w="1881"/>
            <w:shd w:fill="F0F4F8"/>
          </w:tcPr>
          <w:p>
            <w:r>
              <w:rPr>
                <w:rFonts w:ascii="Calibri" w:hAnsi="Calibri"/>
                <w:b w:val="0"/>
                <w:color w:val="333333"/>
                <w:sz w:val="20"/>
              </w:rPr>
              <w:t>ABOG, MIGS</w:t>
            </w:r>
          </w:p>
        </w:tc>
        <w:tc>
          <w:tcPr>
            <w:tcW w:type="dxa" w:w="1881"/>
            <w:shd w:fill="F0F4F8"/>
          </w:tcPr>
          <w:p>
            <w:r>
              <w:rPr>
                <w:rFonts w:ascii="Calibri" w:hAnsi="Calibri"/>
                <w:b w:val="0"/>
                <w:color w:val="333333"/>
                <w:sz w:val="20"/>
              </w:rPr>
              <w:t>Saint Francis Hospital</w:t>
            </w:r>
          </w:p>
        </w:tc>
        <w:tc>
          <w:tcPr>
            <w:tcW w:type="dxa" w:w="1881"/>
            <w:shd w:fill="F0F4F8"/>
          </w:tcPr>
          <w:p>
            <w:r>
              <w:rPr>
                <w:rFonts w:ascii="Calibri" w:hAnsi="Calibri"/>
                <w:b w:val="0"/>
                <w:color w:val="333333"/>
                <w:sz w:val="20"/>
              </w:rPr>
              <w:t>New Faculty</w:t>
            </w:r>
          </w:p>
        </w:tc>
        <w:tc>
          <w:tcPr>
            <w:tcW w:type="dxa" w:w="1881"/>
            <w:shd w:fill="F0F4F8"/>
          </w:tcPr>
          <w:p>
            <w:r>
              <w:rPr>
                <w:rFonts w:ascii="Calibri" w:hAnsi="Calibri"/>
                <w:b w:val="0"/>
                <w:color w:val="333333"/>
                <w:sz w:val="20"/>
              </w:rPr>
              <w:t>Active — Replacing Dr. Lloyd</w:t>
            </w:r>
          </w:p>
        </w:tc>
      </w:tr>
      <w:tr>
        <w:tc>
          <w:tcPr>
            <w:tcW w:type="dxa" w:w="1881"/>
          </w:tcPr>
          <w:p>
            <w:r>
              <w:rPr>
                <w:rFonts w:ascii="Calibri" w:hAnsi="Calibri"/>
                <w:b w:val="0"/>
                <w:color w:val="333333"/>
                <w:sz w:val="20"/>
              </w:rPr>
              <w:t>Janet Tomezsko, MD</w:t>
            </w:r>
          </w:p>
        </w:tc>
        <w:tc>
          <w:tcPr>
            <w:tcW w:type="dxa" w:w="1881"/>
          </w:tcPr>
          <w:p>
            <w:r>
              <w:rPr>
                <w:rFonts w:ascii="Calibri" w:hAnsi="Calibri"/>
                <w:b w:val="0"/>
                <w:color w:val="333333"/>
                <w:sz w:val="20"/>
              </w:rPr>
              <w:t>ABOG (1999)</w:t>
            </w:r>
          </w:p>
        </w:tc>
        <w:tc>
          <w:tcPr>
            <w:tcW w:type="dxa" w:w="1881"/>
          </w:tcPr>
          <w:p>
            <w:r>
              <w:rPr>
                <w:rFonts w:ascii="Calibri" w:hAnsi="Calibri"/>
                <w:b w:val="0"/>
                <w:color w:val="333333"/>
                <w:sz w:val="20"/>
              </w:rPr>
              <w:t>Saint Francis Hospital</w:t>
            </w:r>
          </w:p>
        </w:tc>
        <w:tc>
          <w:tcPr>
            <w:tcW w:type="dxa" w:w="1881"/>
          </w:tcPr>
          <w:p>
            <w:r>
              <w:rPr>
                <w:rFonts w:ascii="Calibri" w:hAnsi="Calibri"/>
                <w:b w:val="0"/>
                <w:color w:val="333333"/>
                <w:sz w:val="20"/>
              </w:rPr>
              <w:t>25+ years</w:t>
            </w:r>
          </w:p>
        </w:tc>
        <w:tc>
          <w:tcPr>
            <w:tcW w:type="dxa" w:w="1881"/>
          </w:tcPr>
          <w:p>
            <w:r>
              <w:rPr>
                <w:rFonts w:ascii="Calibri" w:hAnsi="Calibri"/>
                <w:b w:val="0"/>
                <w:color w:val="333333"/>
                <w:sz w:val="20"/>
              </w:rPr>
              <w:t>Active</w:t>
            </w:r>
          </w:p>
        </w:tc>
      </w:tr>
    </w:tbl>
    <w:p>
      <w:r>
        <w:rPr>
          <w:b/>
          <w:color w:val="CC0000"/>
        </w:rPr>
        <w:br/>
        <w:t xml:space="preserve">Note: </w:t>
      </w:r>
      <w:r>
        <w:t>Dr. Riley Lloyd has departed the program. Dr. Sankey-Thomas, who is MIGS-trained, assumes Dr. Lloyd's clinical, educational, and supervisory responsibilities effective Year 3, including vNOTES instruction, core FMIGS surgical mentorship, and resident didactics previously led by Dr. Lloyd.</w:t>
      </w:r>
    </w:p>
    <w:p>
      <w:pPr>
        <w:pStyle w:val="Heading2"/>
      </w:pPr>
      <w:r>
        <w:t>Non-OB/GYN Faculty</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B3A5C"/>
          </w:tcPr>
          <w:p>
            <w:pPr>
              <w:jc w:val="left"/>
            </w:pPr>
            <w:r>
              <w:rPr>
                <w:rFonts w:ascii="Calibri" w:hAnsi="Calibri"/>
                <w:b/>
                <w:color w:val="FFFFFF"/>
                <w:sz w:val="20"/>
              </w:rPr>
              <w:t>Faculty</w:t>
            </w:r>
          </w:p>
        </w:tc>
        <w:tc>
          <w:tcPr>
            <w:tcW w:type="dxa" w:w="1881"/>
            <w:shd w:fill="1B3A5C"/>
          </w:tcPr>
          <w:p>
            <w:pPr>
              <w:jc w:val="left"/>
            </w:pPr>
            <w:r>
              <w:rPr>
                <w:rFonts w:ascii="Calibri" w:hAnsi="Calibri"/>
                <w:b/>
                <w:color w:val="FFFFFF"/>
                <w:sz w:val="20"/>
              </w:rPr>
              <w:t>Board Certification</w:t>
            </w:r>
          </w:p>
        </w:tc>
        <w:tc>
          <w:tcPr>
            <w:tcW w:type="dxa" w:w="1881"/>
            <w:shd w:fill="1B3A5C"/>
          </w:tcPr>
          <w:p>
            <w:pPr>
              <w:jc w:val="left"/>
            </w:pPr>
            <w:r>
              <w:rPr>
                <w:rFonts w:ascii="Calibri" w:hAnsi="Calibri"/>
                <w:b/>
                <w:color w:val="FFFFFF"/>
                <w:sz w:val="20"/>
              </w:rPr>
              <w:t>Hospital Location</w:t>
            </w:r>
          </w:p>
        </w:tc>
        <w:tc>
          <w:tcPr>
            <w:tcW w:type="dxa" w:w="1881"/>
            <w:shd w:fill="1B3A5C"/>
          </w:tcPr>
          <w:p>
            <w:pPr>
              <w:jc w:val="left"/>
            </w:pPr>
            <w:r>
              <w:rPr>
                <w:rFonts w:ascii="Calibri" w:hAnsi="Calibri"/>
                <w:b/>
                <w:color w:val="FFFFFF"/>
                <w:sz w:val="20"/>
              </w:rPr>
              <w:t>Teaching Experience</w:t>
            </w:r>
          </w:p>
        </w:tc>
        <w:tc>
          <w:tcPr>
            <w:tcW w:type="dxa" w:w="1881"/>
            <w:shd w:fill="1B3A5C"/>
          </w:tcPr>
          <w:p>
            <w:pPr>
              <w:jc w:val="left"/>
            </w:pPr>
            <w:r>
              <w:rPr>
                <w:rFonts w:ascii="Calibri" w:hAnsi="Calibri"/>
                <w:b/>
                <w:color w:val="FFFFFF"/>
                <w:sz w:val="20"/>
              </w:rPr>
              <w:t>MOC Status</w:t>
            </w:r>
          </w:p>
        </w:tc>
      </w:tr>
      <w:tr>
        <w:tc>
          <w:tcPr>
            <w:tcW w:type="dxa" w:w="1881"/>
          </w:tcPr>
          <w:p>
            <w:r>
              <w:rPr>
                <w:rFonts w:ascii="Calibri" w:hAnsi="Calibri"/>
                <w:b w:val="0"/>
                <w:color w:val="333333"/>
                <w:sz w:val="20"/>
              </w:rPr>
              <w:t>Giovanni Giannotti, MD</w:t>
            </w:r>
          </w:p>
        </w:tc>
        <w:tc>
          <w:tcPr>
            <w:tcW w:type="dxa" w:w="1881"/>
          </w:tcPr>
          <w:p>
            <w:r>
              <w:rPr>
                <w:rFonts w:ascii="Calibri" w:hAnsi="Calibri"/>
                <w:b w:val="0"/>
                <w:color w:val="333333"/>
                <w:sz w:val="20"/>
              </w:rPr>
              <w:t>ABOG (1995)</w:t>
            </w:r>
          </w:p>
        </w:tc>
        <w:tc>
          <w:tcPr>
            <w:tcW w:type="dxa" w:w="1881"/>
          </w:tcPr>
          <w:p>
            <w:r>
              <w:rPr>
                <w:rFonts w:ascii="Calibri" w:hAnsi="Calibri"/>
                <w:b w:val="0"/>
                <w:color w:val="333333"/>
                <w:sz w:val="20"/>
              </w:rPr>
              <w:t>Saint Mary Hospital</w:t>
            </w:r>
          </w:p>
        </w:tc>
        <w:tc>
          <w:tcPr>
            <w:tcW w:type="dxa" w:w="1881"/>
          </w:tcPr>
          <w:p>
            <w:r>
              <w:rPr>
                <w:rFonts w:ascii="Calibri" w:hAnsi="Calibri"/>
                <w:b w:val="0"/>
                <w:color w:val="333333"/>
                <w:sz w:val="20"/>
              </w:rPr>
              <w:t>28+ years</w:t>
            </w:r>
          </w:p>
        </w:tc>
        <w:tc>
          <w:tcPr>
            <w:tcW w:type="dxa" w:w="1881"/>
          </w:tcPr>
          <w:p>
            <w:r>
              <w:rPr>
                <w:rFonts w:ascii="Calibri" w:hAnsi="Calibri"/>
                <w:b w:val="0"/>
                <w:color w:val="333333"/>
                <w:sz w:val="20"/>
              </w:rPr>
              <w:t>Q5yrs maintenance</w:t>
            </w:r>
          </w:p>
        </w:tc>
      </w:tr>
      <w:tr>
        <w:tc>
          <w:tcPr>
            <w:tcW w:type="dxa" w:w="1881"/>
            <w:shd w:fill="F0F4F8"/>
          </w:tcPr>
          <w:p>
            <w:r>
              <w:rPr>
                <w:rFonts w:ascii="Calibri" w:hAnsi="Calibri"/>
                <w:b w:val="0"/>
                <w:color w:val="333333"/>
                <w:sz w:val="20"/>
              </w:rPr>
              <w:t>Richard Zhu, MD</w:t>
            </w:r>
          </w:p>
        </w:tc>
        <w:tc>
          <w:tcPr>
            <w:tcW w:type="dxa" w:w="1881"/>
            <w:shd w:fill="F0F4F8"/>
          </w:tcPr>
          <w:p>
            <w:r>
              <w:rPr>
                <w:rFonts w:ascii="Calibri" w:hAnsi="Calibri"/>
                <w:b w:val="0"/>
                <w:color w:val="333333"/>
                <w:sz w:val="20"/>
              </w:rPr>
              <w:t>ABOG (2008)</w:t>
            </w:r>
          </w:p>
        </w:tc>
        <w:tc>
          <w:tcPr>
            <w:tcW w:type="dxa" w:w="1881"/>
            <w:shd w:fill="F0F4F8"/>
          </w:tcPr>
          <w:p>
            <w:r>
              <w:rPr>
                <w:rFonts w:ascii="Calibri" w:hAnsi="Calibri"/>
                <w:b w:val="0"/>
                <w:color w:val="333333"/>
                <w:sz w:val="20"/>
              </w:rPr>
              <w:t>Saint Joseph Hospital</w:t>
            </w:r>
          </w:p>
        </w:tc>
        <w:tc>
          <w:tcPr>
            <w:tcW w:type="dxa" w:w="1881"/>
            <w:shd w:fill="F0F4F8"/>
          </w:tcPr>
          <w:p>
            <w:r>
              <w:rPr>
                <w:rFonts w:ascii="Calibri" w:hAnsi="Calibri"/>
                <w:b w:val="0"/>
                <w:color w:val="333333"/>
                <w:sz w:val="20"/>
              </w:rPr>
              <w:t>16+ years</w:t>
            </w:r>
          </w:p>
        </w:tc>
        <w:tc>
          <w:tcPr>
            <w:tcW w:type="dxa" w:w="1881"/>
            <w:shd w:fill="F0F4F8"/>
          </w:tcPr>
          <w:p>
            <w:r>
              <w:rPr>
                <w:rFonts w:ascii="Calibri" w:hAnsi="Calibri"/>
                <w:b w:val="0"/>
                <w:color w:val="333333"/>
                <w:sz w:val="20"/>
              </w:rPr>
              <w:t>Q2yrs maintenance</w:t>
            </w:r>
          </w:p>
        </w:tc>
      </w:tr>
      <w:tr>
        <w:tc>
          <w:tcPr>
            <w:tcW w:type="dxa" w:w="1881"/>
          </w:tcPr>
          <w:p>
            <w:r>
              <w:rPr>
                <w:rFonts w:ascii="Calibri" w:hAnsi="Calibri"/>
                <w:b w:val="0"/>
                <w:color w:val="333333"/>
                <w:sz w:val="20"/>
              </w:rPr>
              <w:t>Thomas Malvar, MD</w:t>
            </w:r>
          </w:p>
        </w:tc>
        <w:tc>
          <w:tcPr>
            <w:tcW w:type="dxa" w:w="1881"/>
          </w:tcPr>
          <w:p>
            <w:r>
              <w:rPr>
                <w:rFonts w:ascii="Calibri" w:hAnsi="Calibri"/>
                <w:b w:val="0"/>
                <w:color w:val="333333"/>
                <w:sz w:val="20"/>
              </w:rPr>
              <w:t>ABOG (1975)</w:t>
            </w:r>
          </w:p>
        </w:tc>
        <w:tc>
          <w:tcPr>
            <w:tcW w:type="dxa" w:w="1881"/>
          </w:tcPr>
          <w:p>
            <w:r>
              <w:rPr>
                <w:rFonts w:ascii="Calibri" w:hAnsi="Calibri"/>
                <w:b w:val="0"/>
                <w:color w:val="333333"/>
                <w:sz w:val="20"/>
              </w:rPr>
              <w:t>Saint Mary Hospital</w:t>
            </w:r>
          </w:p>
        </w:tc>
        <w:tc>
          <w:tcPr>
            <w:tcW w:type="dxa" w:w="1881"/>
          </w:tcPr>
          <w:p>
            <w:r>
              <w:rPr>
                <w:rFonts w:ascii="Calibri" w:hAnsi="Calibri"/>
                <w:b w:val="0"/>
                <w:color w:val="333333"/>
                <w:sz w:val="20"/>
              </w:rPr>
              <w:t>50+ years</w:t>
            </w:r>
          </w:p>
        </w:tc>
        <w:tc>
          <w:tcPr>
            <w:tcW w:type="dxa" w:w="1881"/>
          </w:tcPr>
          <w:p>
            <w:r>
              <w:rPr>
                <w:rFonts w:ascii="Calibri" w:hAnsi="Calibri"/>
                <w:b w:val="0"/>
                <w:color w:val="333333"/>
                <w:sz w:val="20"/>
              </w:rPr>
              <w:t>Q2yrs maintenance</w:t>
            </w:r>
          </w:p>
        </w:tc>
      </w:tr>
    </w:tbl>
    <w:p>
      <w:r>
        <w:br w:type="page"/>
      </w:r>
    </w:p>
    <w:p>
      <w:pPr>
        <w:jc w:val="left"/>
      </w:pPr>
      <w:r>
        <w:rPr>
          <w:rFonts w:ascii="Calibri" w:hAnsi="Calibri"/>
          <w:i/>
          <w:color w:val="2E86AB"/>
          <w:sz w:val="20"/>
        </w:rPr>
        <w:t>Section 3 • Year 3 Monthly Rotation Schedule</w:t>
      </w:r>
    </w:p>
    <w:p>
      <w:pPr>
        <w:pStyle w:val="Heading1"/>
      </w:pPr>
      <w:r>
        <w:t>3-Year Monthly Rotation Schedule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3A5C"/>
          </w:tcPr>
          <w:p>
            <w:pPr>
              <w:jc w:val="left"/>
            </w:pPr>
            <w:r>
              <w:rPr>
                <w:rFonts w:ascii="Calibri" w:hAnsi="Calibri"/>
                <w:b/>
                <w:color w:val="FFFFFF"/>
                <w:sz w:val="20"/>
              </w:rPr>
              <w:t>Month</w:t>
            </w:r>
          </w:p>
        </w:tc>
        <w:tc>
          <w:tcPr>
            <w:tcW w:type="dxa" w:w="2351"/>
            <w:shd w:fill="1B3A5C"/>
          </w:tcPr>
          <w:p>
            <w:pPr>
              <w:jc w:val="left"/>
            </w:pPr>
            <w:r>
              <w:rPr>
                <w:rFonts w:ascii="Calibri" w:hAnsi="Calibri"/>
                <w:b/>
                <w:color w:val="FFFFFF"/>
                <w:sz w:val="20"/>
              </w:rPr>
              <w:t>Year 1</w:t>
            </w:r>
          </w:p>
        </w:tc>
        <w:tc>
          <w:tcPr>
            <w:tcW w:type="dxa" w:w="2351"/>
            <w:shd w:fill="1B3A5C"/>
          </w:tcPr>
          <w:p>
            <w:pPr>
              <w:jc w:val="left"/>
            </w:pPr>
            <w:r>
              <w:rPr>
                <w:rFonts w:ascii="Calibri" w:hAnsi="Calibri"/>
                <w:b/>
                <w:color w:val="FFFFFF"/>
                <w:sz w:val="20"/>
              </w:rPr>
              <w:t>Year 2</w:t>
            </w:r>
          </w:p>
        </w:tc>
        <w:tc>
          <w:tcPr>
            <w:tcW w:type="dxa" w:w="2351"/>
            <w:shd w:fill="1B3A5C"/>
          </w:tcPr>
          <w:p>
            <w:pPr>
              <w:jc w:val="left"/>
            </w:pPr>
            <w:r>
              <w:rPr>
                <w:rFonts w:ascii="Calibri" w:hAnsi="Calibri"/>
                <w:b/>
                <w:color w:val="FFFFFF"/>
                <w:sz w:val="20"/>
              </w:rPr>
              <w:t>Year 3</w:t>
            </w:r>
          </w:p>
        </w:tc>
      </w:tr>
      <w:tr>
        <w:tc>
          <w:tcPr>
            <w:tcW w:type="dxa" w:w="2351"/>
          </w:tcPr>
          <w:p>
            <w:r>
              <w:rPr>
                <w:rFonts w:ascii="Calibri" w:hAnsi="Calibri"/>
                <w:b w:val="0"/>
                <w:color w:val="333333"/>
                <w:sz w:val="20"/>
              </w:rPr>
              <w:t>July</w:t>
            </w:r>
          </w:p>
        </w:tc>
        <w:tc>
          <w:tcPr>
            <w:tcW w:type="dxa" w:w="2351"/>
          </w:tcPr>
          <w:p>
            <w:r>
              <w:rPr>
                <w:rFonts w:ascii="Calibri" w:hAnsi="Calibri"/>
                <w:b w:val="0"/>
                <w:color w:val="333333"/>
                <w:sz w:val="20"/>
              </w:rPr>
              <w:t>Orientation &amp; Research Foundation at SFH, SMH, SJH with Dr. Tam and Dr. Lloyd</w:t>
            </w:r>
          </w:p>
        </w:tc>
        <w:tc>
          <w:tcPr>
            <w:tcW w:type="dxa" w:w="2351"/>
          </w:tcPr>
          <w:p>
            <w:r>
              <w:rPr>
                <w:rFonts w:ascii="Calibri" w:hAnsi="Calibri"/>
                <w:b w:val="0"/>
                <w:color w:val="333333"/>
                <w:sz w:val="20"/>
              </w:rPr>
              <w:t>Senior Fellow Transition &amp; Ambulatory Surgery at SFH, SJH, TMH with Dr. Tam, Dr. Malvar, and multidisciplinary team</w:t>
            </w:r>
          </w:p>
        </w:tc>
        <w:tc>
          <w:tcPr>
            <w:tcW w:type="dxa" w:w="2351"/>
          </w:tcPr>
          <w:p>
            <w:r>
              <w:rPr>
                <w:rFonts w:ascii="Calibri" w:hAnsi="Calibri"/>
                <w:b w:val="0"/>
                <w:color w:val="333333"/>
                <w:sz w:val="20"/>
              </w:rPr>
              <w:t>Advanced Independent Practice &amp; Subspecialty Mastery at SFH, SJH, TMH with Dr. Tam, Dr. Sankey-Thomas, and multidisciplinary team</w:t>
            </w:r>
          </w:p>
        </w:tc>
      </w:tr>
      <w:tr>
        <w:tc>
          <w:tcPr>
            <w:tcW w:type="dxa" w:w="2351"/>
            <w:shd w:fill="F0F4F8"/>
          </w:tcPr>
          <w:p>
            <w:r>
              <w:rPr>
                <w:rFonts w:ascii="Calibri" w:hAnsi="Calibri"/>
                <w:b w:val="0"/>
                <w:color w:val="333333"/>
                <w:sz w:val="20"/>
              </w:rPr>
              <w:t>August</w:t>
            </w:r>
          </w:p>
        </w:tc>
        <w:tc>
          <w:tcPr>
            <w:tcW w:type="dxa" w:w="2351"/>
            <w:shd w:fill="F0F4F8"/>
          </w:tcPr>
          <w:p>
            <w:r>
              <w:rPr>
                <w:rFonts w:ascii="Calibri" w:hAnsi="Calibri"/>
                <w:b w:val="0"/>
                <w:color w:val="333333"/>
                <w:sz w:val="20"/>
              </w:rPr>
              <w:t>Orientation &amp; Research Foundation at SFH, SMH, SJH with Dr. Tam and Dr. Lloyd</w:t>
            </w:r>
          </w:p>
        </w:tc>
        <w:tc>
          <w:tcPr>
            <w:tcW w:type="dxa" w:w="2351"/>
            <w:shd w:fill="F0F4F8"/>
          </w:tcPr>
          <w:p>
            <w:r>
              <w:rPr>
                <w:rFonts w:ascii="Calibri" w:hAnsi="Calibri"/>
                <w:b w:val="0"/>
                <w:color w:val="333333"/>
                <w:sz w:val="20"/>
              </w:rPr>
              <w:t>Senior Fellow Transition &amp; Ambulatory Surgery at SFH, SJH, TMH with Dr. Tam, Dr. Malvar, and Urogynecology/MIGS</w:t>
            </w:r>
          </w:p>
        </w:tc>
        <w:tc>
          <w:tcPr>
            <w:tcW w:type="dxa" w:w="2351"/>
            <w:shd w:fill="F0F4F8"/>
          </w:tcPr>
          <w:p>
            <w:r>
              <w:rPr>
                <w:rFonts w:ascii="Calibri" w:hAnsi="Calibri"/>
                <w:b w:val="0"/>
                <w:color w:val="333333"/>
                <w:sz w:val="20"/>
              </w:rPr>
              <w:t>Advanced Independent Practice &amp; Subspecialty Mastery at SFH, SJH, TMH with Dr. Tam, Dr. Malvar, and Urogynecology/MIGS</w:t>
            </w:r>
          </w:p>
        </w:tc>
      </w:tr>
      <w:tr>
        <w:tc>
          <w:tcPr>
            <w:tcW w:type="dxa" w:w="2351"/>
          </w:tcPr>
          <w:p>
            <w:r>
              <w:rPr>
                <w:rFonts w:ascii="Calibri" w:hAnsi="Calibri"/>
                <w:b w:val="0"/>
                <w:color w:val="333333"/>
                <w:sz w:val="20"/>
              </w:rPr>
              <w:t>September</w:t>
            </w:r>
          </w:p>
        </w:tc>
        <w:tc>
          <w:tcPr>
            <w:tcW w:type="dxa" w:w="2351"/>
          </w:tcPr>
          <w:p>
            <w:r>
              <w:rPr>
                <w:rFonts w:ascii="Calibri" w:hAnsi="Calibri"/>
                <w:b w:val="0"/>
                <w:color w:val="333333"/>
                <w:sz w:val="20"/>
              </w:rPr>
              <w:t>Clinical Skills Introduction at SFH, SMH with Dr. Tam, Dr. Lloyd, and multidisciplinary team</w:t>
            </w:r>
          </w:p>
        </w:tc>
        <w:tc>
          <w:tcPr>
            <w:tcW w:type="dxa" w:w="2351"/>
          </w:tcPr>
          <w:p>
            <w:r>
              <w:rPr>
                <w:rFonts w:ascii="Calibri" w:hAnsi="Calibri"/>
                <w:b w:val="0"/>
                <w:color w:val="333333"/>
                <w:sz w:val="20"/>
              </w:rPr>
              <w:t>Urogynecology/MIGS (SFH, SJH, TMH)</w:t>
            </w:r>
          </w:p>
        </w:tc>
        <w:tc>
          <w:tcPr>
            <w:tcW w:type="dxa" w:w="2351"/>
          </w:tcPr>
          <w:p>
            <w:r>
              <w:rPr>
                <w:rFonts w:ascii="Calibri" w:hAnsi="Calibri"/>
                <w:b w:val="0"/>
                <w:color w:val="333333"/>
                <w:sz w:val="20"/>
              </w:rPr>
              <w:t>Urogynecology/MIGS Advanced — Independent Case Leadership (SFH, SJH, TMH) with Dr. Siddique and Dr. Sankey-Thomas</w:t>
            </w:r>
          </w:p>
        </w:tc>
      </w:tr>
      <w:tr>
        <w:tc>
          <w:tcPr>
            <w:tcW w:type="dxa" w:w="2351"/>
            <w:shd w:fill="F0F4F8"/>
          </w:tcPr>
          <w:p>
            <w:r>
              <w:rPr>
                <w:rFonts w:ascii="Calibri" w:hAnsi="Calibri"/>
                <w:b w:val="0"/>
                <w:color w:val="333333"/>
                <w:sz w:val="20"/>
              </w:rPr>
              <w:t>October</w:t>
            </w:r>
          </w:p>
        </w:tc>
        <w:tc>
          <w:tcPr>
            <w:tcW w:type="dxa" w:w="2351"/>
            <w:shd w:fill="F0F4F8"/>
          </w:tcPr>
          <w:p>
            <w:r>
              <w:rPr>
                <w:rFonts w:ascii="Calibri" w:hAnsi="Calibri"/>
                <w:b w:val="0"/>
                <w:color w:val="333333"/>
                <w:sz w:val="20"/>
              </w:rPr>
              <w:t>Urogynecology/MIGS Integration at SFH, SMH, SJH with Dr. Siddique, Dr. Tam, Dr. Tomezsko</w:t>
            </w:r>
          </w:p>
        </w:tc>
        <w:tc>
          <w:tcPr>
            <w:tcW w:type="dxa" w:w="2351"/>
            <w:shd w:fill="F0F4F8"/>
          </w:tcPr>
          <w:p>
            <w:r>
              <w:rPr>
                <w:rFonts w:ascii="Calibri" w:hAnsi="Calibri"/>
                <w:b w:val="0"/>
                <w:color w:val="333333"/>
                <w:sz w:val="20"/>
              </w:rPr>
              <w:t>High-Volume Advanced MIGS at SFH, SMH, TMH with Dr. Tam and Dr. Tomezsko</w:t>
            </w:r>
          </w:p>
        </w:tc>
        <w:tc>
          <w:tcPr>
            <w:tcW w:type="dxa" w:w="2351"/>
            <w:shd w:fill="F0F4F8"/>
          </w:tcPr>
          <w:p>
            <w:r>
              <w:rPr>
                <w:rFonts w:ascii="Calibri" w:hAnsi="Calibri"/>
                <w:b w:val="0"/>
                <w:color w:val="333333"/>
                <w:sz w:val="20"/>
              </w:rPr>
              <w:t>High-Volume Advanced MIGS — Primary Surgeon Role at SFH, SMH, TMH with Dr. Tam, Dr. Tomezsko, and Dr. Sankey-Thomas</w:t>
            </w:r>
          </w:p>
        </w:tc>
      </w:tr>
      <w:tr>
        <w:tc>
          <w:tcPr>
            <w:tcW w:type="dxa" w:w="2351"/>
          </w:tcPr>
          <w:p>
            <w:r>
              <w:rPr>
                <w:rFonts w:ascii="Calibri" w:hAnsi="Calibri"/>
                <w:b w:val="0"/>
                <w:color w:val="333333"/>
                <w:sz w:val="20"/>
              </w:rPr>
              <w:t>November</w:t>
            </w:r>
          </w:p>
        </w:tc>
        <w:tc>
          <w:tcPr>
            <w:tcW w:type="dxa" w:w="2351"/>
          </w:tcPr>
          <w:p>
            <w:r>
              <w:rPr>
                <w:rFonts w:ascii="Calibri" w:hAnsi="Calibri"/>
                <w:b w:val="0"/>
                <w:color w:val="333333"/>
                <w:sz w:val="20"/>
              </w:rPr>
              <w:t>Urogynecology/MIGS Integration at SFH, SMH, SJH with Dr. Siddique, Dr. Tam, Dr. Tomezsko</w:t>
            </w:r>
          </w:p>
        </w:tc>
        <w:tc>
          <w:tcPr>
            <w:tcW w:type="dxa" w:w="2351"/>
          </w:tcPr>
          <w:p>
            <w:r>
              <w:rPr>
                <w:rFonts w:ascii="Calibri" w:hAnsi="Calibri"/>
                <w:b w:val="0"/>
                <w:color w:val="333333"/>
                <w:sz w:val="20"/>
              </w:rPr>
              <w:t>High-Volume Advanced MIGS at SFH, SMH, TMH with Dr. Tam and Dr. Tomezsko</w:t>
            </w:r>
          </w:p>
        </w:tc>
        <w:tc>
          <w:tcPr>
            <w:tcW w:type="dxa" w:w="2351"/>
          </w:tcPr>
          <w:p>
            <w:r>
              <w:rPr>
                <w:rFonts w:ascii="Calibri" w:hAnsi="Calibri"/>
                <w:b w:val="0"/>
                <w:color w:val="333333"/>
                <w:sz w:val="20"/>
              </w:rPr>
              <w:t>High-Volume Advanced MIGS — Primary Surgeon Role at SFH, SMH, TMH with Dr. Tam, Dr. Tomezsko, and Dr. Sankey-Thomas</w:t>
            </w:r>
          </w:p>
        </w:tc>
      </w:tr>
      <w:tr>
        <w:tc>
          <w:tcPr>
            <w:tcW w:type="dxa" w:w="2351"/>
            <w:shd w:fill="F0F4F8"/>
          </w:tcPr>
          <w:p>
            <w:r>
              <w:rPr>
                <w:rFonts w:ascii="Calibri" w:hAnsi="Calibri"/>
                <w:b w:val="0"/>
                <w:color w:val="333333"/>
                <w:sz w:val="20"/>
              </w:rPr>
              <w:t>December</w:t>
            </w:r>
          </w:p>
        </w:tc>
        <w:tc>
          <w:tcPr>
            <w:tcW w:type="dxa" w:w="2351"/>
            <w:shd w:fill="F0F4F8"/>
          </w:tcPr>
          <w:p>
            <w:r>
              <w:rPr>
                <w:rFonts w:ascii="Calibri" w:hAnsi="Calibri"/>
                <w:b w:val="0"/>
                <w:color w:val="333333"/>
                <w:sz w:val="20"/>
              </w:rPr>
              <w:t>Urogynecology/MIGS Integration at SFH, SMH, SJH with Dr. Siddique, Dr. Tam, Dr. Tomezsko</w:t>
            </w:r>
          </w:p>
        </w:tc>
        <w:tc>
          <w:tcPr>
            <w:tcW w:type="dxa" w:w="2351"/>
            <w:shd w:fill="F0F4F8"/>
          </w:tcPr>
          <w:p>
            <w:r>
              <w:rPr>
                <w:rFonts w:ascii="Calibri" w:hAnsi="Calibri"/>
                <w:b w:val="0"/>
                <w:color w:val="333333"/>
                <w:sz w:val="20"/>
              </w:rPr>
              <w:t>High-Volume Advanced MIGS at SFH, SMH, TMH with Dr. Tam and Dr. Tomezsko</w:t>
            </w:r>
          </w:p>
        </w:tc>
        <w:tc>
          <w:tcPr>
            <w:tcW w:type="dxa" w:w="2351"/>
            <w:shd w:fill="F0F4F8"/>
          </w:tcPr>
          <w:p>
            <w:r>
              <w:rPr>
                <w:rFonts w:ascii="Calibri" w:hAnsi="Calibri"/>
                <w:b w:val="0"/>
                <w:color w:val="333333"/>
                <w:sz w:val="20"/>
              </w:rPr>
              <w:t>High-Volume Advanced MIGS — Primary Surgeon Role at SFH, SMH, TMH with Dr. Tam, Dr. Tomezsko, and Dr. Sankey-Thomas</w:t>
            </w:r>
          </w:p>
        </w:tc>
      </w:tr>
      <w:tr>
        <w:tc>
          <w:tcPr>
            <w:tcW w:type="dxa" w:w="2351"/>
          </w:tcPr>
          <w:p>
            <w:r>
              <w:rPr>
                <w:rFonts w:ascii="Calibri" w:hAnsi="Calibri"/>
                <w:b w:val="0"/>
                <w:color w:val="333333"/>
                <w:sz w:val="20"/>
              </w:rPr>
              <w:t>January</w:t>
            </w:r>
          </w:p>
        </w:tc>
        <w:tc>
          <w:tcPr>
            <w:tcW w:type="dxa" w:w="2351"/>
          </w:tcPr>
          <w:p>
            <w:r>
              <w:rPr>
                <w:rFonts w:ascii="Calibri" w:hAnsi="Calibri"/>
                <w:b w:val="0"/>
                <w:color w:val="333333"/>
                <w:sz w:val="20"/>
              </w:rPr>
              <w:t>Advanced MIGS Techniques at SFH, SMH, SJH with Dr. Tam, Dr. Lloyd, Dr. Tomezsko, and multidisciplinary team</w:t>
            </w:r>
          </w:p>
        </w:tc>
        <w:tc>
          <w:tcPr>
            <w:tcW w:type="dxa" w:w="2351"/>
          </w:tcPr>
          <w:p>
            <w:r>
              <w:rPr>
                <w:rFonts w:ascii="Calibri" w:hAnsi="Calibri"/>
                <w:b w:val="0"/>
                <w:color w:val="333333"/>
                <w:sz w:val="20"/>
              </w:rPr>
              <w:t>Comprehensive MIGS Consolidation at SFH, SMH, TMH with Dr. Tam and multidisciplinary team</w:t>
            </w:r>
          </w:p>
        </w:tc>
        <w:tc>
          <w:tcPr>
            <w:tcW w:type="dxa" w:w="2351"/>
          </w:tcPr>
          <w:p>
            <w:r>
              <w:rPr>
                <w:rFonts w:ascii="Calibri" w:hAnsi="Calibri"/>
                <w:b w:val="0"/>
                <w:color w:val="333333"/>
                <w:sz w:val="20"/>
              </w:rPr>
              <w:t>Comprehensive MIGS Consolidation &amp; Teaching Leadership at SFH, SMH, TMH with Dr. Tam, Dr. Sankey-Thomas, and multidisciplinary team</w:t>
            </w:r>
          </w:p>
        </w:tc>
      </w:tr>
      <w:tr>
        <w:tc>
          <w:tcPr>
            <w:tcW w:type="dxa" w:w="2351"/>
            <w:shd w:fill="F0F4F8"/>
          </w:tcPr>
          <w:p>
            <w:r>
              <w:rPr>
                <w:rFonts w:ascii="Calibri" w:hAnsi="Calibri"/>
                <w:b w:val="0"/>
                <w:color w:val="333333"/>
                <w:sz w:val="20"/>
              </w:rPr>
              <w:t>February</w:t>
            </w:r>
          </w:p>
        </w:tc>
        <w:tc>
          <w:tcPr>
            <w:tcW w:type="dxa" w:w="2351"/>
            <w:shd w:fill="F0F4F8"/>
          </w:tcPr>
          <w:p>
            <w:r>
              <w:rPr>
                <w:rFonts w:ascii="Calibri" w:hAnsi="Calibri"/>
                <w:b w:val="0"/>
                <w:color w:val="333333"/>
                <w:sz w:val="20"/>
              </w:rPr>
              <w:t>Advanced MIGS Techniques at SFH, SMH, SJH with Dr. Tam, Dr. Lloyd, Dr. Tomezsko, and multidisciplinary team</w:t>
            </w:r>
          </w:p>
        </w:tc>
        <w:tc>
          <w:tcPr>
            <w:tcW w:type="dxa" w:w="2351"/>
            <w:shd w:fill="F0F4F8"/>
          </w:tcPr>
          <w:p>
            <w:r>
              <w:rPr>
                <w:rFonts w:ascii="Calibri" w:hAnsi="Calibri"/>
                <w:b w:val="0"/>
                <w:color w:val="333333"/>
                <w:sz w:val="20"/>
              </w:rPr>
              <w:t>Comprehensive MIGS Consolidation at SFH, SMH, TMH with Dr. Tam and multidisciplinary team</w:t>
            </w:r>
          </w:p>
        </w:tc>
        <w:tc>
          <w:tcPr>
            <w:tcW w:type="dxa" w:w="2351"/>
            <w:shd w:fill="F0F4F8"/>
          </w:tcPr>
          <w:p>
            <w:r>
              <w:rPr>
                <w:rFonts w:ascii="Calibri" w:hAnsi="Calibri"/>
                <w:b w:val="0"/>
                <w:color w:val="333333"/>
                <w:sz w:val="20"/>
              </w:rPr>
              <w:t>Comprehensive MIGS Consolidation &amp; Teaching Leadership at SFH, SMH, TMH with Dr. Tam, Dr. Sankey-Thomas, and multidisciplinary team</w:t>
            </w:r>
          </w:p>
        </w:tc>
      </w:tr>
      <w:tr>
        <w:tc>
          <w:tcPr>
            <w:tcW w:type="dxa" w:w="2351"/>
          </w:tcPr>
          <w:p>
            <w:r>
              <w:rPr>
                <w:rFonts w:ascii="Calibri" w:hAnsi="Calibri"/>
                <w:b w:val="0"/>
                <w:color w:val="333333"/>
                <w:sz w:val="20"/>
              </w:rPr>
              <w:t>March</w:t>
            </w:r>
          </w:p>
        </w:tc>
        <w:tc>
          <w:tcPr>
            <w:tcW w:type="dxa" w:w="2351"/>
          </w:tcPr>
          <w:p>
            <w:r>
              <w:rPr>
                <w:rFonts w:ascii="Calibri" w:hAnsi="Calibri"/>
                <w:b w:val="0"/>
                <w:color w:val="333333"/>
                <w:sz w:val="20"/>
              </w:rPr>
              <w:t>Advanced MIGS Techniques at SFH, SMH, SJH with Dr. Tam, Dr. Lloyd, Dr. Tomezsko, and multidisciplinary team</w:t>
            </w:r>
          </w:p>
        </w:tc>
        <w:tc>
          <w:tcPr>
            <w:tcW w:type="dxa" w:w="2351"/>
          </w:tcPr>
          <w:p>
            <w:r>
              <w:rPr>
                <w:rFonts w:ascii="Calibri" w:hAnsi="Calibri"/>
                <w:b w:val="0"/>
                <w:color w:val="333333"/>
                <w:sz w:val="20"/>
              </w:rPr>
              <w:t>Comprehensive MIGS Consolidation at SFH, SMH, TMH with Dr. Tam and multidisciplinary team</w:t>
            </w:r>
          </w:p>
        </w:tc>
        <w:tc>
          <w:tcPr>
            <w:tcW w:type="dxa" w:w="2351"/>
          </w:tcPr>
          <w:p>
            <w:r>
              <w:rPr>
                <w:rFonts w:ascii="Calibri" w:hAnsi="Calibri"/>
                <w:b w:val="0"/>
                <w:color w:val="333333"/>
                <w:sz w:val="20"/>
              </w:rPr>
              <w:t>Comprehensive MIGS Consolidation &amp; Teaching Leadership at SFH, SMH, TMH with Dr. Tam, Dr. Sankey-Thomas, and multidisciplinary team</w:t>
            </w:r>
          </w:p>
        </w:tc>
      </w:tr>
      <w:tr>
        <w:tc>
          <w:tcPr>
            <w:tcW w:type="dxa" w:w="2351"/>
            <w:shd w:fill="F0F4F8"/>
          </w:tcPr>
          <w:p>
            <w:r>
              <w:rPr>
                <w:rFonts w:ascii="Calibri" w:hAnsi="Calibri"/>
                <w:b w:val="0"/>
                <w:color w:val="333333"/>
                <w:sz w:val="20"/>
              </w:rPr>
              <w:t>April</w:t>
            </w:r>
          </w:p>
        </w:tc>
        <w:tc>
          <w:tcPr>
            <w:tcW w:type="dxa" w:w="2351"/>
            <w:shd w:fill="F0F4F8"/>
          </w:tcPr>
          <w:p>
            <w:r>
              <w:rPr>
                <w:rFonts w:ascii="Calibri" w:hAnsi="Calibri"/>
                <w:b w:val="0"/>
                <w:color w:val="333333"/>
                <w:sz w:val="20"/>
              </w:rPr>
              <w:t>Advanced MIGS Techniques at SFH, SMH, SJH with Dr. Tam, Dr. Lloyd, Dr. Tomezsko, and multidisciplinary team</w:t>
            </w:r>
          </w:p>
        </w:tc>
        <w:tc>
          <w:tcPr>
            <w:tcW w:type="dxa" w:w="2351"/>
            <w:shd w:fill="F0F4F8"/>
          </w:tcPr>
          <w:p>
            <w:r>
              <w:rPr>
                <w:rFonts w:ascii="Calibri" w:hAnsi="Calibri"/>
                <w:b w:val="0"/>
                <w:color w:val="333333"/>
                <w:sz w:val="20"/>
              </w:rPr>
              <w:t>Transition to Practice at SFH, SMH, TMH with Dr. Tam and Dr. Lloyd</w:t>
            </w:r>
          </w:p>
        </w:tc>
        <w:tc>
          <w:tcPr>
            <w:tcW w:type="dxa" w:w="2351"/>
            <w:shd w:fill="F0F4F8"/>
          </w:tcPr>
          <w:p>
            <w:r>
              <w:rPr>
                <w:rFonts w:ascii="Calibri" w:hAnsi="Calibri"/>
                <w:b w:val="0"/>
                <w:color w:val="333333"/>
                <w:sz w:val="20"/>
              </w:rPr>
              <w:t>Transition to Independent Practice at SFH, SMH, TMH with Dr. Tam and Dr. Sankey-Thomas</w:t>
            </w:r>
          </w:p>
        </w:tc>
      </w:tr>
      <w:tr>
        <w:tc>
          <w:tcPr>
            <w:tcW w:type="dxa" w:w="2351"/>
          </w:tcPr>
          <w:p>
            <w:r>
              <w:rPr>
                <w:rFonts w:ascii="Calibri" w:hAnsi="Calibri"/>
                <w:b w:val="0"/>
                <w:color w:val="333333"/>
                <w:sz w:val="20"/>
              </w:rPr>
              <w:t>May</w:t>
            </w:r>
          </w:p>
        </w:tc>
        <w:tc>
          <w:tcPr>
            <w:tcW w:type="dxa" w:w="2351"/>
          </w:tcPr>
          <w:p>
            <w:r>
              <w:rPr>
                <w:rFonts w:ascii="Calibri" w:hAnsi="Calibri"/>
                <w:b w:val="0"/>
                <w:color w:val="333333"/>
                <w:sz w:val="20"/>
              </w:rPr>
              <w:t>Research &amp; Academic Development at SFH, SMH with Dr. Tam and Dr. Lloyd</w:t>
            </w:r>
          </w:p>
        </w:tc>
        <w:tc>
          <w:tcPr>
            <w:tcW w:type="dxa" w:w="2351"/>
          </w:tcPr>
          <w:p>
            <w:r>
              <w:rPr>
                <w:rFonts w:ascii="Calibri" w:hAnsi="Calibri"/>
                <w:b w:val="0"/>
                <w:color w:val="333333"/>
                <w:sz w:val="20"/>
              </w:rPr>
              <w:t>Transition to Practice at SFH, SMH, TMH with Dr. Tam and Dr. Lloyd</w:t>
            </w:r>
          </w:p>
        </w:tc>
        <w:tc>
          <w:tcPr>
            <w:tcW w:type="dxa" w:w="2351"/>
          </w:tcPr>
          <w:p>
            <w:r>
              <w:rPr>
                <w:rFonts w:ascii="Calibri" w:hAnsi="Calibri"/>
                <w:b w:val="0"/>
                <w:color w:val="333333"/>
                <w:sz w:val="20"/>
              </w:rPr>
              <w:t>Transition to Independent Practice at SFH, SMH, TMH with Dr. Tam and Dr. Sankey-Thomas</w:t>
            </w:r>
          </w:p>
        </w:tc>
      </w:tr>
      <w:tr>
        <w:tc>
          <w:tcPr>
            <w:tcW w:type="dxa" w:w="2351"/>
            <w:shd w:fill="F0F4F8"/>
          </w:tcPr>
          <w:p>
            <w:r>
              <w:rPr>
                <w:rFonts w:ascii="Calibri" w:hAnsi="Calibri"/>
                <w:b w:val="0"/>
                <w:color w:val="333333"/>
                <w:sz w:val="20"/>
              </w:rPr>
              <w:t>June</w:t>
            </w:r>
          </w:p>
        </w:tc>
        <w:tc>
          <w:tcPr>
            <w:tcW w:type="dxa" w:w="2351"/>
            <w:shd w:fill="F0F4F8"/>
          </w:tcPr>
          <w:p>
            <w:r>
              <w:rPr>
                <w:rFonts w:ascii="Calibri" w:hAnsi="Calibri"/>
                <w:b w:val="0"/>
                <w:color w:val="333333"/>
                <w:sz w:val="20"/>
              </w:rPr>
              <w:t>Research &amp; Academic Development at SFH, SMH with Dr. Tam and Dr. Lloyd</w:t>
            </w:r>
          </w:p>
        </w:tc>
        <w:tc>
          <w:tcPr>
            <w:tcW w:type="dxa" w:w="2351"/>
            <w:shd w:fill="F0F4F8"/>
          </w:tcPr>
          <w:p>
            <w:r>
              <w:rPr>
                <w:rFonts w:ascii="Calibri" w:hAnsi="Calibri"/>
                <w:b w:val="0"/>
                <w:color w:val="333333"/>
                <w:sz w:val="20"/>
              </w:rPr>
              <w:t>Transition to Practice at SFH, SMH, TMH with Dr. Tam and Dr. Lloyd</w:t>
            </w:r>
          </w:p>
        </w:tc>
        <w:tc>
          <w:tcPr>
            <w:tcW w:type="dxa" w:w="2351"/>
            <w:shd w:fill="F0F4F8"/>
          </w:tcPr>
          <w:p>
            <w:r>
              <w:rPr>
                <w:rFonts w:ascii="Calibri" w:hAnsi="Calibri"/>
                <w:b w:val="0"/>
                <w:color w:val="333333"/>
                <w:sz w:val="20"/>
              </w:rPr>
              <w:t>Transition to Independent Practice at SFH, SMH, TMH with Dr. Tam and Dr. Sankey-Thomas</w:t>
            </w:r>
          </w:p>
        </w:tc>
      </w:tr>
    </w:tbl>
    <w:p>
      <w:r>
        <w:rPr>
          <w:b/>
          <w:sz w:val="18"/>
        </w:rPr>
        <w:br/>
        <w:t xml:space="preserve">Abbreviations: </w:t>
      </w:r>
      <w:r>
        <w:rPr>
          <w:sz w:val="18"/>
        </w:rPr>
        <w:t>SFH = Saint Francis Hospital, SJH = Saint Joseph Hospital, SMH = Saint Mary Hospital, TMH = Thorek Memorial Hospital</w:t>
      </w:r>
    </w:p>
    <w:p>
      <w:r>
        <w:br w:type="page"/>
      </w:r>
    </w:p>
    <w:p>
      <w:pPr>
        <w:jc w:val="left"/>
      </w:pPr>
      <w:r>
        <w:rPr>
          <w:rFonts w:ascii="Calibri" w:hAnsi="Calibri"/>
          <w:i/>
          <w:color w:val="2E86AB"/>
          <w:sz w:val="20"/>
        </w:rPr>
        <w:t>Section 4 • Year 3 Weekly Block Schedule</w:t>
      </w:r>
    </w:p>
    <w:p>
      <w:pPr>
        <w:pStyle w:val="Heading1"/>
      </w:pPr>
      <w:r>
        <w:t>Weekly, Monthly, and Yearly Block Schedule — Year 3</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3A5C"/>
          </w:tcPr>
          <w:p>
            <w:pPr>
              <w:jc w:val="left"/>
            </w:pPr>
            <w:r>
              <w:rPr>
                <w:rFonts w:ascii="Calibri" w:hAnsi="Calibri"/>
                <w:b/>
                <w:color w:val="FFFFFF"/>
                <w:sz w:val="20"/>
              </w:rPr>
              <w:t>Time Period</w:t>
            </w:r>
          </w:p>
        </w:tc>
        <w:tc>
          <w:tcPr>
            <w:tcW w:type="dxa" w:w="3135"/>
            <w:shd w:fill="1B3A5C"/>
          </w:tcPr>
          <w:p>
            <w:pPr>
              <w:jc w:val="left"/>
            </w:pPr>
            <w:r>
              <w:rPr>
                <w:rFonts w:ascii="Calibri" w:hAnsi="Calibri"/>
                <w:b/>
                <w:color w:val="FFFFFF"/>
                <w:sz w:val="20"/>
              </w:rPr>
              <w:t>Activity</w:t>
            </w:r>
          </w:p>
        </w:tc>
        <w:tc>
          <w:tcPr>
            <w:tcW w:type="dxa" w:w="3135"/>
            <w:shd w:fill="1B3A5C"/>
          </w:tcPr>
          <w:p>
            <w:pPr>
              <w:jc w:val="left"/>
            </w:pPr>
            <w:r>
              <w:rPr>
                <w:rFonts w:ascii="Calibri" w:hAnsi="Calibri"/>
                <w:b/>
                <w:color w:val="FFFFFF"/>
                <w:sz w:val="20"/>
              </w:rPr>
              <w:t>Details</w:t>
            </w:r>
          </w:p>
        </w:tc>
      </w:tr>
      <w:tr>
        <w:tc>
          <w:tcPr>
            <w:tcW w:type="dxa" w:w="3135"/>
          </w:tcPr>
          <w:p>
            <w:r>
              <w:rPr>
                <w:rFonts w:ascii="Calibri" w:hAnsi="Calibri"/>
                <w:b w:val="0"/>
                <w:color w:val="333333"/>
                <w:sz w:val="20"/>
              </w:rPr>
              <w:t>Monday–Thursday</w:t>
            </w:r>
          </w:p>
        </w:tc>
        <w:tc>
          <w:tcPr>
            <w:tcW w:type="dxa" w:w="3135"/>
          </w:tcPr>
          <w:p>
            <w:r>
              <w:rPr>
                <w:rFonts w:ascii="Calibri" w:hAnsi="Calibri"/>
                <w:b w:val="0"/>
                <w:color w:val="333333"/>
                <w:sz w:val="20"/>
              </w:rPr>
              <w:t>Surgery OR assignments at rotation sites</w:t>
            </w:r>
          </w:p>
        </w:tc>
        <w:tc>
          <w:tcPr>
            <w:tcW w:type="dxa" w:w="3135"/>
          </w:tcPr>
          <w:p>
            <w:r>
              <w:rPr>
                <w:rFonts w:ascii="Calibri" w:hAnsi="Calibri"/>
                <w:b w:val="0"/>
                <w:color w:val="333333"/>
                <w:sz w:val="20"/>
              </w:rPr>
              <w:t>Surgical cases at assigned training sites; Year 3: Fellow serves as primary surgeon with attending supervision at a distance</w:t>
            </w:r>
          </w:p>
        </w:tc>
      </w:tr>
      <w:tr>
        <w:tc>
          <w:tcPr>
            <w:tcW w:type="dxa" w:w="3135"/>
            <w:shd w:fill="F0F4F8"/>
          </w:tcPr>
          <w:p>
            <w:r>
              <w:rPr>
                <w:rFonts w:ascii="Calibri" w:hAnsi="Calibri"/>
                <w:b w:val="0"/>
                <w:color w:val="333333"/>
                <w:sz w:val="20"/>
              </w:rPr>
              <w:t>Wednesday/Friday AM</w:t>
            </w:r>
          </w:p>
        </w:tc>
        <w:tc>
          <w:tcPr>
            <w:tcW w:type="dxa" w:w="3135"/>
            <w:shd w:fill="F0F4F8"/>
          </w:tcPr>
          <w:p>
            <w:r>
              <w:rPr>
                <w:rFonts w:ascii="Calibri" w:hAnsi="Calibri"/>
                <w:b w:val="0"/>
                <w:color w:val="333333"/>
                <w:sz w:val="20"/>
              </w:rPr>
              <w:t>Protected research/administrative time</w:t>
            </w:r>
          </w:p>
        </w:tc>
        <w:tc>
          <w:tcPr>
            <w:tcW w:type="dxa" w:w="3135"/>
            <w:shd w:fill="F0F4F8"/>
          </w:tcPr>
          <w:p>
            <w:r>
              <w:rPr>
                <w:rFonts w:ascii="Calibri" w:hAnsi="Calibri"/>
                <w:b w:val="0"/>
                <w:color w:val="333333"/>
                <w:sz w:val="20"/>
              </w:rPr>
              <w:t>Research activities, manuscript preparation, and administrative duties</w:t>
            </w:r>
          </w:p>
        </w:tc>
      </w:tr>
      <w:tr>
        <w:tc>
          <w:tcPr>
            <w:tcW w:type="dxa" w:w="3135"/>
          </w:tcPr>
          <w:p>
            <w:r>
              <w:rPr>
                <w:rFonts w:ascii="Calibri" w:hAnsi="Calibri"/>
                <w:b w:val="0"/>
                <w:color w:val="333333"/>
                <w:sz w:val="20"/>
              </w:rPr>
              <w:t>Friday PM</w:t>
            </w:r>
          </w:p>
        </w:tc>
        <w:tc>
          <w:tcPr>
            <w:tcW w:type="dxa" w:w="3135"/>
          </w:tcPr>
          <w:p>
            <w:r>
              <w:rPr>
                <w:rFonts w:ascii="Calibri" w:hAnsi="Calibri"/>
                <w:b w:val="0"/>
                <w:color w:val="333333"/>
                <w:sz w:val="20"/>
              </w:rPr>
              <w:t>MIGS Clinic</w:t>
            </w:r>
          </w:p>
        </w:tc>
        <w:tc>
          <w:tcPr>
            <w:tcW w:type="dxa" w:w="3135"/>
          </w:tcPr>
          <w:p>
            <w:r>
              <w:rPr>
                <w:rFonts w:ascii="Calibri" w:hAnsi="Calibri"/>
                <w:b w:val="0"/>
                <w:color w:val="333333"/>
                <w:sz w:val="20"/>
              </w:rPr>
              <w:t>Outpatient clinical experience; Year 3: Independent clinic management with faculty oversight</w:t>
            </w:r>
          </w:p>
        </w:tc>
      </w:tr>
      <w:tr>
        <w:tc>
          <w:tcPr>
            <w:tcW w:type="dxa" w:w="3135"/>
            <w:shd w:fill="F0F4F8"/>
          </w:tcPr>
          <w:p>
            <w:r>
              <w:rPr>
                <w:rFonts w:ascii="Calibri" w:hAnsi="Calibri"/>
                <w:b w:val="0"/>
                <w:color w:val="333333"/>
                <w:sz w:val="20"/>
              </w:rPr>
              <w:t>Call Schedule</w:t>
            </w:r>
          </w:p>
        </w:tc>
        <w:tc>
          <w:tcPr>
            <w:tcW w:type="dxa" w:w="3135"/>
            <w:shd w:fill="F0F4F8"/>
          </w:tcPr>
          <w:p>
            <w:r>
              <w:rPr>
                <w:rFonts w:ascii="Calibri" w:hAnsi="Calibri"/>
                <w:b w:val="0"/>
                <w:color w:val="333333"/>
                <w:sz w:val="20"/>
              </w:rPr>
              <w:t>ED SFH Call Duties</w:t>
            </w:r>
          </w:p>
        </w:tc>
        <w:tc>
          <w:tcPr>
            <w:tcW w:type="dxa" w:w="3135"/>
            <w:shd w:fill="F0F4F8"/>
          </w:tcPr>
          <w:p>
            <w:r>
              <w:rPr>
                <w:rFonts w:ascii="Calibri" w:hAnsi="Calibri"/>
                <w:b w:val="0"/>
                <w:color w:val="333333"/>
                <w:sz w:val="20"/>
              </w:rPr>
              <w:t>3 days per month — Emergency Department gynecologic consult coverage at Saint Francis Hospital</w:t>
            </w:r>
          </w:p>
        </w:tc>
      </w:tr>
      <w:tr>
        <w:tc>
          <w:tcPr>
            <w:tcW w:type="dxa" w:w="3135"/>
          </w:tcPr>
          <w:p>
            <w:r>
              <w:rPr>
                <w:rFonts w:ascii="Calibri" w:hAnsi="Calibri"/>
                <w:b w:val="0"/>
                <w:color w:val="333333"/>
                <w:sz w:val="20"/>
              </w:rPr>
              <w:t>Call Schedule</w:t>
            </w:r>
          </w:p>
        </w:tc>
        <w:tc>
          <w:tcPr>
            <w:tcW w:type="dxa" w:w="3135"/>
          </w:tcPr>
          <w:p>
            <w:r>
              <w:rPr>
                <w:rFonts w:ascii="Calibri" w:hAnsi="Calibri"/>
                <w:b w:val="0"/>
                <w:color w:val="333333"/>
                <w:sz w:val="20"/>
              </w:rPr>
              <w:t>OB/GYN Pager Calls</w:t>
            </w:r>
          </w:p>
        </w:tc>
        <w:tc>
          <w:tcPr>
            <w:tcW w:type="dxa" w:w="3135"/>
          </w:tcPr>
          <w:p>
            <w:r>
              <w:rPr>
                <w:rFonts w:ascii="Calibri" w:hAnsi="Calibri"/>
                <w:b w:val="0"/>
                <w:color w:val="333333"/>
                <w:sz w:val="20"/>
              </w:rPr>
              <w:t>Minimum 1–2/hr OB/GYN pager calls per month including 1 weekend</w:t>
            </w:r>
          </w:p>
        </w:tc>
      </w:tr>
    </w:tbl>
    <w:p/>
    <w:p>
      <w:pPr>
        <w:pStyle w:val="Heading2"/>
      </w:pPr>
      <w:r>
        <w:t>Year 3 Rotation Design Philosophy</w:t>
      </w:r>
    </w:p>
    <w:p>
      <w:r>
        <w:rPr>
          <w:b/>
          <w:color w:val="1B3A5C"/>
        </w:rPr>
        <w:t xml:space="preserve">Primary Focus: </w:t>
      </w:r>
      <w:r>
        <w:t>Independent surgical leadership with attending available but supervision at a distance</w:t>
      </w:r>
    </w:p>
    <w:p>
      <w:r>
        <w:rPr>
          <w:b/>
          <w:color w:val="1B3A5C"/>
        </w:rPr>
        <w:t xml:space="preserve">Secondary Exposure: </w:t>
      </w:r>
      <w:r>
        <w:t>Cross-subspecialty consultation role, functioning as MIGS consultant to general OB/GYN attendings</w:t>
      </w:r>
    </w:p>
    <w:p>
      <w:r>
        <w:rPr>
          <w:b/>
          <w:color w:val="1B3A5C"/>
        </w:rPr>
        <w:t xml:space="preserve">Site Optimization: </w:t>
      </w:r>
      <w:r>
        <w:t>Multi-site rotations leverage each hospital's unique patient demographics and case mix with fellow driving case selection</w:t>
      </w:r>
    </w:p>
    <w:p>
      <w:r>
        <w:rPr>
          <w:b/>
          <w:color w:val="1B3A5C"/>
        </w:rPr>
        <w:t xml:space="preserve">Competency Progression: </w:t>
      </w:r>
      <w:r>
        <w:t>Fellow functions at the level of near-independent practitioner across all subspecialties</w:t>
      </w:r>
    </w:p>
    <w:p>
      <w:r>
        <w:br w:type="page"/>
      </w:r>
    </w:p>
    <w:p>
      <w:pPr>
        <w:jc w:val="left"/>
      </w:pPr>
      <w:r>
        <w:rPr>
          <w:rFonts w:ascii="Calibri" w:hAnsi="Calibri"/>
          <w:i/>
          <w:color w:val="2E86AB"/>
          <w:sz w:val="20"/>
        </w:rPr>
        <w:t>Section 5 • Year 3 Call Schedule — ED SFH</w:t>
      </w:r>
    </w:p>
    <w:p>
      <w:pPr>
        <w:pStyle w:val="Heading1"/>
      </w:pPr>
      <w:r>
        <w:t>Emergency Department Call Schedule — Saint Francis Hospital</w:t>
      </w:r>
    </w:p>
    <w:p>
      <w:pPr>
        <w:pStyle w:val="Heading2"/>
      </w:pPr>
      <w:r>
        <w:t>Year 3 ED SFH Call Structure</w:t>
      </w:r>
    </w:p>
    <w:tbl>
      <w:tblPr>
        <w:tblStyle w:val="TableGrid"/>
        <w:tblW w:type="auto" w:w="0"/>
        <w:jc w:val="center"/>
        <w:tblLook w:firstColumn="1" w:firstRow="1" w:lastColumn="0" w:lastRow="0" w:noHBand="0" w:noVBand="1" w:val="04A0"/>
      </w:tblPr>
      <w:tblGrid>
        <w:gridCol w:w="4703"/>
        <w:gridCol w:w="4703"/>
      </w:tblGrid>
      <w:tr>
        <w:tc>
          <w:tcPr>
            <w:tcW w:type="dxa" w:w="4703"/>
            <w:shd w:fill="1B3A5C"/>
          </w:tcPr>
          <w:p>
            <w:pPr>
              <w:jc w:val="left"/>
            </w:pPr>
            <w:r>
              <w:rPr>
                <w:rFonts w:ascii="Calibri" w:hAnsi="Calibri"/>
                <w:b/>
                <w:color w:val="FFFFFF"/>
                <w:sz w:val="20"/>
              </w:rPr>
              <w:t>Parameter</w:t>
            </w:r>
          </w:p>
        </w:tc>
        <w:tc>
          <w:tcPr>
            <w:tcW w:type="dxa" w:w="4703"/>
            <w:shd w:fill="1B3A5C"/>
          </w:tcPr>
          <w:p>
            <w:pPr>
              <w:jc w:val="left"/>
            </w:pPr>
            <w:r>
              <w:rPr>
                <w:rFonts w:ascii="Calibri" w:hAnsi="Calibri"/>
                <w:b/>
                <w:color w:val="FFFFFF"/>
                <w:sz w:val="20"/>
              </w:rPr>
              <w:t>Details</w:t>
            </w:r>
          </w:p>
        </w:tc>
      </w:tr>
      <w:tr>
        <w:tc>
          <w:tcPr>
            <w:tcW w:type="dxa" w:w="4703"/>
          </w:tcPr>
          <w:p>
            <w:r>
              <w:rPr>
                <w:rFonts w:ascii="Calibri" w:hAnsi="Calibri"/>
                <w:b w:val="0"/>
                <w:color w:val="333333"/>
                <w:sz w:val="20"/>
              </w:rPr>
              <w:t>Frequency</w:t>
            </w:r>
          </w:p>
        </w:tc>
        <w:tc>
          <w:tcPr>
            <w:tcW w:type="dxa" w:w="4703"/>
          </w:tcPr>
          <w:p>
            <w:r>
              <w:rPr>
                <w:rFonts w:ascii="Calibri" w:hAnsi="Calibri"/>
                <w:b w:val="0"/>
                <w:color w:val="333333"/>
                <w:sz w:val="20"/>
              </w:rPr>
              <w:t>3 days per month</w:t>
            </w:r>
          </w:p>
        </w:tc>
      </w:tr>
      <w:tr>
        <w:tc>
          <w:tcPr>
            <w:tcW w:type="dxa" w:w="4703"/>
            <w:shd w:fill="F0F4F8"/>
          </w:tcPr>
          <w:p>
            <w:r>
              <w:rPr>
                <w:rFonts w:ascii="Calibri" w:hAnsi="Calibri"/>
                <w:b w:val="0"/>
                <w:color w:val="333333"/>
                <w:sz w:val="20"/>
              </w:rPr>
              <w:t>Location</w:t>
            </w:r>
          </w:p>
        </w:tc>
        <w:tc>
          <w:tcPr>
            <w:tcW w:type="dxa" w:w="4703"/>
            <w:shd w:fill="F0F4F8"/>
          </w:tcPr>
          <w:p>
            <w:r>
              <w:rPr>
                <w:rFonts w:ascii="Calibri" w:hAnsi="Calibri"/>
                <w:b w:val="0"/>
                <w:color w:val="333333"/>
                <w:sz w:val="20"/>
              </w:rPr>
              <w:t>Saint Francis Hospital Emergency Department</w:t>
            </w:r>
          </w:p>
        </w:tc>
      </w:tr>
      <w:tr>
        <w:tc>
          <w:tcPr>
            <w:tcW w:type="dxa" w:w="4703"/>
          </w:tcPr>
          <w:p>
            <w:r>
              <w:rPr>
                <w:rFonts w:ascii="Calibri" w:hAnsi="Calibri"/>
                <w:b w:val="0"/>
                <w:color w:val="333333"/>
                <w:sz w:val="20"/>
              </w:rPr>
              <w:t>Role</w:t>
            </w:r>
          </w:p>
        </w:tc>
        <w:tc>
          <w:tcPr>
            <w:tcW w:type="dxa" w:w="4703"/>
          </w:tcPr>
          <w:p>
            <w:r>
              <w:rPr>
                <w:rFonts w:ascii="Calibri" w:hAnsi="Calibri"/>
                <w:b w:val="0"/>
                <w:color w:val="333333"/>
                <w:sz w:val="20"/>
              </w:rPr>
              <w:t>Gynecologic emergency consultation and surgical triage</w:t>
            </w:r>
          </w:p>
        </w:tc>
      </w:tr>
      <w:tr>
        <w:tc>
          <w:tcPr>
            <w:tcW w:type="dxa" w:w="4703"/>
            <w:shd w:fill="F0F4F8"/>
          </w:tcPr>
          <w:p>
            <w:r>
              <w:rPr>
                <w:rFonts w:ascii="Calibri" w:hAnsi="Calibri"/>
                <w:b w:val="0"/>
                <w:color w:val="333333"/>
                <w:sz w:val="20"/>
              </w:rPr>
              <w:t>Supervision</w:t>
            </w:r>
          </w:p>
        </w:tc>
        <w:tc>
          <w:tcPr>
            <w:tcW w:type="dxa" w:w="4703"/>
            <w:shd w:fill="F0F4F8"/>
          </w:tcPr>
          <w:p>
            <w:r>
              <w:rPr>
                <w:rFonts w:ascii="Calibri" w:hAnsi="Calibri"/>
                <w:b w:val="0"/>
                <w:color w:val="333333"/>
                <w:sz w:val="20"/>
              </w:rPr>
              <w:t>Year 3: Independent assessment and management with attending back-up available by phone</w:t>
            </w:r>
          </w:p>
        </w:tc>
      </w:tr>
      <w:tr>
        <w:tc>
          <w:tcPr>
            <w:tcW w:type="dxa" w:w="4703"/>
          </w:tcPr>
          <w:p>
            <w:r>
              <w:rPr>
                <w:rFonts w:ascii="Calibri" w:hAnsi="Calibri"/>
                <w:b w:val="0"/>
                <w:color w:val="333333"/>
                <w:sz w:val="20"/>
              </w:rPr>
              <w:t>Scope</w:t>
            </w:r>
          </w:p>
        </w:tc>
        <w:tc>
          <w:tcPr>
            <w:tcW w:type="dxa" w:w="4703"/>
          </w:tcPr>
          <w:p>
            <w:r>
              <w:rPr>
                <w:rFonts w:ascii="Calibri" w:hAnsi="Calibri"/>
                <w:b w:val="0"/>
                <w:color w:val="333333"/>
                <w:sz w:val="20"/>
              </w:rPr>
              <w:t>Acute gynecologic presentations: ectopic pregnancy evaluation, ovarian torsion, hemorrhage management, post-surgical complications, acute pelvic pain evaluation, and emergent hysteroscopy/laparoscopy indications</w:t>
            </w:r>
          </w:p>
        </w:tc>
      </w:tr>
    </w:tbl>
    <w:p/>
    <w:p>
      <w:pPr>
        <w:pStyle w:val="Heading2"/>
      </w:pPr>
      <w:r>
        <w:t>Graduated ED Call Autonomy Across Fellowship</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3A5C"/>
          </w:tcPr>
          <w:p>
            <w:pPr>
              <w:jc w:val="left"/>
            </w:pPr>
            <w:r>
              <w:rPr>
                <w:rFonts w:ascii="Calibri" w:hAnsi="Calibri"/>
                <w:b/>
                <w:color w:val="FFFFFF"/>
                <w:sz w:val="20"/>
              </w:rPr>
              <w:t>Year</w:t>
            </w:r>
          </w:p>
        </w:tc>
        <w:tc>
          <w:tcPr>
            <w:tcW w:type="dxa" w:w="3135"/>
            <w:shd w:fill="1B3A5C"/>
          </w:tcPr>
          <w:p>
            <w:pPr>
              <w:jc w:val="left"/>
            </w:pPr>
            <w:r>
              <w:rPr>
                <w:rFonts w:ascii="Calibri" w:hAnsi="Calibri"/>
                <w:b/>
                <w:color w:val="FFFFFF"/>
                <w:sz w:val="20"/>
              </w:rPr>
              <w:t>ED Call Frequency</w:t>
            </w:r>
          </w:p>
        </w:tc>
        <w:tc>
          <w:tcPr>
            <w:tcW w:type="dxa" w:w="3135"/>
            <w:shd w:fill="1B3A5C"/>
          </w:tcPr>
          <w:p>
            <w:pPr>
              <w:jc w:val="left"/>
            </w:pPr>
            <w:r>
              <w:rPr>
                <w:rFonts w:ascii="Calibri" w:hAnsi="Calibri"/>
                <w:b/>
                <w:color w:val="FFFFFF"/>
                <w:sz w:val="20"/>
              </w:rPr>
              <w:t>Supervision Level</w:t>
            </w:r>
          </w:p>
        </w:tc>
      </w:tr>
      <w:tr>
        <w:tc>
          <w:tcPr>
            <w:tcW w:type="dxa" w:w="3135"/>
          </w:tcPr>
          <w:p>
            <w:r>
              <w:rPr>
                <w:rFonts w:ascii="Calibri" w:hAnsi="Calibri"/>
                <w:b w:val="0"/>
                <w:color w:val="333333"/>
                <w:sz w:val="20"/>
              </w:rPr>
              <w:t>Year 1</w:t>
            </w:r>
          </w:p>
        </w:tc>
        <w:tc>
          <w:tcPr>
            <w:tcW w:type="dxa" w:w="3135"/>
          </w:tcPr>
          <w:p>
            <w:r>
              <w:rPr>
                <w:rFonts w:ascii="Calibri" w:hAnsi="Calibri"/>
                <w:b w:val="0"/>
                <w:color w:val="333333"/>
                <w:sz w:val="20"/>
              </w:rPr>
              <w:t>1–2 calls/month</w:t>
            </w:r>
          </w:p>
        </w:tc>
        <w:tc>
          <w:tcPr>
            <w:tcW w:type="dxa" w:w="3135"/>
          </w:tcPr>
          <w:p>
            <w:r>
              <w:rPr>
                <w:rFonts w:ascii="Calibri" w:hAnsi="Calibri"/>
                <w:b w:val="0"/>
                <w:color w:val="333333"/>
                <w:sz w:val="20"/>
              </w:rPr>
              <w:t>Direct supervision; attending present or immediately available</w:t>
            </w:r>
          </w:p>
        </w:tc>
      </w:tr>
      <w:tr>
        <w:tc>
          <w:tcPr>
            <w:tcW w:type="dxa" w:w="3135"/>
            <w:shd w:fill="F0F4F8"/>
          </w:tcPr>
          <w:p>
            <w:r>
              <w:rPr>
                <w:rFonts w:ascii="Calibri" w:hAnsi="Calibri"/>
                <w:b w:val="0"/>
                <w:color w:val="333333"/>
                <w:sz w:val="20"/>
              </w:rPr>
              <w:t>Year 2</w:t>
            </w:r>
          </w:p>
        </w:tc>
        <w:tc>
          <w:tcPr>
            <w:tcW w:type="dxa" w:w="3135"/>
            <w:shd w:fill="F0F4F8"/>
          </w:tcPr>
          <w:p>
            <w:r>
              <w:rPr>
                <w:rFonts w:ascii="Calibri" w:hAnsi="Calibri"/>
                <w:b w:val="0"/>
                <w:color w:val="333333"/>
                <w:sz w:val="20"/>
              </w:rPr>
              <w:t>1–2 calls/month including 1 weekend</w:t>
            </w:r>
          </w:p>
        </w:tc>
        <w:tc>
          <w:tcPr>
            <w:tcW w:type="dxa" w:w="3135"/>
            <w:shd w:fill="F0F4F8"/>
          </w:tcPr>
          <w:p>
            <w:r>
              <w:rPr>
                <w:rFonts w:ascii="Calibri" w:hAnsi="Calibri"/>
                <w:b w:val="0"/>
                <w:color w:val="333333"/>
                <w:sz w:val="20"/>
              </w:rPr>
              <w:t>Indirect supervision; attending available within hospital</w:t>
            </w:r>
          </w:p>
        </w:tc>
      </w:tr>
      <w:tr>
        <w:tc>
          <w:tcPr>
            <w:tcW w:type="dxa" w:w="3135"/>
          </w:tcPr>
          <w:p>
            <w:r>
              <w:rPr>
                <w:rFonts w:ascii="Calibri" w:hAnsi="Calibri"/>
                <w:b w:val="0"/>
                <w:color w:val="333333"/>
                <w:sz w:val="20"/>
              </w:rPr>
              <w:t>Year 3</w:t>
            </w:r>
          </w:p>
        </w:tc>
        <w:tc>
          <w:tcPr>
            <w:tcW w:type="dxa" w:w="3135"/>
          </w:tcPr>
          <w:p>
            <w:r>
              <w:rPr>
                <w:rFonts w:ascii="Calibri" w:hAnsi="Calibri"/>
                <w:b w:val="0"/>
                <w:color w:val="333333"/>
                <w:sz w:val="20"/>
              </w:rPr>
              <w:t>3 days/month</w:t>
            </w:r>
          </w:p>
        </w:tc>
        <w:tc>
          <w:tcPr>
            <w:tcW w:type="dxa" w:w="3135"/>
          </w:tcPr>
          <w:p>
            <w:r>
              <w:rPr>
                <w:rFonts w:ascii="Calibri" w:hAnsi="Calibri"/>
                <w:b w:val="0"/>
                <w:color w:val="333333"/>
                <w:sz w:val="20"/>
              </w:rPr>
              <w:t>Independent assessment with attending back-up by phone; full autonomy for routine gynecologic emergencies</w:t>
            </w:r>
          </w:p>
        </w:tc>
      </w:tr>
    </w:tbl>
    <w:p/>
    <w:p>
      <w:pPr>
        <w:pStyle w:val="Heading2"/>
      </w:pPr>
      <w:r>
        <w:t>OB/GYN Pager Call — Year 3</w:t>
      </w:r>
    </w:p>
    <w:p>
      <w:r>
        <w:t>In addition to ED SFH call, the fellow maintains minimum 1–2/hr OB/GYN pager calls per month including 1 weekend, consistent with Years 1 and 2.</w:t>
      </w:r>
    </w:p>
    <w:p>
      <w:r>
        <w:br w:type="page"/>
      </w:r>
    </w:p>
    <w:p>
      <w:pPr>
        <w:jc w:val="left"/>
      </w:pPr>
      <w:r>
        <w:rPr>
          <w:rFonts w:ascii="Calibri" w:hAnsi="Calibri"/>
          <w:i/>
          <w:color w:val="2E86AB"/>
          <w:sz w:val="20"/>
        </w:rPr>
        <w:t>Section 6 • Year 3 Graduated Responsibility Framework</w:t>
      </w:r>
    </w:p>
    <w:p>
      <w:pPr>
        <w:pStyle w:val="Heading1"/>
      </w:pPr>
      <w:r>
        <w:t>Graduated Responsibility — 3-Year Progression</w:t>
      </w:r>
    </w:p>
    <w:p>
      <w:pPr>
        <w:pStyle w:val="Heading2"/>
      </w:pPr>
      <w:r>
        <w:t>Year 1 — Foundation and Skill Development</w:t>
      </w:r>
    </w:p>
    <w:tbl>
      <w:tblPr>
        <w:tblStyle w:val="TableGrid"/>
        <w:tblW w:type="auto" w:w="0"/>
        <w:jc w:val="center"/>
        <w:tblLook w:firstColumn="1" w:firstRow="1" w:lastColumn="0" w:lastRow="0" w:noHBand="0" w:noVBand="1" w:val="04A0"/>
      </w:tblPr>
      <w:tblGrid>
        <w:gridCol w:w="4703"/>
        <w:gridCol w:w="4703"/>
      </w:tblGrid>
      <w:tr>
        <w:tc>
          <w:tcPr>
            <w:tcW w:type="dxa" w:w="4703"/>
            <w:shd w:fill="1B3A5C"/>
          </w:tcPr>
          <w:p>
            <w:pPr>
              <w:jc w:val="left"/>
            </w:pPr>
            <w:r>
              <w:rPr>
                <w:rFonts w:ascii="Calibri" w:hAnsi="Calibri"/>
                <w:b/>
                <w:color w:val="FFFFFF"/>
                <w:sz w:val="20"/>
              </w:rPr>
              <w:t>Phase</w:t>
            </w:r>
          </w:p>
        </w:tc>
        <w:tc>
          <w:tcPr>
            <w:tcW w:type="dxa" w:w="4703"/>
            <w:shd w:fill="1B3A5C"/>
          </w:tcPr>
          <w:p>
            <w:pPr>
              <w:jc w:val="left"/>
            </w:pPr>
            <w:r>
              <w:rPr>
                <w:rFonts w:ascii="Calibri" w:hAnsi="Calibri"/>
                <w:b/>
                <w:color w:val="FFFFFF"/>
                <w:sz w:val="20"/>
              </w:rPr>
              <w:t>Description</w:t>
            </w:r>
          </w:p>
        </w:tc>
      </w:tr>
      <w:tr>
        <w:tc>
          <w:tcPr>
            <w:tcW w:type="dxa" w:w="4703"/>
          </w:tcPr>
          <w:p>
            <w:r>
              <w:rPr>
                <w:rFonts w:ascii="Calibri" w:hAnsi="Calibri"/>
                <w:b w:val="0"/>
                <w:color w:val="333333"/>
                <w:sz w:val="20"/>
              </w:rPr>
              <w:t>Observation and Assisted Performance</w:t>
            </w:r>
          </w:p>
        </w:tc>
        <w:tc>
          <w:tcPr>
            <w:tcW w:type="dxa" w:w="4703"/>
          </w:tcPr>
          <w:p>
            <w:r>
              <w:rPr>
                <w:rFonts w:ascii="Calibri" w:hAnsi="Calibri"/>
                <w:b w:val="0"/>
                <w:color w:val="333333"/>
                <w:sz w:val="20"/>
              </w:rPr>
              <w:t>Direct supervision with hands-on assistance in all procedures</w:t>
            </w:r>
          </w:p>
        </w:tc>
      </w:tr>
      <w:tr>
        <w:tc>
          <w:tcPr>
            <w:tcW w:type="dxa" w:w="4703"/>
            <w:shd w:fill="F0F4F8"/>
          </w:tcPr>
          <w:p>
            <w:r>
              <w:rPr>
                <w:rFonts w:ascii="Calibri" w:hAnsi="Calibri"/>
                <w:b w:val="0"/>
                <w:color w:val="333333"/>
                <w:sz w:val="20"/>
              </w:rPr>
              <w:t>Clinical Focus</w:t>
            </w:r>
          </w:p>
        </w:tc>
        <w:tc>
          <w:tcPr>
            <w:tcW w:type="dxa" w:w="4703"/>
            <w:shd w:fill="F0F4F8"/>
          </w:tcPr>
          <w:p>
            <w:r>
              <w:rPr>
                <w:rFonts w:ascii="Calibri" w:hAnsi="Calibri"/>
                <w:b w:val="0"/>
                <w:color w:val="333333"/>
                <w:sz w:val="20"/>
              </w:rPr>
              <w:t>Comprehensive advanced surgical procedures, robotic surgery and laparoscopy</w:t>
            </w:r>
          </w:p>
        </w:tc>
      </w:tr>
      <w:tr>
        <w:tc>
          <w:tcPr>
            <w:tcW w:type="dxa" w:w="4703"/>
          </w:tcPr>
          <w:p>
            <w:r>
              <w:rPr>
                <w:rFonts w:ascii="Calibri" w:hAnsi="Calibri"/>
                <w:b w:val="0"/>
                <w:color w:val="333333"/>
                <w:sz w:val="20"/>
              </w:rPr>
              <w:t>Competency Goals</w:t>
            </w:r>
          </w:p>
        </w:tc>
        <w:tc>
          <w:tcPr>
            <w:tcW w:type="dxa" w:w="4703"/>
          </w:tcPr>
          <w:p>
            <w:r>
              <w:rPr>
                <w:rFonts w:ascii="Calibri" w:hAnsi="Calibri"/>
                <w:b w:val="0"/>
                <w:color w:val="333333"/>
                <w:sz w:val="20"/>
              </w:rPr>
              <w:t>Demonstrate proficiency in general laparoscopy skills/techniques; basic robotic system direct supervision</w:t>
            </w:r>
          </w:p>
        </w:tc>
      </w:tr>
      <w:tr>
        <w:tc>
          <w:tcPr>
            <w:tcW w:type="dxa" w:w="4703"/>
            <w:shd w:fill="F0F4F8"/>
          </w:tcPr>
          <w:p>
            <w:r>
              <w:rPr>
                <w:rFonts w:ascii="Calibri" w:hAnsi="Calibri"/>
                <w:b w:val="0"/>
                <w:color w:val="333333"/>
                <w:sz w:val="20"/>
              </w:rPr>
              <w:t>Outcome Measures</w:t>
            </w:r>
          </w:p>
        </w:tc>
        <w:tc>
          <w:tcPr>
            <w:tcW w:type="dxa" w:w="4703"/>
            <w:shd w:fill="F0F4F8"/>
          </w:tcPr>
          <w:p>
            <w:r>
              <w:rPr>
                <w:rFonts w:ascii="Calibri" w:hAnsi="Calibri"/>
                <w:b w:val="0"/>
                <w:color w:val="333333"/>
                <w:sz w:val="20"/>
              </w:rPr>
              <w:t>Regular case presentations and technical skill assessments</w:t>
            </w:r>
          </w:p>
        </w:tc>
      </w:tr>
    </w:tbl>
    <w:p/>
    <w:p>
      <w:pPr>
        <w:pStyle w:val="Heading2"/>
      </w:pPr>
      <w:r>
        <w:t>Year 2 — Advanced Practice and Leadership</w:t>
      </w:r>
    </w:p>
    <w:tbl>
      <w:tblPr>
        <w:tblStyle w:val="TableGrid"/>
        <w:tblW w:type="auto" w:w="0"/>
        <w:jc w:val="center"/>
        <w:tblLook w:firstColumn="1" w:firstRow="1" w:lastColumn="0" w:lastRow="0" w:noHBand="0" w:noVBand="1" w:val="04A0"/>
      </w:tblPr>
      <w:tblGrid>
        <w:gridCol w:w="4703"/>
        <w:gridCol w:w="4703"/>
      </w:tblGrid>
      <w:tr>
        <w:tc>
          <w:tcPr>
            <w:tcW w:type="dxa" w:w="4703"/>
            <w:shd w:fill="1B3A5C"/>
          </w:tcPr>
          <w:p>
            <w:pPr>
              <w:jc w:val="left"/>
            </w:pPr>
            <w:r>
              <w:rPr>
                <w:rFonts w:ascii="Calibri" w:hAnsi="Calibri"/>
                <w:b/>
                <w:color w:val="FFFFFF"/>
                <w:sz w:val="20"/>
              </w:rPr>
              <w:t>Phase</w:t>
            </w:r>
          </w:p>
        </w:tc>
        <w:tc>
          <w:tcPr>
            <w:tcW w:type="dxa" w:w="4703"/>
            <w:shd w:fill="1B3A5C"/>
          </w:tcPr>
          <w:p>
            <w:pPr>
              <w:jc w:val="left"/>
            </w:pPr>
            <w:r>
              <w:rPr>
                <w:rFonts w:ascii="Calibri" w:hAnsi="Calibri"/>
                <w:b/>
                <w:color w:val="FFFFFF"/>
                <w:sz w:val="20"/>
              </w:rPr>
              <w:t>Description</w:t>
            </w:r>
          </w:p>
        </w:tc>
      </w:tr>
      <w:tr>
        <w:tc>
          <w:tcPr>
            <w:tcW w:type="dxa" w:w="4703"/>
          </w:tcPr>
          <w:p>
            <w:r>
              <w:rPr>
                <w:rFonts w:ascii="Calibri" w:hAnsi="Calibri"/>
                <w:b w:val="0"/>
                <w:color w:val="333333"/>
                <w:sz w:val="20"/>
              </w:rPr>
              <w:t>Progressive Independence</w:t>
            </w:r>
          </w:p>
        </w:tc>
        <w:tc>
          <w:tcPr>
            <w:tcW w:type="dxa" w:w="4703"/>
          </w:tcPr>
          <w:p>
            <w:r>
              <w:rPr>
                <w:rFonts w:ascii="Calibri" w:hAnsi="Calibri"/>
                <w:b w:val="0"/>
                <w:color w:val="333333"/>
                <w:sz w:val="20"/>
              </w:rPr>
              <w:t>Continued guidance and supervision with graduated autonomy</w:t>
            </w:r>
          </w:p>
        </w:tc>
      </w:tr>
      <w:tr>
        <w:tc>
          <w:tcPr>
            <w:tcW w:type="dxa" w:w="4703"/>
            <w:shd w:fill="F0F4F8"/>
          </w:tcPr>
          <w:p>
            <w:r>
              <w:rPr>
                <w:rFonts w:ascii="Calibri" w:hAnsi="Calibri"/>
                <w:b w:val="0"/>
                <w:color w:val="333333"/>
                <w:sz w:val="20"/>
              </w:rPr>
              <w:t>Clinical Focus</w:t>
            </w:r>
          </w:p>
        </w:tc>
        <w:tc>
          <w:tcPr>
            <w:tcW w:type="dxa" w:w="4703"/>
            <w:shd w:fill="F0F4F8"/>
          </w:tcPr>
          <w:p>
            <w:r>
              <w:rPr>
                <w:rFonts w:ascii="Calibri" w:hAnsi="Calibri"/>
                <w:b w:val="0"/>
                <w:color w:val="333333"/>
                <w:sz w:val="20"/>
              </w:rPr>
              <w:t>Perform simple to complex surgeries with increased autonomy</w:t>
            </w:r>
          </w:p>
        </w:tc>
      </w:tr>
      <w:tr>
        <w:tc>
          <w:tcPr>
            <w:tcW w:type="dxa" w:w="4703"/>
          </w:tcPr>
          <w:p>
            <w:r>
              <w:rPr>
                <w:rFonts w:ascii="Calibri" w:hAnsi="Calibri"/>
                <w:b w:val="0"/>
                <w:color w:val="333333"/>
                <w:sz w:val="20"/>
              </w:rPr>
              <w:t>Teaching Integration</w:t>
            </w:r>
          </w:p>
        </w:tc>
        <w:tc>
          <w:tcPr>
            <w:tcW w:type="dxa" w:w="4703"/>
          </w:tcPr>
          <w:p>
            <w:r>
              <w:rPr>
                <w:rFonts w:ascii="Calibri" w:hAnsi="Calibri"/>
                <w:b w:val="0"/>
                <w:color w:val="333333"/>
                <w:sz w:val="20"/>
              </w:rPr>
              <w:t>Begin mentoring residents and provide feedback on their performance in case-based clinical reviews</w:t>
            </w:r>
          </w:p>
        </w:tc>
      </w:tr>
      <w:tr>
        <w:tc>
          <w:tcPr>
            <w:tcW w:type="dxa" w:w="4703"/>
            <w:shd w:fill="F0F4F8"/>
          </w:tcPr>
          <w:p>
            <w:r>
              <w:rPr>
                <w:rFonts w:ascii="Calibri" w:hAnsi="Calibri"/>
                <w:b w:val="0"/>
                <w:color w:val="333333"/>
                <w:sz w:val="20"/>
              </w:rPr>
              <w:t>Assessment Framework</w:t>
            </w:r>
          </w:p>
        </w:tc>
        <w:tc>
          <w:tcPr>
            <w:tcW w:type="dxa" w:w="4703"/>
            <w:shd w:fill="F0F4F8"/>
          </w:tcPr>
          <w:p>
            <w:r>
              <w:rPr>
                <w:rFonts w:ascii="Calibri" w:hAnsi="Calibri"/>
                <w:b w:val="0"/>
                <w:color w:val="333333"/>
                <w:sz w:val="20"/>
              </w:rPr>
              <w:t>Assessment of competency and teaching effectiveness indicators; multisource evaluation</w:t>
            </w:r>
          </w:p>
        </w:tc>
      </w:tr>
    </w:tbl>
    <w:p/>
    <w:p>
      <w:pPr>
        <w:pStyle w:val="Heading2"/>
      </w:pPr>
      <w:r>
        <w:t>Year 3 — Mastery, Independent Practice, and Teaching Leadership</w:t>
      </w:r>
    </w:p>
    <w:tbl>
      <w:tblPr>
        <w:tblStyle w:val="TableGrid"/>
        <w:tblW w:type="auto" w:w="0"/>
        <w:jc w:val="center"/>
        <w:tblLook w:firstColumn="1" w:firstRow="1" w:lastColumn="0" w:lastRow="0" w:noHBand="0" w:noVBand="1" w:val="04A0"/>
      </w:tblPr>
      <w:tblGrid>
        <w:gridCol w:w="4703"/>
        <w:gridCol w:w="4703"/>
      </w:tblGrid>
      <w:tr>
        <w:tc>
          <w:tcPr>
            <w:tcW w:type="dxa" w:w="4703"/>
            <w:shd w:fill="1B3A5C"/>
          </w:tcPr>
          <w:p>
            <w:pPr>
              <w:jc w:val="left"/>
            </w:pPr>
            <w:r>
              <w:rPr>
                <w:rFonts w:ascii="Calibri" w:hAnsi="Calibri"/>
                <w:b/>
                <w:color w:val="FFFFFF"/>
                <w:sz w:val="20"/>
              </w:rPr>
              <w:t>Phase</w:t>
            </w:r>
          </w:p>
        </w:tc>
        <w:tc>
          <w:tcPr>
            <w:tcW w:type="dxa" w:w="4703"/>
            <w:shd w:fill="1B3A5C"/>
          </w:tcPr>
          <w:p>
            <w:pPr>
              <w:jc w:val="left"/>
            </w:pPr>
            <w:r>
              <w:rPr>
                <w:rFonts w:ascii="Calibri" w:hAnsi="Calibri"/>
                <w:b/>
                <w:color w:val="FFFFFF"/>
                <w:sz w:val="20"/>
              </w:rPr>
              <w:t>Description</w:t>
            </w:r>
          </w:p>
        </w:tc>
      </w:tr>
      <w:tr>
        <w:tc>
          <w:tcPr>
            <w:tcW w:type="dxa" w:w="4703"/>
          </w:tcPr>
          <w:p>
            <w:r>
              <w:rPr>
                <w:rFonts w:ascii="Calibri" w:hAnsi="Calibri"/>
                <w:b w:val="0"/>
                <w:color w:val="333333"/>
                <w:sz w:val="20"/>
              </w:rPr>
              <w:t>Advanced Surgical Independence</w:t>
            </w:r>
          </w:p>
        </w:tc>
        <w:tc>
          <w:tcPr>
            <w:tcW w:type="dxa" w:w="4703"/>
          </w:tcPr>
          <w:p>
            <w:r>
              <w:rPr>
                <w:rFonts w:ascii="Calibri" w:hAnsi="Calibri"/>
                <w:b w:val="0"/>
                <w:color w:val="333333"/>
                <w:sz w:val="20"/>
              </w:rPr>
              <w:t>Supervision at a distance; fellow serves as primary surgeon for all case complexities</w:t>
            </w:r>
          </w:p>
        </w:tc>
      </w:tr>
      <w:tr>
        <w:tc>
          <w:tcPr>
            <w:tcW w:type="dxa" w:w="4703"/>
            <w:shd w:fill="F0F4F8"/>
          </w:tcPr>
          <w:p>
            <w:r>
              <w:rPr>
                <w:rFonts w:ascii="Calibri" w:hAnsi="Calibri"/>
                <w:b w:val="0"/>
                <w:color w:val="333333"/>
                <w:sz w:val="20"/>
              </w:rPr>
              <w:t>Clinical Leadership</w:t>
            </w:r>
          </w:p>
        </w:tc>
        <w:tc>
          <w:tcPr>
            <w:tcW w:type="dxa" w:w="4703"/>
            <w:shd w:fill="F0F4F8"/>
          </w:tcPr>
          <w:p>
            <w:r>
              <w:rPr>
                <w:rFonts w:ascii="Calibri" w:hAnsi="Calibri"/>
                <w:b w:val="0"/>
                <w:color w:val="333333"/>
                <w:sz w:val="20"/>
              </w:rPr>
              <w:t>Lead complex case planning, multidisciplinary conferences, and patient management decisions</w:t>
            </w:r>
          </w:p>
        </w:tc>
      </w:tr>
      <w:tr>
        <w:tc>
          <w:tcPr>
            <w:tcW w:type="dxa" w:w="4703"/>
          </w:tcPr>
          <w:p>
            <w:r>
              <w:rPr>
                <w:rFonts w:ascii="Calibri" w:hAnsi="Calibri"/>
                <w:b w:val="0"/>
                <w:color w:val="333333"/>
                <w:sz w:val="20"/>
              </w:rPr>
              <w:t>Consultant Role</w:t>
            </w:r>
          </w:p>
        </w:tc>
        <w:tc>
          <w:tcPr>
            <w:tcW w:type="dxa" w:w="4703"/>
          </w:tcPr>
          <w:p>
            <w:r>
              <w:rPr>
                <w:rFonts w:ascii="Calibri" w:hAnsi="Calibri"/>
                <w:b w:val="0"/>
                <w:color w:val="333333"/>
                <w:sz w:val="20"/>
              </w:rPr>
              <w:t>Function as MIGS consultant to general OB/GYN attendings and ED physicians</w:t>
            </w:r>
          </w:p>
        </w:tc>
      </w:tr>
      <w:tr>
        <w:tc>
          <w:tcPr>
            <w:tcW w:type="dxa" w:w="4703"/>
            <w:shd w:fill="F0F4F8"/>
          </w:tcPr>
          <w:p>
            <w:r>
              <w:rPr>
                <w:rFonts w:ascii="Calibri" w:hAnsi="Calibri"/>
                <w:b w:val="0"/>
                <w:color w:val="333333"/>
                <w:sz w:val="20"/>
              </w:rPr>
              <w:t>Educational Leadership</w:t>
            </w:r>
          </w:p>
        </w:tc>
        <w:tc>
          <w:tcPr>
            <w:tcW w:type="dxa" w:w="4703"/>
            <w:shd w:fill="F0F4F8"/>
          </w:tcPr>
          <w:p>
            <w:r>
              <w:rPr>
                <w:rFonts w:ascii="Calibri" w:hAnsi="Calibri"/>
                <w:b w:val="0"/>
                <w:color w:val="333333"/>
                <w:sz w:val="20"/>
              </w:rPr>
              <w:t>Design and deliver resident didactic lectures; lead simulation lab sessions; mentor junior learners in the OR</w:t>
            </w:r>
          </w:p>
        </w:tc>
      </w:tr>
      <w:tr>
        <w:tc>
          <w:tcPr>
            <w:tcW w:type="dxa" w:w="4703"/>
          </w:tcPr>
          <w:p>
            <w:r>
              <w:rPr>
                <w:rFonts w:ascii="Calibri" w:hAnsi="Calibri"/>
                <w:b w:val="0"/>
                <w:color w:val="333333"/>
                <w:sz w:val="20"/>
              </w:rPr>
              <w:t>Research Leadership</w:t>
            </w:r>
          </w:p>
        </w:tc>
        <w:tc>
          <w:tcPr>
            <w:tcW w:type="dxa" w:w="4703"/>
          </w:tcPr>
          <w:p>
            <w:r>
              <w:rPr>
                <w:rFonts w:ascii="Calibri" w:hAnsi="Calibri"/>
                <w:b w:val="0"/>
                <w:color w:val="333333"/>
                <w:sz w:val="20"/>
              </w:rPr>
              <w:t>Lead research projects to completion and publication; present at national conferences as primary author</w:t>
            </w:r>
          </w:p>
        </w:tc>
      </w:tr>
      <w:tr>
        <w:tc>
          <w:tcPr>
            <w:tcW w:type="dxa" w:w="4703"/>
            <w:shd w:fill="F0F4F8"/>
          </w:tcPr>
          <w:p>
            <w:r>
              <w:rPr>
                <w:rFonts w:ascii="Calibri" w:hAnsi="Calibri"/>
                <w:b w:val="0"/>
                <w:color w:val="333333"/>
                <w:sz w:val="20"/>
              </w:rPr>
              <w:t>Quality Improvement</w:t>
            </w:r>
          </w:p>
        </w:tc>
        <w:tc>
          <w:tcPr>
            <w:tcW w:type="dxa" w:w="4703"/>
            <w:shd w:fill="F0F4F8"/>
          </w:tcPr>
          <w:p>
            <w:r>
              <w:rPr>
                <w:rFonts w:ascii="Calibri" w:hAnsi="Calibri"/>
                <w:b w:val="0"/>
                <w:color w:val="333333"/>
                <w:sz w:val="20"/>
              </w:rPr>
              <w:t>Lead departmental QI initiatives; participate in M&amp;M conferences as case presenter and discussion leader</w:t>
            </w:r>
          </w:p>
        </w:tc>
      </w:tr>
      <w:tr>
        <w:tc>
          <w:tcPr>
            <w:tcW w:type="dxa" w:w="4703"/>
          </w:tcPr>
          <w:p>
            <w:r>
              <w:rPr>
                <w:rFonts w:ascii="Calibri" w:hAnsi="Calibri"/>
                <w:b w:val="0"/>
                <w:color w:val="333333"/>
                <w:sz w:val="20"/>
              </w:rPr>
              <w:t>Transition to Practice</w:t>
            </w:r>
          </w:p>
        </w:tc>
        <w:tc>
          <w:tcPr>
            <w:tcW w:type="dxa" w:w="4703"/>
          </w:tcPr>
          <w:p>
            <w:r>
              <w:rPr>
                <w:rFonts w:ascii="Calibri" w:hAnsi="Calibri"/>
                <w:b w:val="0"/>
                <w:color w:val="333333"/>
                <w:sz w:val="20"/>
              </w:rPr>
              <w:t>Independent outpatient clinic management; pre-operative workup and surgical scheduling; post-op care leadership</w:t>
            </w:r>
          </w:p>
        </w:tc>
      </w:tr>
      <w:tr>
        <w:tc>
          <w:tcPr>
            <w:tcW w:type="dxa" w:w="4703"/>
            <w:shd w:fill="F0F4F8"/>
          </w:tcPr>
          <w:p>
            <w:r>
              <w:rPr>
                <w:rFonts w:ascii="Calibri" w:hAnsi="Calibri"/>
                <w:b w:val="0"/>
                <w:color w:val="333333"/>
                <w:sz w:val="20"/>
              </w:rPr>
              <w:t>Final Assessment</w:t>
            </w:r>
          </w:p>
        </w:tc>
        <w:tc>
          <w:tcPr>
            <w:tcW w:type="dxa" w:w="4703"/>
            <w:shd w:fill="F0F4F8"/>
          </w:tcPr>
          <w:p>
            <w:r>
              <w:rPr>
                <w:rFonts w:ascii="Calibri" w:hAnsi="Calibri"/>
                <w:b w:val="0"/>
                <w:color w:val="333333"/>
                <w:sz w:val="20"/>
              </w:rPr>
              <w:t>Comprehensive summative evaluation of independent practice readiness; multisource assessment</w:t>
            </w:r>
          </w:p>
        </w:tc>
      </w:tr>
    </w:tbl>
    <w:p/>
    <w:p>
      <w:pPr>
        <w:pStyle w:val="Heading2"/>
      </w:pPr>
      <w:r>
        <w:t>Year 3 Milestone Progression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3A5C"/>
          </w:tcPr>
          <w:p>
            <w:pPr>
              <w:jc w:val="left"/>
            </w:pPr>
            <w:r>
              <w:rPr>
                <w:rFonts w:ascii="Calibri" w:hAnsi="Calibri"/>
                <w:b/>
                <w:color w:val="FFFFFF"/>
                <w:sz w:val="20"/>
              </w:rPr>
              <w:t>Milestone Domain</w:t>
            </w:r>
          </w:p>
        </w:tc>
        <w:tc>
          <w:tcPr>
            <w:tcW w:type="dxa" w:w="2351"/>
            <w:shd w:fill="1B3A5C"/>
          </w:tcPr>
          <w:p>
            <w:pPr>
              <w:jc w:val="left"/>
            </w:pPr>
            <w:r>
              <w:rPr>
                <w:rFonts w:ascii="Calibri" w:hAnsi="Calibri"/>
                <w:b/>
                <w:color w:val="FFFFFF"/>
                <w:sz w:val="20"/>
              </w:rPr>
              <w:t>Year 1 Target</w:t>
            </w:r>
          </w:p>
        </w:tc>
        <w:tc>
          <w:tcPr>
            <w:tcW w:type="dxa" w:w="2351"/>
            <w:shd w:fill="1B3A5C"/>
          </w:tcPr>
          <w:p>
            <w:pPr>
              <w:jc w:val="left"/>
            </w:pPr>
            <w:r>
              <w:rPr>
                <w:rFonts w:ascii="Calibri" w:hAnsi="Calibri"/>
                <w:b/>
                <w:color w:val="FFFFFF"/>
                <w:sz w:val="20"/>
              </w:rPr>
              <w:t>Year 2 Target</w:t>
            </w:r>
          </w:p>
        </w:tc>
        <w:tc>
          <w:tcPr>
            <w:tcW w:type="dxa" w:w="2351"/>
            <w:shd w:fill="1B3A5C"/>
          </w:tcPr>
          <w:p>
            <w:pPr>
              <w:jc w:val="left"/>
            </w:pPr>
            <w:r>
              <w:rPr>
                <w:rFonts w:ascii="Calibri" w:hAnsi="Calibri"/>
                <w:b/>
                <w:color w:val="FFFFFF"/>
                <w:sz w:val="20"/>
              </w:rPr>
              <w:t>Year 3 Target</w:t>
            </w:r>
          </w:p>
        </w:tc>
      </w:tr>
      <w:tr>
        <w:tc>
          <w:tcPr>
            <w:tcW w:type="dxa" w:w="2351"/>
          </w:tcPr>
          <w:p>
            <w:r>
              <w:rPr>
                <w:rFonts w:ascii="Calibri" w:hAnsi="Calibri"/>
                <w:b w:val="0"/>
                <w:color w:val="333333"/>
                <w:sz w:val="20"/>
              </w:rPr>
              <w:t>Patient Care</w:t>
            </w:r>
          </w:p>
        </w:tc>
        <w:tc>
          <w:tcPr>
            <w:tcW w:type="dxa" w:w="2351"/>
          </w:tcPr>
          <w:p>
            <w:r>
              <w:rPr>
                <w:rFonts w:ascii="Calibri" w:hAnsi="Calibri"/>
                <w:b w:val="0"/>
                <w:color w:val="333333"/>
                <w:sz w:val="20"/>
              </w:rPr>
              <w:t>Level 2–3</w:t>
            </w:r>
          </w:p>
        </w:tc>
        <w:tc>
          <w:tcPr>
            <w:tcW w:type="dxa" w:w="2351"/>
          </w:tcPr>
          <w:p>
            <w:r>
              <w:rPr>
                <w:rFonts w:ascii="Calibri" w:hAnsi="Calibri"/>
                <w:b w:val="0"/>
                <w:color w:val="333333"/>
                <w:sz w:val="20"/>
              </w:rPr>
              <w:t>Level 3–4</w:t>
            </w:r>
          </w:p>
        </w:tc>
        <w:tc>
          <w:tcPr>
            <w:tcW w:type="dxa" w:w="2351"/>
          </w:tcPr>
          <w:p>
            <w:r>
              <w:rPr>
                <w:rFonts w:ascii="Calibri" w:hAnsi="Calibri"/>
                <w:b w:val="0"/>
                <w:color w:val="333333"/>
                <w:sz w:val="20"/>
              </w:rPr>
              <w:t>Level 4–5</w:t>
            </w:r>
          </w:p>
        </w:tc>
      </w:tr>
      <w:tr>
        <w:tc>
          <w:tcPr>
            <w:tcW w:type="dxa" w:w="2351"/>
            <w:shd w:fill="F0F4F8"/>
          </w:tcPr>
          <w:p>
            <w:r>
              <w:rPr>
                <w:rFonts w:ascii="Calibri" w:hAnsi="Calibri"/>
                <w:b w:val="0"/>
                <w:color w:val="333333"/>
                <w:sz w:val="20"/>
              </w:rPr>
              <w:t>Medical Knowledge</w:t>
            </w:r>
          </w:p>
        </w:tc>
        <w:tc>
          <w:tcPr>
            <w:tcW w:type="dxa" w:w="2351"/>
            <w:shd w:fill="F0F4F8"/>
          </w:tcPr>
          <w:p>
            <w:r>
              <w:rPr>
                <w:rFonts w:ascii="Calibri" w:hAnsi="Calibri"/>
                <w:b w:val="0"/>
                <w:color w:val="333333"/>
                <w:sz w:val="20"/>
              </w:rPr>
              <w:t>Level 2–3</w:t>
            </w:r>
          </w:p>
        </w:tc>
        <w:tc>
          <w:tcPr>
            <w:tcW w:type="dxa" w:w="2351"/>
            <w:shd w:fill="F0F4F8"/>
          </w:tcPr>
          <w:p>
            <w:r>
              <w:rPr>
                <w:rFonts w:ascii="Calibri" w:hAnsi="Calibri"/>
                <w:b w:val="0"/>
                <w:color w:val="333333"/>
                <w:sz w:val="20"/>
              </w:rPr>
              <w:t>Level 3–4</w:t>
            </w:r>
          </w:p>
        </w:tc>
        <w:tc>
          <w:tcPr>
            <w:tcW w:type="dxa" w:w="2351"/>
            <w:shd w:fill="F0F4F8"/>
          </w:tcPr>
          <w:p>
            <w:r>
              <w:rPr>
                <w:rFonts w:ascii="Calibri" w:hAnsi="Calibri"/>
                <w:b w:val="0"/>
                <w:color w:val="333333"/>
                <w:sz w:val="20"/>
              </w:rPr>
              <w:t>Level 4–5</w:t>
            </w:r>
          </w:p>
        </w:tc>
      </w:tr>
      <w:tr>
        <w:tc>
          <w:tcPr>
            <w:tcW w:type="dxa" w:w="2351"/>
          </w:tcPr>
          <w:p>
            <w:r>
              <w:rPr>
                <w:rFonts w:ascii="Calibri" w:hAnsi="Calibri"/>
                <w:b w:val="0"/>
                <w:color w:val="333333"/>
                <w:sz w:val="20"/>
              </w:rPr>
              <w:t>Practice-Based Learning</w:t>
            </w:r>
          </w:p>
        </w:tc>
        <w:tc>
          <w:tcPr>
            <w:tcW w:type="dxa" w:w="2351"/>
          </w:tcPr>
          <w:p>
            <w:r>
              <w:rPr>
                <w:rFonts w:ascii="Calibri" w:hAnsi="Calibri"/>
                <w:b w:val="0"/>
                <w:color w:val="333333"/>
                <w:sz w:val="20"/>
              </w:rPr>
              <w:t>Level 2</w:t>
            </w:r>
          </w:p>
        </w:tc>
        <w:tc>
          <w:tcPr>
            <w:tcW w:type="dxa" w:w="2351"/>
          </w:tcPr>
          <w:p>
            <w:r>
              <w:rPr>
                <w:rFonts w:ascii="Calibri" w:hAnsi="Calibri"/>
                <w:b w:val="0"/>
                <w:color w:val="333333"/>
                <w:sz w:val="20"/>
              </w:rPr>
              <w:t>Level 3</w:t>
            </w:r>
          </w:p>
        </w:tc>
        <w:tc>
          <w:tcPr>
            <w:tcW w:type="dxa" w:w="2351"/>
          </w:tcPr>
          <w:p>
            <w:r>
              <w:rPr>
                <w:rFonts w:ascii="Calibri" w:hAnsi="Calibri"/>
                <w:b w:val="0"/>
                <w:color w:val="333333"/>
                <w:sz w:val="20"/>
              </w:rPr>
              <w:t>Level 4–5</w:t>
            </w:r>
          </w:p>
        </w:tc>
      </w:tr>
      <w:tr>
        <w:tc>
          <w:tcPr>
            <w:tcW w:type="dxa" w:w="2351"/>
            <w:shd w:fill="F0F4F8"/>
          </w:tcPr>
          <w:p>
            <w:r>
              <w:rPr>
                <w:rFonts w:ascii="Calibri" w:hAnsi="Calibri"/>
                <w:b w:val="0"/>
                <w:color w:val="333333"/>
                <w:sz w:val="20"/>
              </w:rPr>
              <w:t>Interpersonal Communication</w:t>
            </w:r>
          </w:p>
        </w:tc>
        <w:tc>
          <w:tcPr>
            <w:tcW w:type="dxa" w:w="2351"/>
            <w:shd w:fill="F0F4F8"/>
          </w:tcPr>
          <w:p>
            <w:r>
              <w:rPr>
                <w:rFonts w:ascii="Calibri" w:hAnsi="Calibri"/>
                <w:b w:val="0"/>
                <w:color w:val="333333"/>
                <w:sz w:val="20"/>
              </w:rPr>
              <w:t>Level 2–3</w:t>
            </w:r>
          </w:p>
        </w:tc>
        <w:tc>
          <w:tcPr>
            <w:tcW w:type="dxa" w:w="2351"/>
            <w:shd w:fill="F0F4F8"/>
          </w:tcPr>
          <w:p>
            <w:r>
              <w:rPr>
                <w:rFonts w:ascii="Calibri" w:hAnsi="Calibri"/>
                <w:b w:val="0"/>
                <w:color w:val="333333"/>
                <w:sz w:val="20"/>
              </w:rPr>
              <w:t>Level 3–4</w:t>
            </w:r>
          </w:p>
        </w:tc>
        <w:tc>
          <w:tcPr>
            <w:tcW w:type="dxa" w:w="2351"/>
            <w:shd w:fill="F0F4F8"/>
          </w:tcPr>
          <w:p>
            <w:r>
              <w:rPr>
                <w:rFonts w:ascii="Calibri" w:hAnsi="Calibri"/>
                <w:b w:val="0"/>
                <w:color w:val="333333"/>
                <w:sz w:val="20"/>
              </w:rPr>
              <w:t>Level 4–5</w:t>
            </w:r>
          </w:p>
        </w:tc>
      </w:tr>
      <w:tr>
        <w:tc>
          <w:tcPr>
            <w:tcW w:type="dxa" w:w="2351"/>
          </w:tcPr>
          <w:p>
            <w:r>
              <w:rPr>
                <w:rFonts w:ascii="Calibri" w:hAnsi="Calibri"/>
                <w:b w:val="0"/>
                <w:color w:val="333333"/>
                <w:sz w:val="20"/>
              </w:rPr>
              <w:t>Professionalism</w:t>
            </w:r>
          </w:p>
        </w:tc>
        <w:tc>
          <w:tcPr>
            <w:tcW w:type="dxa" w:w="2351"/>
          </w:tcPr>
          <w:p>
            <w:r>
              <w:rPr>
                <w:rFonts w:ascii="Calibri" w:hAnsi="Calibri"/>
                <w:b w:val="0"/>
                <w:color w:val="333333"/>
                <w:sz w:val="20"/>
              </w:rPr>
              <w:t>Level 3</w:t>
            </w:r>
          </w:p>
        </w:tc>
        <w:tc>
          <w:tcPr>
            <w:tcW w:type="dxa" w:w="2351"/>
          </w:tcPr>
          <w:p>
            <w:r>
              <w:rPr>
                <w:rFonts w:ascii="Calibri" w:hAnsi="Calibri"/>
                <w:b w:val="0"/>
                <w:color w:val="333333"/>
                <w:sz w:val="20"/>
              </w:rPr>
              <w:t>Level 4</w:t>
            </w:r>
          </w:p>
        </w:tc>
        <w:tc>
          <w:tcPr>
            <w:tcW w:type="dxa" w:w="2351"/>
          </w:tcPr>
          <w:p>
            <w:r>
              <w:rPr>
                <w:rFonts w:ascii="Calibri" w:hAnsi="Calibri"/>
                <w:b w:val="0"/>
                <w:color w:val="333333"/>
                <w:sz w:val="20"/>
              </w:rPr>
              <w:t>Level 5</w:t>
            </w:r>
          </w:p>
        </w:tc>
      </w:tr>
      <w:tr>
        <w:tc>
          <w:tcPr>
            <w:tcW w:type="dxa" w:w="2351"/>
            <w:shd w:fill="F0F4F8"/>
          </w:tcPr>
          <w:p>
            <w:r>
              <w:rPr>
                <w:rFonts w:ascii="Calibri" w:hAnsi="Calibri"/>
                <w:b w:val="0"/>
                <w:color w:val="333333"/>
                <w:sz w:val="20"/>
              </w:rPr>
              <w:t>Systems-Based Practice</w:t>
            </w:r>
          </w:p>
        </w:tc>
        <w:tc>
          <w:tcPr>
            <w:tcW w:type="dxa" w:w="2351"/>
            <w:shd w:fill="F0F4F8"/>
          </w:tcPr>
          <w:p>
            <w:r>
              <w:rPr>
                <w:rFonts w:ascii="Calibri" w:hAnsi="Calibri"/>
                <w:b w:val="0"/>
                <w:color w:val="333333"/>
                <w:sz w:val="20"/>
              </w:rPr>
              <w:t>Level 2</w:t>
            </w:r>
          </w:p>
        </w:tc>
        <w:tc>
          <w:tcPr>
            <w:tcW w:type="dxa" w:w="2351"/>
            <w:shd w:fill="F0F4F8"/>
          </w:tcPr>
          <w:p>
            <w:r>
              <w:rPr>
                <w:rFonts w:ascii="Calibri" w:hAnsi="Calibri"/>
                <w:b w:val="0"/>
                <w:color w:val="333333"/>
                <w:sz w:val="20"/>
              </w:rPr>
              <w:t>Level 3</w:t>
            </w:r>
          </w:p>
        </w:tc>
        <w:tc>
          <w:tcPr>
            <w:tcW w:type="dxa" w:w="2351"/>
            <w:shd w:fill="F0F4F8"/>
          </w:tcPr>
          <w:p>
            <w:r>
              <w:rPr>
                <w:rFonts w:ascii="Calibri" w:hAnsi="Calibri"/>
                <w:b w:val="0"/>
                <w:color w:val="333333"/>
                <w:sz w:val="20"/>
              </w:rPr>
              <w:t>Level 4–5</w:t>
            </w:r>
          </w:p>
        </w:tc>
      </w:tr>
    </w:tbl>
    <w:p>
      <w:r>
        <w:br w:type="page"/>
      </w:r>
    </w:p>
    <w:p>
      <w:pPr>
        <w:jc w:val="left"/>
      </w:pPr>
      <w:r>
        <w:rPr>
          <w:rFonts w:ascii="Calibri" w:hAnsi="Calibri"/>
          <w:i/>
          <w:color w:val="2E86AB"/>
          <w:sz w:val="20"/>
        </w:rPr>
        <w:t>Section 7 • Year 3 Didactic Education Curriculum</w:t>
      </w:r>
    </w:p>
    <w:p>
      <w:pPr>
        <w:pStyle w:val="Heading1"/>
      </w:pPr>
      <w:r>
        <w:t>3-Year Didactics Schedule</w:t>
      </w:r>
    </w:p>
    <w:p>
      <w:pPr>
        <w:pStyle w:val="Heading2"/>
      </w:pPr>
      <w:r>
        <w:t>FMIGS Standardized National Curriculum</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3A5C"/>
          </w:tcPr>
          <w:p>
            <w:pPr>
              <w:jc w:val="left"/>
            </w:pPr>
            <w:r>
              <w:rPr>
                <w:rFonts w:ascii="Calibri" w:hAnsi="Calibri"/>
                <w:b/>
                <w:color w:val="FFFFFF"/>
                <w:sz w:val="20"/>
              </w:rPr>
              <w:t>Month</w:t>
            </w:r>
          </w:p>
        </w:tc>
        <w:tc>
          <w:tcPr>
            <w:tcW w:type="dxa" w:w="2351"/>
            <w:shd w:fill="1B3A5C"/>
          </w:tcPr>
          <w:p>
            <w:pPr>
              <w:jc w:val="left"/>
            </w:pPr>
            <w:r>
              <w:rPr>
                <w:rFonts w:ascii="Calibri" w:hAnsi="Calibri"/>
                <w:b/>
                <w:color w:val="FFFFFF"/>
                <w:sz w:val="20"/>
              </w:rPr>
              <w:t>Year 1</w:t>
            </w:r>
          </w:p>
        </w:tc>
        <w:tc>
          <w:tcPr>
            <w:tcW w:type="dxa" w:w="2351"/>
            <w:shd w:fill="1B3A5C"/>
          </w:tcPr>
          <w:p>
            <w:pPr>
              <w:jc w:val="left"/>
            </w:pPr>
            <w:r>
              <w:rPr>
                <w:rFonts w:ascii="Calibri" w:hAnsi="Calibri"/>
                <w:b/>
                <w:color w:val="FFFFFF"/>
                <w:sz w:val="20"/>
              </w:rPr>
              <w:t>Year 2</w:t>
            </w:r>
          </w:p>
        </w:tc>
        <w:tc>
          <w:tcPr>
            <w:tcW w:type="dxa" w:w="2351"/>
            <w:shd w:fill="1B3A5C"/>
          </w:tcPr>
          <w:p>
            <w:pPr>
              <w:jc w:val="left"/>
            </w:pPr>
            <w:r>
              <w:rPr>
                <w:rFonts w:ascii="Calibri" w:hAnsi="Calibri"/>
                <w:b/>
                <w:color w:val="FFFFFF"/>
                <w:sz w:val="20"/>
              </w:rPr>
              <w:t>Year 3</w:t>
            </w:r>
          </w:p>
        </w:tc>
      </w:tr>
      <w:tr>
        <w:tc>
          <w:tcPr>
            <w:tcW w:type="dxa" w:w="2351"/>
          </w:tcPr>
          <w:p>
            <w:r>
              <w:rPr>
                <w:rFonts w:ascii="Calibri" w:hAnsi="Calibri"/>
                <w:b w:val="0"/>
                <w:color w:val="333333"/>
                <w:sz w:val="20"/>
              </w:rPr>
              <w:t>July</w:t>
            </w:r>
          </w:p>
        </w:tc>
        <w:tc>
          <w:tcPr>
            <w:tcW w:type="dxa" w:w="2351"/>
          </w:tcPr>
          <w:p>
            <w:r>
              <w:rPr>
                <w:rFonts w:ascii="Calibri" w:hAnsi="Calibri"/>
                <w:b w:val="0"/>
                <w:color w:val="333333"/>
                <w:sz w:val="20"/>
              </w:rPr>
              <w:t>Abdominal and Pelvic Anatomy &amp; Retroperitoneal Dissection</w:t>
            </w:r>
          </w:p>
        </w:tc>
        <w:tc>
          <w:tcPr>
            <w:tcW w:type="dxa" w:w="2351"/>
          </w:tcPr>
          <w:p>
            <w:r>
              <w:rPr>
                <w:rFonts w:ascii="Calibri" w:hAnsi="Calibri"/>
                <w:b w:val="0"/>
                <w:color w:val="333333"/>
                <w:sz w:val="20"/>
              </w:rPr>
              <w:t>Tissue Retrieval and Extraction</w:t>
            </w:r>
          </w:p>
        </w:tc>
        <w:tc>
          <w:tcPr>
            <w:tcW w:type="dxa" w:w="2351"/>
          </w:tcPr>
          <w:p>
            <w:r>
              <w:rPr>
                <w:rFonts w:ascii="Calibri" w:hAnsi="Calibri"/>
                <w:b w:val="0"/>
                <w:color w:val="333333"/>
                <w:sz w:val="20"/>
              </w:rPr>
              <w:t>Tissue Retrieval — Advanced Applications &amp; Complications Management</w:t>
            </w:r>
          </w:p>
        </w:tc>
      </w:tr>
      <w:tr>
        <w:tc>
          <w:tcPr>
            <w:tcW w:type="dxa" w:w="2351"/>
            <w:shd w:fill="F0F4F8"/>
          </w:tcPr>
          <w:p>
            <w:r>
              <w:rPr>
                <w:rFonts w:ascii="Calibri" w:hAnsi="Calibri"/>
                <w:b w:val="0"/>
                <w:color w:val="333333"/>
                <w:sz w:val="20"/>
              </w:rPr>
              <w:t>August</w:t>
            </w:r>
          </w:p>
        </w:tc>
        <w:tc>
          <w:tcPr>
            <w:tcW w:type="dxa" w:w="2351"/>
            <w:shd w:fill="F0F4F8"/>
          </w:tcPr>
          <w:p>
            <w:r>
              <w:rPr>
                <w:rFonts w:ascii="Calibri" w:hAnsi="Calibri"/>
                <w:b w:val="0"/>
                <w:color w:val="333333"/>
                <w:sz w:val="20"/>
              </w:rPr>
              <w:t>Menstrual Cycle Physiology &amp; AUB</w:t>
            </w:r>
          </w:p>
        </w:tc>
        <w:tc>
          <w:tcPr>
            <w:tcW w:type="dxa" w:w="2351"/>
            <w:shd w:fill="F0F4F8"/>
          </w:tcPr>
          <w:p>
            <w:r>
              <w:rPr>
                <w:rFonts w:ascii="Calibri" w:hAnsi="Calibri"/>
                <w:b w:val="0"/>
                <w:color w:val="333333"/>
                <w:sz w:val="20"/>
              </w:rPr>
              <w:t>Endometriosis (Medical)</w:t>
            </w:r>
          </w:p>
        </w:tc>
        <w:tc>
          <w:tcPr>
            <w:tcW w:type="dxa" w:w="2351"/>
            <w:shd w:fill="F0F4F8"/>
          </w:tcPr>
          <w:p>
            <w:r>
              <w:rPr>
                <w:rFonts w:ascii="Calibri" w:hAnsi="Calibri"/>
                <w:b w:val="0"/>
                <w:color w:val="333333"/>
                <w:sz w:val="20"/>
              </w:rPr>
              <w:t>Endometriosis (Medical) — Refractory Disease &amp; Multidisciplinary Mgmt</w:t>
            </w:r>
          </w:p>
        </w:tc>
      </w:tr>
      <w:tr>
        <w:tc>
          <w:tcPr>
            <w:tcW w:type="dxa" w:w="2351"/>
          </w:tcPr>
          <w:p>
            <w:r>
              <w:rPr>
                <w:rFonts w:ascii="Calibri" w:hAnsi="Calibri"/>
                <w:b w:val="0"/>
                <w:color w:val="333333"/>
                <w:sz w:val="20"/>
              </w:rPr>
              <w:t>September</w:t>
            </w:r>
          </w:p>
        </w:tc>
        <w:tc>
          <w:tcPr>
            <w:tcW w:type="dxa" w:w="2351"/>
          </w:tcPr>
          <w:p>
            <w:r>
              <w:rPr>
                <w:rFonts w:ascii="Calibri" w:hAnsi="Calibri"/>
                <w:b w:val="0"/>
                <w:color w:val="333333"/>
                <w:sz w:val="20"/>
              </w:rPr>
              <w:t>Perioperative Management</w:t>
            </w:r>
          </w:p>
        </w:tc>
        <w:tc>
          <w:tcPr>
            <w:tcW w:type="dxa" w:w="2351"/>
          </w:tcPr>
          <w:p>
            <w:r>
              <w:rPr>
                <w:rFonts w:ascii="Calibri" w:hAnsi="Calibri"/>
                <w:b w:val="0"/>
                <w:color w:val="333333"/>
                <w:sz w:val="20"/>
              </w:rPr>
              <w:t>Endometriosis (Surgical)</w:t>
            </w:r>
          </w:p>
        </w:tc>
        <w:tc>
          <w:tcPr>
            <w:tcW w:type="dxa" w:w="2351"/>
          </w:tcPr>
          <w:p>
            <w:r>
              <w:rPr>
                <w:rFonts w:ascii="Calibri" w:hAnsi="Calibri"/>
                <w:b w:val="0"/>
                <w:color w:val="333333"/>
                <w:sz w:val="20"/>
              </w:rPr>
              <w:t>Endometriosis (Surgical) — Complex DIE Resection &amp; Multi-Organ</w:t>
            </w:r>
          </w:p>
        </w:tc>
      </w:tr>
      <w:tr>
        <w:tc>
          <w:tcPr>
            <w:tcW w:type="dxa" w:w="2351"/>
            <w:shd w:fill="F0F4F8"/>
          </w:tcPr>
          <w:p>
            <w:r>
              <w:rPr>
                <w:rFonts w:ascii="Calibri" w:hAnsi="Calibri"/>
                <w:b w:val="0"/>
                <w:color w:val="333333"/>
                <w:sz w:val="20"/>
              </w:rPr>
              <w:t>October</w:t>
            </w:r>
          </w:p>
        </w:tc>
        <w:tc>
          <w:tcPr>
            <w:tcW w:type="dxa" w:w="2351"/>
            <w:shd w:fill="F0F4F8"/>
          </w:tcPr>
          <w:p>
            <w:r>
              <w:rPr>
                <w:rFonts w:ascii="Calibri" w:hAnsi="Calibri"/>
                <w:b w:val="0"/>
                <w:color w:val="333333"/>
                <w:sz w:val="20"/>
              </w:rPr>
              <w:t>Principles of Energy Sources</w:t>
            </w:r>
          </w:p>
        </w:tc>
        <w:tc>
          <w:tcPr>
            <w:tcW w:type="dxa" w:w="2351"/>
            <w:shd w:fill="F0F4F8"/>
          </w:tcPr>
          <w:p>
            <w:r>
              <w:rPr>
                <w:rFonts w:ascii="Calibri" w:hAnsi="Calibri"/>
                <w:b w:val="0"/>
                <w:color w:val="333333"/>
                <w:sz w:val="20"/>
              </w:rPr>
              <w:t>Adenomyosis</w:t>
            </w:r>
          </w:p>
        </w:tc>
        <w:tc>
          <w:tcPr>
            <w:tcW w:type="dxa" w:w="2351"/>
            <w:shd w:fill="F0F4F8"/>
          </w:tcPr>
          <w:p>
            <w:r>
              <w:rPr>
                <w:rFonts w:ascii="Calibri" w:hAnsi="Calibri"/>
                <w:b w:val="0"/>
                <w:color w:val="333333"/>
                <w:sz w:val="20"/>
              </w:rPr>
              <w:t>Adenomyosis — Advanced Imaging, Fertility-Sparing Surgery &amp; Novel Tx</w:t>
            </w:r>
          </w:p>
        </w:tc>
      </w:tr>
      <w:tr>
        <w:tc>
          <w:tcPr>
            <w:tcW w:type="dxa" w:w="2351"/>
          </w:tcPr>
          <w:p>
            <w:r>
              <w:rPr>
                <w:rFonts w:ascii="Calibri" w:hAnsi="Calibri"/>
                <w:b w:val="0"/>
                <w:color w:val="333333"/>
                <w:sz w:val="20"/>
              </w:rPr>
              <w:t>November</w:t>
            </w:r>
          </w:p>
        </w:tc>
        <w:tc>
          <w:tcPr>
            <w:tcW w:type="dxa" w:w="2351"/>
          </w:tcPr>
          <w:p>
            <w:r>
              <w:rPr>
                <w:rFonts w:ascii="Calibri" w:hAnsi="Calibri"/>
                <w:b w:val="0"/>
                <w:color w:val="333333"/>
                <w:sz w:val="20"/>
              </w:rPr>
              <w:t>Essentials of Hysteroscopy &amp; Hysteroscopy Complications</w:t>
            </w:r>
          </w:p>
        </w:tc>
        <w:tc>
          <w:tcPr>
            <w:tcW w:type="dxa" w:w="2351"/>
          </w:tcPr>
          <w:p>
            <w:r>
              <w:rPr>
                <w:rFonts w:ascii="Calibri" w:hAnsi="Calibri"/>
                <w:b w:val="0"/>
                <w:color w:val="333333"/>
                <w:sz w:val="20"/>
              </w:rPr>
              <w:t>Acute Pelvic Pain</w:t>
            </w:r>
          </w:p>
        </w:tc>
        <w:tc>
          <w:tcPr>
            <w:tcW w:type="dxa" w:w="2351"/>
          </w:tcPr>
          <w:p>
            <w:r>
              <w:rPr>
                <w:rFonts w:ascii="Calibri" w:hAnsi="Calibri"/>
                <w:b w:val="0"/>
                <w:color w:val="333333"/>
                <w:sz w:val="20"/>
              </w:rPr>
              <w:t>Acute Pelvic Pain — Emergency Mgmt &amp; Diagnostic Algorithms</w:t>
            </w:r>
          </w:p>
        </w:tc>
      </w:tr>
      <w:tr>
        <w:tc>
          <w:tcPr>
            <w:tcW w:type="dxa" w:w="2351"/>
            <w:shd w:fill="F0F4F8"/>
          </w:tcPr>
          <w:p>
            <w:r>
              <w:rPr>
                <w:rFonts w:ascii="Calibri" w:hAnsi="Calibri"/>
                <w:b w:val="0"/>
                <w:color w:val="333333"/>
                <w:sz w:val="20"/>
              </w:rPr>
              <w:t>December</w:t>
            </w:r>
          </w:p>
        </w:tc>
        <w:tc>
          <w:tcPr>
            <w:tcW w:type="dxa" w:w="2351"/>
            <w:shd w:fill="F0F4F8"/>
          </w:tcPr>
          <w:p>
            <w:r>
              <w:rPr>
                <w:rFonts w:ascii="Calibri" w:hAnsi="Calibri"/>
                <w:b w:val="0"/>
                <w:color w:val="333333"/>
                <w:sz w:val="20"/>
              </w:rPr>
              <w:t>Essentials of Laparoscopy &amp; Robotic Surgery</w:t>
            </w:r>
          </w:p>
        </w:tc>
        <w:tc>
          <w:tcPr>
            <w:tcW w:type="dxa" w:w="2351"/>
            <w:shd w:fill="F0F4F8"/>
          </w:tcPr>
          <w:p>
            <w:r>
              <w:rPr>
                <w:rFonts w:ascii="Calibri" w:hAnsi="Calibri"/>
                <w:b w:val="0"/>
                <w:color w:val="333333"/>
                <w:sz w:val="20"/>
              </w:rPr>
              <w:t>Chronic Pelvic Pain</w:t>
            </w:r>
          </w:p>
        </w:tc>
        <w:tc>
          <w:tcPr>
            <w:tcW w:type="dxa" w:w="2351"/>
            <w:shd w:fill="F0F4F8"/>
          </w:tcPr>
          <w:p>
            <w:r>
              <w:rPr>
                <w:rFonts w:ascii="Calibri" w:hAnsi="Calibri"/>
                <w:b w:val="0"/>
                <w:color w:val="333333"/>
                <w:sz w:val="20"/>
              </w:rPr>
              <w:t>Chronic Pelvic Pain — Multidisciplinary Integration &amp; Neuromodulation</w:t>
            </w:r>
          </w:p>
        </w:tc>
      </w:tr>
      <w:tr>
        <w:tc>
          <w:tcPr>
            <w:tcW w:type="dxa" w:w="2351"/>
          </w:tcPr>
          <w:p>
            <w:r>
              <w:rPr>
                <w:rFonts w:ascii="Calibri" w:hAnsi="Calibri"/>
                <w:b w:val="0"/>
                <w:color w:val="333333"/>
                <w:sz w:val="20"/>
              </w:rPr>
              <w:t>January</w:t>
            </w:r>
          </w:p>
        </w:tc>
        <w:tc>
          <w:tcPr>
            <w:tcW w:type="dxa" w:w="2351"/>
          </w:tcPr>
          <w:p>
            <w:r>
              <w:rPr>
                <w:rFonts w:ascii="Calibri" w:hAnsi="Calibri"/>
                <w:b w:val="0"/>
                <w:color w:val="333333"/>
                <w:sz w:val="20"/>
              </w:rPr>
              <w:t>Essentials of Vaginal Surgery</w:t>
            </w:r>
          </w:p>
        </w:tc>
        <w:tc>
          <w:tcPr>
            <w:tcW w:type="dxa" w:w="2351"/>
          </w:tcPr>
          <w:p>
            <w:r>
              <w:rPr>
                <w:rFonts w:ascii="Calibri" w:hAnsi="Calibri"/>
                <w:b w:val="0"/>
                <w:color w:val="333333"/>
                <w:sz w:val="20"/>
              </w:rPr>
              <w:t>Adnexal Pathology &amp; Surgery</w:t>
            </w:r>
          </w:p>
        </w:tc>
        <w:tc>
          <w:tcPr>
            <w:tcW w:type="dxa" w:w="2351"/>
          </w:tcPr>
          <w:p>
            <w:r>
              <w:rPr>
                <w:rFonts w:ascii="Calibri" w:hAnsi="Calibri"/>
                <w:b w:val="0"/>
                <w:color w:val="333333"/>
                <w:sz w:val="20"/>
              </w:rPr>
              <w:t>Adnexal Pathology — Complex Masses, Triage &amp; Fertility Preservation</w:t>
            </w:r>
          </w:p>
        </w:tc>
      </w:tr>
      <w:tr>
        <w:tc>
          <w:tcPr>
            <w:tcW w:type="dxa" w:w="2351"/>
            <w:shd w:fill="F0F4F8"/>
          </w:tcPr>
          <w:p>
            <w:r>
              <w:rPr>
                <w:rFonts w:ascii="Calibri" w:hAnsi="Calibri"/>
                <w:b w:val="0"/>
                <w:color w:val="333333"/>
                <w:sz w:val="20"/>
              </w:rPr>
              <w:t>February</w:t>
            </w:r>
          </w:p>
        </w:tc>
        <w:tc>
          <w:tcPr>
            <w:tcW w:type="dxa" w:w="2351"/>
            <w:shd w:fill="F0F4F8"/>
          </w:tcPr>
          <w:p>
            <w:r>
              <w:rPr>
                <w:rFonts w:ascii="Calibri" w:hAnsi="Calibri"/>
                <w:b w:val="0"/>
                <w:color w:val="333333"/>
                <w:sz w:val="20"/>
              </w:rPr>
              <w:t>Fundamentals of Hysterectomy</w:t>
            </w:r>
          </w:p>
        </w:tc>
        <w:tc>
          <w:tcPr>
            <w:tcW w:type="dxa" w:w="2351"/>
            <w:shd w:fill="F0F4F8"/>
          </w:tcPr>
          <w:p>
            <w:r>
              <w:rPr>
                <w:rFonts w:ascii="Calibri" w:hAnsi="Calibri"/>
                <w:b w:val="0"/>
                <w:color w:val="333333"/>
                <w:sz w:val="20"/>
              </w:rPr>
              <w:t>Congenital Anomalies of the Urogenital Tract</w:t>
            </w:r>
          </w:p>
        </w:tc>
        <w:tc>
          <w:tcPr>
            <w:tcW w:type="dxa" w:w="2351"/>
            <w:shd w:fill="F0F4F8"/>
          </w:tcPr>
          <w:p>
            <w:r>
              <w:rPr>
                <w:rFonts w:ascii="Calibri" w:hAnsi="Calibri"/>
                <w:b w:val="0"/>
                <w:color w:val="333333"/>
                <w:sz w:val="20"/>
              </w:rPr>
              <w:t>Congenital Anomalies — Advanced Reconstructive Techniques</w:t>
            </w:r>
          </w:p>
        </w:tc>
      </w:tr>
      <w:tr>
        <w:tc>
          <w:tcPr>
            <w:tcW w:type="dxa" w:w="2351"/>
          </w:tcPr>
          <w:p>
            <w:r>
              <w:rPr>
                <w:rFonts w:ascii="Calibri" w:hAnsi="Calibri"/>
                <w:b w:val="0"/>
                <w:color w:val="333333"/>
                <w:sz w:val="20"/>
              </w:rPr>
              <w:t>March</w:t>
            </w:r>
          </w:p>
        </w:tc>
        <w:tc>
          <w:tcPr>
            <w:tcW w:type="dxa" w:w="2351"/>
          </w:tcPr>
          <w:p>
            <w:r>
              <w:rPr>
                <w:rFonts w:ascii="Calibri" w:hAnsi="Calibri"/>
                <w:b w:val="0"/>
                <w:color w:val="333333"/>
                <w:sz w:val="20"/>
              </w:rPr>
              <w:t>Surgical Complications (General, Infectious, Neuropathic)</w:t>
            </w:r>
          </w:p>
        </w:tc>
        <w:tc>
          <w:tcPr>
            <w:tcW w:type="dxa" w:w="2351"/>
          </w:tcPr>
          <w:p>
            <w:r>
              <w:rPr>
                <w:rFonts w:ascii="Calibri" w:hAnsi="Calibri"/>
                <w:b w:val="0"/>
                <w:color w:val="333333"/>
                <w:sz w:val="20"/>
              </w:rPr>
              <w:t>Cesarean Scar Defects/Isthmocele</w:t>
            </w:r>
          </w:p>
        </w:tc>
        <w:tc>
          <w:tcPr>
            <w:tcW w:type="dxa" w:w="2351"/>
          </w:tcPr>
          <w:p>
            <w:r>
              <w:rPr>
                <w:rFonts w:ascii="Calibri" w:hAnsi="Calibri"/>
                <w:b w:val="0"/>
                <w:color w:val="333333"/>
                <w:sz w:val="20"/>
              </w:rPr>
              <w:t>Cesarean Scar Defects/Isthmocele — Advanced Repair &amp; ICG Applications</w:t>
            </w:r>
          </w:p>
        </w:tc>
      </w:tr>
      <w:tr>
        <w:tc>
          <w:tcPr>
            <w:tcW w:type="dxa" w:w="2351"/>
            <w:shd w:fill="F0F4F8"/>
          </w:tcPr>
          <w:p>
            <w:r>
              <w:rPr>
                <w:rFonts w:ascii="Calibri" w:hAnsi="Calibri"/>
                <w:b w:val="0"/>
                <w:color w:val="333333"/>
                <w:sz w:val="20"/>
              </w:rPr>
              <w:t>April</w:t>
            </w:r>
          </w:p>
        </w:tc>
        <w:tc>
          <w:tcPr>
            <w:tcW w:type="dxa" w:w="2351"/>
            <w:shd w:fill="F0F4F8"/>
          </w:tcPr>
          <w:p>
            <w:r>
              <w:rPr>
                <w:rFonts w:ascii="Calibri" w:hAnsi="Calibri"/>
                <w:b w:val="0"/>
                <w:color w:val="333333"/>
                <w:sz w:val="20"/>
              </w:rPr>
              <w:t>Surgical Complications (Vascular, Bleeding, Vaginal Cuff)</w:t>
            </w:r>
          </w:p>
        </w:tc>
        <w:tc>
          <w:tcPr>
            <w:tcW w:type="dxa" w:w="2351"/>
            <w:shd w:fill="F0F4F8"/>
          </w:tcPr>
          <w:p>
            <w:r>
              <w:rPr>
                <w:rFonts w:ascii="Calibri" w:hAnsi="Calibri"/>
                <w:b w:val="0"/>
                <w:color w:val="333333"/>
                <w:sz w:val="20"/>
              </w:rPr>
              <w:t>Surgery in Special Populations &amp; Risk Reducing Surgery</w:t>
            </w:r>
          </w:p>
        </w:tc>
        <w:tc>
          <w:tcPr>
            <w:tcW w:type="dxa" w:w="2351"/>
            <w:shd w:fill="F0F4F8"/>
          </w:tcPr>
          <w:p>
            <w:r>
              <w:rPr>
                <w:rFonts w:ascii="Calibri" w:hAnsi="Calibri"/>
                <w:b w:val="0"/>
                <w:color w:val="333333"/>
                <w:sz w:val="20"/>
              </w:rPr>
              <w:t>Surgery in Special Populations — Obesity, Immunocompromised, Onc Risk</w:t>
            </w:r>
          </w:p>
        </w:tc>
      </w:tr>
      <w:tr>
        <w:tc>
          <w:tcPr>
            <w:tcW w:type="dxa" w:w="2351"/>
          </w:tcPr>
          <w:p>
            <w:r>
              <w:rPr>
                <w:rFonts w:ascii="Calibri" w:hAnsi="Calibri"/>
                <w:b w:val="0"/>
                <w:color w:val="333333"/>
                <w:sz w:val="20"/>
              </w:rPr>
              <w:t>May</w:t>
            </w:r>
          </w:p>
        </w:tc>
        <w:tc>
          <w:tcPr>
            <w:tcW w:type="dxa" w:w="2351"/>
          </w:tcPr>
          <w:p>
            <w:r>
              <w:rPr>
                <w:rFonts w:ascii="Calibri" w:hAnsi="Calibri"/>
                <w:b w:val="0"/>
                <w:color w:val="333333"/>
                <w:sz w:val="20"/>
              </w:rPr>
              <w:t>Surgical Complications (Urological, Bowel)</w:t>
            </w:r>
          </w:p>
        </w:tc>
        <w:tc>
          <w:tcPr>
            <w:tcW w:type="dxa" w:w="2351"/>
          </w:tcPr>
          <w:p>
            <w:r>
              <w:rPr>
                <w:rFonts w:ascii="Calibri" w:hAnsi="Calibri"/>
                <w:b w:val="0"/>
                <w:color w:val="333333"/>
                <w:sz w:val="20"/>
              </w:rPr>
              <w:t>Pelvic Floor Disorders</w:t>
            </w:r>
          </w:p>
        </w:tc>
        <w:tc>
          <w:tcPr>
            <w:tcW w:type="dxa" w:w="2351"/>
          </w:tcPr>
          <w:p>
            <w:r>
              <w:rPr>
                <w:rFonts w:ascii="Calibri" w:hAnsi="Calibri"/>
                <w:b w:val="0"/>
                <w:color w:val="333333"/>
                <w:sz w:val="20"/>
              </w:rPr>
              <w:t>Pelvic Floor Disorders — Advanced Urogynecology &amp; Mesh Considerations</w:t>
            </w:r>
          </w:p>
        </w:tc>
      </w:tr>
      <w:tr>
        <w:tc>
          <w:tcPr>
            <w:tcW w:type="dxa" w:w="2351"/>
            <w:shd w:fill="F0F4F8"/>
          </w:tcPr>
          <w:p>
            <w:r>
              <w:rPr>
                <w:rFonts w:ascii="Calibri" w:hAnsi="Calibri"/>
                <w:b w:val="0"/>
                <w:color w:val="333333"/>
                <w:sz w:val="20"/>
              </w:rPr>
              <w:t>June</w:t>
            </w:r>
          </w:p>
        </w:tc>
        <w:tc>
          <w:tcPr>
            <w:tcW w:type="dxa" w:w="2351"/>
            <w:shd w:fill="F0F4F8"/>
          </w:tcPr>
          <w:p>
            <w:r>
              <w:rPr>
                <w:rFonts w:ascii="Calibri" w:hAnsi="Calibri"/>
                <w:b w:val="0"/>
                <w:color w:val="333333"/>
                <w:sz w:val="20"/>
              </w:rPr>
              <w:t>Uterine Leiomyoma &amp; Myomectomy</w:t>
            </w:r>
          </w:p>
        </w:tc>
        <w:tc>
          <w:tcPr>
            <w:tcW w:type="dxa" w:w="2351"/>
            <w:shd w:fill="F0F4F8"/>
          </w:tcPr>
          <w:p>
            <w:r>
              <w:rPr>
                <w:rFonts w:ascii="Calibri" w:hAnsi="Calibri"/>
                <w:b w:val="0"/>
                <w:color w:val="333333"/>
                <w:sz w:val="20"/>
              </w:rPr>
              <w:t>Professionalism/Emerging Topics</w:t>
            </w:r>
          </w:p>
        </w:tc>
        <w:tc>
          <w:tcPr>
            <w:tcW w:type="dxa" w:w="2351"/>
            <w:shd w:fill="F0F4F8"/>
          </w:tcPr>
          <w:p>
            <w:r>
              <w:rPr>
                <w:rFonts w:ascii="Calibri" w:hAnsi="Calibri"/>
                <w:b w:val="0"/>
                <w:color w:val="333333"/>
                <w:sz w:val="20"/>
              </w:rPr>
              <w:t>Professionalism, Practice Building, &amp; Transition to Independent Practice</w:t>
            </w:r>
          </w:p>
        </w:tc>
      </w:tr>
    </w:tbl>
    <w:p>
      <w:r>
        <w:br w:type="page"/>
      </w:r>
    </w:p>
    <w:p>
      <w:pPr>
        <w:pStyle w:val="Heading2"/>
      </w:pPr>
      <w:r>
        <w:t>July (Year 3)</w:t>
      </w:r>
    </w:p>
    <w:p>
      <w:r>
        <w:rPr>
          <w:b/>
          <w:color w:val="1B3A5C"/>
          <w:sz w:val="24"/>
        </w:rPr>
        <w:t>Tissue Retrieval and Extraction — Advanced Applications &amp; Complications Management</w:t>
      </w:r>
    </w:p>
    <w:p>
      <w:r>
        <w:rPr>
          <w:b/>
        </w:rPr>
        <w:t xml:space="preserve">Faculty: </w:t>
      </w:r>
      <w:r>
        <w:t>Dr. Maria Teresa Tam (Primary), Dr. Sankey-Thomas (Secondary)</w:t>
      </w:r>
    </w:p>
    <w:p>
      <w:r>
        <w:rPr>
          <w:b/>
          <w:color w:val="2E86AB"/>
        </w:rPr>
        <w:t>Objectives</w:t>
      </w:r>
    </w:p>
    <w:p>
      <w:pPr>
        <w:pStyle w:val="ListBullet"/>
      </w:pPr>
      <w:r>
        <w:t>Master all modalities of tissue retrieval including in-bag morcellation, mini-laparotomy extraction, vaginal extraction, and contained power morcellation</w:t>
      </w:r>
    </w:p>
    <w:p>
      <w:pPr>
        <w:pStyle w:val="ListBullet"/>
      </w:pPr>
      <w:r>
        <w:t>Independently manage complications of tissue extraction including port-site hernia, uncontained morcellation, and parasitic leiomyoma</w:t>
      </w:r>
    </w:p>
    <w:p>
      <w:pPr>
        <w:pStyle w:val="ListBullet"/>
      </w:pPr>
      <w:r>
        <w:t>Lead informed consent discussions regarding tissue retrieval options, risks, and FDA communications</w:t>
      </w:r>
    </w:p>
    <w:p>
      <w:pPr>
        <w:pStyle w:val="ListBullet"/>
      </w:pPr>
      <w:r>
        <w:t>Deliver resident-level lecture on tissue retrieval fundamentals; lead simulation lab on contained morcellation</w:t>
      </w:r>
    </w:p>
    <w:p>
      <w:r>
        <w:rPr>
          <w:b/>
          <w:color w:val="2E86AB"/>
        </w:rPr>
        <w:t>Articles</w:t>
      </w:r>
    </w:p>
    <w:p>
      <w:r>
        <w:t>1. Tissue extraction task force literature (AAGL)</w:t>
      </w:r>
    </w:p>
    <w:p>
      <w:r>
        <w:t>2. FDA Safety Communication updates on laparoscopic power morcellation</w:t>
      </w:r>
    </w:p>
    <w:p>
      <w:r>
        <w:t>3. Current literature on parasitic leiomyoma following morcellation</w:t>
      </w:r>
    </w:p>
    <w:p/>
    <w:p>
      <w:pPr>
        <w:pStyle w:val="Heading2"/>
      </w:pPr>
      <w:r>
        <w:t>August (Year 3)</w:t>
      </w:r>
    </w:p>
    <w:p>
      <w:r>
        <w:rPr>
          <w:b/>
          <w:color w:val="1B3A5C"/>
          <w:sz w:val="24"/>
        </w:rPr>
        <w:t>Endometriosis (Medical) — Refractory Disease &amp; Multidisciplinary Management</w:t>
      </w:r>
    </w:p>
    <w:p>
      <w:r>
        <w:rPr>
          <w:b/>
        </w:rPr>
        <w:t xml:space="preserve">Faculty: </w:t>
      </w:r>
      <w:r>
        <w:t>Dr. Maria Teresa Tam (Primary), Dr. Sankey-Thomas (Secondary)</w:t>
      </w:r>
    </w:p>
    <w:p>
      <w:r>
        <w:rPr>
          <w:b/>
          <w:color w:val="2E86AB"/>
        </w:rPr>
        <w:t>Objectives</w:t>
      </w:r>
    </w:p>
    <w:p>
      <w:pPr>
        <w:pStyle w:val="ListBullet"/>
      </w:pPr>
      <w:r>
        <w:t>Manage refractory endometriosis patients who have failed first- and second-line medical therapies</w:t>
      </w:r>
    </w:p>
    <w:p>
      <w:pPr>
        <w:pStyle w:val="ListBullet"/>
      </w:pPr>
      <w:r>
        <w:t>Integrate multidisciplinary management: pain medicine, GI, urology, and mental health referrals</w:t>
      </w:r>
    </w:p>
    <w:p>
      <w:pPr>
        <w:pStyle w:val="ListBullet"/>
      </w:pPr>
      <w:r>
        <w:t>Evaluate emerging medical therapies including GnRH antagonists, novel progestins, and immunomodulatory approaches</w:t>
      </w:r>
    </w:p>
    <w:p>
      <w:pPr>
        <w:pStyle w:val="ListBullet"/>
      </w:pPr>
      <w:r>
        <w:t>Critically appraise current guidelines (ACOG, ESHRE, ASRM) and design treatment algorithms</w:t>
      </w:r>
    </w:p>
    <w:p>
      <w:r>
        <w:rPr>
          <w:b/>
          <w:color w:val="2E86AB"/>
        </w:rPr>
        <w:t>Articles</w:t>
      </w:r>
    </w:p>
    <w:p>
      <w:r>
        <w:t>1. Current ACOG Practice Bulletin on endometriosis management</w:t>
      </w:r>
    </w:p>
    <w:p>
      <w:r>
        <w:t>2. ESHRE guideline updates</w:t>
      </w:r>
    </w:p>
    <w:p>
      <w:r>
        <w:t>3. GnRH antagonist therapy — emerging evidence</w:t>
      </w:r>
    </w:p>
    <w:p/>
    <w:p>
      <w:pPr>
        <w:pStyle w:val="Heading2"/>
      </w:pPr>
      <w:r>
        <w:t>September (Year 3)</w:t>
      </w:r>
    </w:p>
    <w:p>
      <w:r>
        <w:rPr>
          <w:b/>
          <w:color w:val="1B3A5C"/>
          <w:sz w:val="24"/>
        </w:rPr>
        <w:t>Endometriosis (Surgical) — Complex DIE Resection &amp; Multi-Organ Involvement</w:t>
      </w:r>
    </w:p>
    <w:p>
      <w:r>
        <w:rPr>
          <w:b/>
        </w:rPr>
        <w:t xml:space="preserve">Faculty: </w:t>
      </w:r>
      <w:r>
        <w:t>Dr. Maria Teresa Tam (Primary), Dr. Sankey-Thomas (Secondary)</w:t>
      </w:r>
    </w:p>
    <w:p>
      <w:r>
        <w:rPr>
          <w:b/>
          <w:color w:val="2E86AB"/>
        </w:rPr>
        <w:t>Objectives</w:t>
      </w:r>
    </w:p>
    <w:p>
      <w:pPr>
        <w:pStyle w:val="ListBullet"/>
      </w:pPr>
      <w:r>
        <w:t>Independently plan and execute laparoscopic/robotic excision of deep infiltrating endometriosis (DIE)</w:t>
      </w:r>
    </w:p>
    <w:p>
      <w:pPr>
        <w:pStyle w:val="ListBullet"/>
      </w:pPr>
      <w:r>
        <w:t>Manage multi-organ involvement: bowel (rectosigmoid, appendiceal), bladder, and ureteral endometriosis</w:t>
      </w:r>
    </w:p>
    <w:p>
      <w:pPr>
        <w:pStyle w:val="ListBullet"/>
      </w:pPr>
      <w:r>
        <w:t>Coordinate multidisciplinary surgical teams (colorectal surgery, urology) for complex cases</w:t>
      </w:r>
    </w:p>
    <w:p>
      <w:pPr>
        <w:pStyle w:val="ListBullet"/>
      </w:pPr>
      <w:r>
        <w:t>Apply ICG fluorescence imaging for intraoperative endometriosis identification</w:t>
      </w:r>
    </w:p>
    <w:p>
      <w:r>
        <w:rPr>
          <w:b/>
          <w:color w:val="2E86AB"/>
        </w:rPr>
        <w:t>Articles</w:t>
      </w:r>
    </w:p>
    <w:p>
      <w:r>
        <w:t>1. AAGL practice report on surgical management of endometriosis</w:t>
      </w:r>
    </w:p>
    <w:p>
      <w:r>
        <w:t>2. Role of ICG in endometriosis surgery</w:t>
      </w:r>
    </w:p>
    <w:p>
      <w:r>
        <w:t>3. Bowel endometriosis: shaving vs. disc excision vs. segmental resection</w:t>
      </w:r>
    </w:p>
    <w:p/>
    <w:p>
      <w:pPr>
        <w:pStyle w:val="Heading2"/>
      </w:pPr>
      <w:r>
        <w:t>October (Year 3)</w:t>
      </w:r>
    </w:p>
    <w:p>
      <w:r>
        <w:rPr>
          <w:b/>
          <w:color w:val="1B3A5C"/>
          <w:sz w:val="24"/>
        </w:rPr>
        <w:t>Adenomyosis — Advanced Imaging, Fertility-Sparing Surgery &amp; Novel Therapies</w:t>
      </w:r>
    </w:p>
    <w:p>
      <w:r>
        <w:rPr>
          <w:b/>
        </w:rPr>
        <w:t xml:space="preserve">Faculty: </w:t>
      </w:r>
      <w:r>
        <w:t>Dr. Maria Teresa Tam (Primary), Dr. Siddique (Secondary)</w:t>
      </w:r>
    </w:p>
    <w:p>
      <w:r>
        <w:rPr>
          <w:b/>
          <w:color w:val="2E86AB"/>
        </w:rPr>
        <w:t>Objectives</w:t>
      </w:r>
    </w:p>
    <w:p>
      <w:pPr>
        <w:pStyle w:val="ListBullet"/>
      </w:pPr>
      <w:r>
        <w:t>Master advanced imaging interpretation (MRI, TVUS) for adenomyosis characterization</w:t>
      </w:r>
    </w:p>
    <w:p>
      <w:pPr>
        <w:pStyle w:val="ListBullet"/>
      </w:pPr>
      <w:r>
        <w:t>Independently perform fertility-sparing surgical approaches including adenomyomectomy and focal excision</w:t>
      </w:r>
    </w:p>
    <w:p>
      <w:pPr>
        <w:pStyle w:val="ListBullet"/>
      </w:pPr>
      <w:r>
        <w:t>Apply NBI (Narrow Band Imaging) for hysteroscopic adenomyosis detection (per active IRB study)</w:t>
      </w:r>
    </w:p>
    <w:p>
      <w:pPr>
        <w:pStyle w:val="ListBullet"/>
      </w:pPr>
      <w:r>
        <w:t>Evaluate novel therapeutic approaches including HIFU and uterine artery embolization</w:t>
      </w:r>
    </w:p>
    <w:p>
      <w:r>
        <w:rPr>
          <w:b/>
          <w:color w:val="2E86AB"/>
        </w:rPr>
        <w:t>Articles</w:t>
      </w:r>
    </w:p>
    <w:p>
      <w:r>
        <w:t>1. MUSA consensus on ultrasound classification of adenomyosis</w:t>
      </w:r>
    </w:p>
    <w:p>
      <w:r>
        <w:t>2. Fertility-sparing surgery — systematic review</w:t>
      </w:r>
    </w:p>
    <w:p>
      <w:r>
        <w:t>3. NBI in detection of adenomyosis during hysteroscopy</w:t>
      </w:r>
    </w:p>
    <w:p/>
    <w:p>
      <w:pPr>
        <w:pStyle w:val="Heading2"/>
      </w:pPr>
      <w:r>
        <w:t>November (Year 3)</w:t>
      </w:r>
    </w:p>
    <w:p>
      <w:r>
        <w:rPr>
          <w:b/>
          <w:color w:val="1B3A5C"/>
          <w:sz w:val="24"/>
        </w:rPr>
        <w:t>Acute Pelvic Pain — Emergency Management &amp; Diagnostic Algorithms</w:t>
      </w:r>
    </w:p>
    <w:p>
      <w:r>
        <w:rPr>
          <w:b/>
        </w:rPr>
        <w:t xml:space="preserve">Faculty: </w:t>
      </w:r>
      <w:r>
        <w:t>Dr. Maria Teresa Tam (Primary), Dr. Sankey-Thomas (Secondary)</w:t>
      </w:r>
    </w:p>
    <w:p>
      <w:r>
        <w:rPr>
          <w:b/>
          <w:color w:val="2E86AB"/>
        </w:rPr>
        <w:t>Objectives</w:t>
      </w:r>
    </w:p>
    <w:p>
      <w:pPr>
        <w:pStyle w:val="ListBullet"/>
      </w:pPr>
      <w:r>
        <w:t>Independently manage acute gynecologic emergencies: ovarian torsion, ruptured ectopic, TOA, hemorrhagic cysts</w:t>
      </w:r>
    </w:p>
    <w:p>
      <w:pPr>
        <w:pStyle w:val="ListBullet"/>
      </w:pPr>
      <w:r>
        <w:t>Develop standardized diagnostic and management algorithms for ED gynecologic consultations</w:t>
      </w:r>
    </w:p>
    <w:p>
      <w:pPr>
        <w:pStyle w:val="ListBullet"/>
      </w:pPr>
      <w:r>
        <w:t>Lead time-critical surgical cases with appropriate triage and resource allocation</w:t>
      </w:r>
    </w:p>
    <w:p>
      <w:pPr>
        <w:pStyle w:val="ListBullet"/>
      </w:pPr>
      <w:r>
        <w:t>Function as primary MIGS consultant to the Emergency Department</w:t>
      </w:r>
    </w:p>
    <w:p>
      <w:r>
        <w:rPr>
          <w:b/>
          <w:color w:val="2E86AB"/>
        </w:rPr>
        <w:t>Articles</w:t>
      </w:r>
    </w:p>
    <w:p>
      <w:r>
        <w:t>1. Surgical emergencies in gynecology: evidence-based management</w:t>
      </w:r>
    </w:p>
    <w:p>
      <w:r>
        <w:t>2. Ovarian torsion: diagnosis and management</w:t>
      </w:r>
    </w:p>
    <w:p>
      <w:r>
        <w:t>3. Ectopic pregnancy: surgical vs. medical management algorithms</w:t>
      </w:r>
    </w:p>
    <w:p/>
    <w:p>
      <w:pPr>
        <w:pStyle w:val="Heading2"/>
      </w:pPr>
      <w:r>
        <w:t>December (Year 3)</w:t>
      </w:r>
    </w:p>
    <w:p>
      <w:r>
        <w:rPr>
          <w:b/>
          <w:color w:val="1B3A5C"/>
          <w:sz w:val="24"/>
        </w:rPr>
        <w:t>Chronic Pelvic Pain — Multidisciplinary Integration &amp; Neuromodulation</w:t>
      </w:r>
    </w:p>
    <w:p>
      <w:r>
        <w:rPr>
          <w:b/>
        </w:rPr>
        <w:t xml:space="preserve">Faculty: </w:t>
      </w:r>
      <w:r>
        <w:t>Dr. Maria Teresa Tam (Primary), Dr. Siddique (Secondary)</w:t>
      </w:r>
    </w:p>
    <w:p>
      <w:r>
        <w:rPr>
          <w:b/>
          <w:color w:val="2E86AB"/>
        </w:rPr>
        <w:t>Objectives</w:t>
      </w:r>
    </w:p>
    <w:p>
      <w:pPr>
        <w:pStyle w:val="ListBullet"/>
      </w:pPr>
      <w:r>
        <w:t>Lead multidisciplinary chronic pelvic pain evaluations: gynecology, pain medicine, PT, GI, psychology</w:t>
      </w:r>
    </w:p>
    <w:p>
      <w:pPr>
        <w:pStyle w:val="ListBullet"/>
      </w:pPr>
      <w:r>
        <w:t>Evaluate surgical interventions: presacral neurectomy, LUNA, trigger point injection</w:t>
      </w:r>
    </w:p>
    <w:p>
      <w:pPr>
        <w:pStyle w:val="ListBullet"/>
      </w:pPr>
      <w:r>
        <w:t>Understand emerging neuromodulation therapies and their evidence base</w:t>
      </w:r>
    </w:p>
    <w:p>
      <w:pPr>
        <w:pStyle w:val="ListBullet"/>
      </w:pPr>
      <w:r>
        <w:t>Independently counsel patients with complex chronic pelvic pain on comprehensive management plans</w:t>
      </w:r>
    </w:p>
    <w:p>
      <w:r>
        <w:rPr>
          <w:b/>
          <w:color w:val="2E86AB"/>
        </w:rPr>
        <w:t>Articles</w:t>
      </w:r>
    </w:p>
    <w:p>
      <w:r>
        <w:t>1. ACOG Practice Bulletin on chronic pelvic pain</w:t>
      </w:r>
    </w:p>
    <w:p>
      <w:r>
        <w:t>2. Multidisciplinary approach — systematic review</w:t>
      </w:r>
    </w:p>
    <w:p>
      <w:r>
        <w:t>3. Neuromodulation for chronic pelvic pain: current evidence</w:t>
      </w:r>
    </w:p>
    <w:p/>
    <w:p>
      <w:pPr>
        <w:pStyle w:val="Heading2"/>
      </w:pPr>
      <w:r>
        <w:t>January (Year 3)</w:t>
      </w:r>
    </w:p>
    <w:p>
      <w:r>
        <w:rPr>
          <w:b/>
          <w:color w:val="1B3A5C"/>
          <w:sz w:val="24"/>
        </w:rPr>
        <w:t>Adnexal Pathology &amp; Surgery — Complex Masses, Triage &amp; Fertility Preservation</w:t>
      </w:r>
    </w:p>
    <w:p>
      <w:r>
        <w:rPr>
          <w:b/>
        </w:rPr>
        <w:t xml:space="preserve">Faculty: </w:t>
      </w:r>
      <w:r>
        <w:t>Dr. Maria Teresa Tam (Primary), Dr. Sankey-Thomas (Secondary)</w:t>
      </w:r>
    </w:p>
    <w:p>
      <w:r>
        <w:rPr>
          <w:b/>
          <w:color w:val="2E86AB"/>
        </w:rPr>
        <w:t>Objectives</w:t>
      </w:r>
    </w:p>
    <w:p>
      <w:pPr>
        <w:pStyle w:val="ListBullet"/>
      </w:pPr>
      <w:r>
        <w:t>Independently evaluate and triage complex adnexal masses using IOTA criteria, RMI scoring</w:t>
      </w:r>
    </w:p>
    <w:p>
      <w:pPr>
        <w:pStyle w:val="ListBullet"/>
      </w:pPr>
      <w:r>
        <w:t>Perform complex adnexal surgery with fertility preservation</w:t>
      </w:r>
    </w:p>
    <w:p>
      <w:pPr>
        <w:pStyle w:val="ListBullet"/>
      </w:pPr>
      <w:r>
        <w:t>Coordinate with gynecologic oncology for borderline and suspicious masses</w:t>
      </w:r>
    </w:p>
    <w:p>
      <w:pPr>
        <w:pStyle w:val="ListBullet"/>
      </w:pPr>
      <w:r>
        <w:t>Master MIS approaches to large adnexal masses including laparoscopic and robotic techniques</w:t>
      </w:r>
    </w:p>
    <w:p>
      <w:r>
        <w:rPr>
          <w:b/>
          <w:color w:val="2E86AB"/>
        </w:rPr>
        <w:t>Articles</w:t>
      </w:r>
    </w:p>
    <w:p>
      <w:r>
        <w:t>1. ACOG Practice Bulletin on adnexal masses</w:t>
      </w:r>
    </w:p>
    <w:p>
      <w:r>
        <w:t>2. IOTA simple rules and ADNEX model</w:t>
      </w:r>
    </w:p>
    <w:p>
      <w:r>
        <w:t>3. Fertility preservation in adnexal surgery — current evidence</w:t>
      </w:r>
    </w:p>
    <w:p/>
    <w:p>
      <w:pPr>
        <w:pStyle w:val="Heading2"/>
      </w:pPr>
      <w:r>
        <w:t>February (Year 3)</w:t>
      </w:r>
    </w:p>
    <w:p>
      <w:r>
        <w:rPr>
          <w:b/>
          <w:color w:val="1B3A5C"/>
          <w:sz w:val="24"/>
        </w:rPr>
        <w:t>Congenital Anomalies — Advanced Reconstructive Techniques &amp; Long-Term Outcomes</w:t>
      </w:r>
    </w:p>
    <w:p>
      <w:r>
        <w:rPr>
          <w:b/>
        </w:rPr>
        <w:t xml:space="preserve">Faculty: </w:t>
      </w:r>
      <w:r>
        <w:t>Dr. Maria Teresa Tam (Primary), Dr. Siddique (Secondary)</w:t>
      </w:r>
    </w:p>
    <w:p>
      <w:r>
        <w:rPr>
          <w:b/>
          <w:color w:val="2E86AB"/>
        </w:rPr>
        <w:t>Objectives</w:t>
      </w:r>
    </w:p>
    <w:p>
      <w:pPr>
        <w:pStyle w:val="ListBullet"/>
      </w:pPr>
      <w:r>
        <w:t>Independently evaluate and manage complex Müllerian anomalies</w:t>
      </w:r>
    </w:p>
    <w:p>
      <w:pPr>
        <w:pStyle w:val="ListBullet"/>
      </w:pPr>
      <w:r>
        <w:t>Master laparoscopic and hysteroscopic metroplasty techniques</w:t>
      </w:r>
    </w:p>
    <w:p>
      <w:pPr>
        <w:pStyle w:val="ListBullet"/>
      </w:pPr>
      <w:r>
        <w:t>Evaluate long-term reproductive outcomes following anomaly correction</w:t>
      </w:r>
    </w:p>
    <w:p>
      <w:pPr>
        <w:pStyle w:val="ListBullet"/>
      </w:pPr>
      <w:r>
        <w:t>Manage vaginal agenesis and associated conditions including MRKH syndrome</w:t>
      </w:r>
    </w:p>
    <w:p>
      <w:r>
        <w:rPr>
          <w:b/>
          <w:color w:val="2E86AB"/>
        </w:rPr>
        <w:t>Articles</w:t>
      </w:r>
    </w:p>
    <w:p>
      <w:r>
        <w:t>1. ASRM classification of Müllerian anomalies (updated)</w:t>
      </w:r>
    </w:p>
    <w:p>
      <w:r>
        <w:t>2. Hysteroscopic metroplasty — techniques and outcomes</w:t>
      </w:r>
    </w:p>
    <w:p>
      <w:r>
        <w:t>3. MRKH syndrome — surgical options and long-term outcomes</w:t>
      </w:r>
    </w:p>
    <w:p/>
    <w:p>
      <w:pPr>
        <w:pStyle w:val="Heading2"/>
      </w:pPr>
      <w:r>
        <w:t>March (Year 3)</w:t>
      </w:r>
    </w:p>
    <w:p>
      <w:r>
        <w:rPr>
          <w:b/>
          <w:color w:val="1B3A5C"/>
          <w:sz w:val="24"/>
        </w:rPr>
        <w:t>Cesarean Scar Defects/Isthmocele — Advanced Repair Techniques &amp; ICG Applications</w:t>
      </w:r>
    </w:p>
    <w:p>
      <w:r>
        <w:rPr>
          <w:b/>
        </w:rPr>
        <w:t xml:space="preserve">Faculty: </w:t>
      </w:r>
      <w:r>
        <w:t>Dr. Maria Teresa Tam (Primary), Dr. Sankey-Thomas (Secondary)</w:t>
      </w:r>
    </w:p>
    <w:p>
      <w:r>
        <w:rPr>
          <w:b/>
          <w:color w:val="2E86AB"/>
        </w:rPr>
        <w:t>Objectives</w:t>
      </w:r>
    </w:p>
    <w:p>
      <w:pPr>
        <w:pStyle w:val="ListBullet"/>
      </w:pPr>
      <w:r>
        <w:t>Independently evaluate and repair cesarean scar defects using hysteroscopic, laparoscopic, vaginal, and combined approaches</w:t>
      </w:r>
    </w:p>
    <w:p>
      <w:pPr>
        <w:pStyle w:val="ListBullet"/>
      </w:pPr>
      <w:r>
        <w:t>Apply ICG fluorescence imaging for isthmocele diagnosis and intraoperative assessment (per fellowship research)</w:t>
      </w:r>
    </w:p>
    <w:p>
      <w:pPr>
        <w:pStyle w:val="ListBullet"/>
      </w:pPr>
      <w:r>
        <w:t>Master robotic-assisted isthmocele repair techniques</w:t>
      </w:r>
    </w:p>
    <w:p>
      <w:pPr>
        <w:pStyle w:val="ListBullet"/>
      </w:pPr>
      <w:r>
        <w:t>Present ICG isthmocele research findings; complete manuscript preparation</w:t>
      </w:r>
    </w:p>
    <w:p>
      <w:r>
        <w:rPr>
          <w:b/>
          <w:color w:val="2E86AB"/>
        </w:rPr>
        <w:t>Articles</w:t>
      </w:r>
    </w:p>
    <w:p>
      <w:r>
        <w:t>1. Tam T, Mabini C, et al. ICG imaging for isthmocele. Arch Gynecol Obstet. 2025</w:t>
      </w:r>
    </w:p>
    <w:p>
      <w:r>
        <w:t>2. Systematic review of cesarean scar defect repair techniques</w:t>
      </w:r>
    </w:p>
    <w:p>
      <w:r>
        <w:t>3. Reproductive outcomes following isthmocele repair</w:t>
      </w:r>
    </w:p>
    <w:p/>
    <w:p>
      <w:pPr>
        <w:pStyle w:val="Heading2"/>
      </w:pPr>
      <w:r>
        <w:t>April (Year 3)</w:t>
      </w:r>
    </w:p>
    <w:p>
      <w:r>
        <w:rPr>
          <w:b/>
          <w:color w:val="1B3A5C"/>
          <w:sz w:val="24"/>
        </w:rPr>
        <w:t>Surgery in Special Populations — Obesity, Immunocompromised, &amp; Oncologic Risk</w:t>
      </w:r>
    </w:p>
    <w:p>
      <w:r>
        <w:rPr>
          <w:b/>
        </w:rPr>
        <w:t xml:space="preserve">Faculty: </w:t>
      </w:r>
      <w:r>
        <w:t>Dr. Maria Teresa Tam (Primary), Dr. Sankey-Thomas (Secondary)</w:t>
      </w:r>
    </w:p>
    <w:p>
      <w:r>
        <w:rPr>
          <w:b/>
          <w:color w:val="2E86AB"/>
        </w:rPr>
        <w:t>Objectives</w:t>
      </w:r>
    </w:p>
    <w:p>
      <w:pPr>
        <w:pStyle w:val="ListBullet"/>
      </w:pPr>
      <w:r>
        <w:t>Independently manage surgical planning in patients with BMI &gt;40</w:t>
      </w:r>
    </w:p>
    <w:p>
      <w:pPr>
        <w:pStyle w:val="ListBullet"/>
      </w:pPr>
      <w:r>
        <w:t>Evaluate oncologic risk and coordinate with gynecologic oncology for risk-reducing surgery</w:t>
      </w:r>
    </w:p>
    <w:p>
      <w:pPr>
        <w:pStyle w:val="ListBullet"/>
      </w:pPr>
      <w:r>
        <w:t>Manage immunocompromised patients requiring gynecologic surgery</w:t>
      </w:r>
    </w:p>
    <w:p>
      <w:pPr>
        <w:pStyle w:val="ListBullet"/>
      </w:pPr>
      <w:r>
        <w:t>Apply minimally invasive techniques to reduce morbidity in high-risk populations</w:t>
      </w:r>
    </w:p>
    <w:p>
      <w:r>
        <w:rPr>
          <w:b/>
          <w:color w:val="2E86AB"/>
        </w:rPr>
        <w:t>Articles</w:t>
      </w:r>
    </w:p>
    <w:p>
      <w:r>
        <w:t>1. ACOG Practice Bulletin on gynecologic surgery in obese patients</w:t>
      </w:r>
    </w:p>
    <w:p>
      <w:r>
        <w:t>2. Risk-reducing surgery in BRCA carriers — current guidelines</w:t>
      </w:r>
    </w:p>
    <w:p>
      <w:r>
        <w:t>3. ERAS in high-risk populations</w:t>
      </w:r>
    </w:p>
    <w:p/>
    <w:p>
      <w:pPr>
        <w:pStyle w:val="Heading2"/>
      </w:pPr>
      <w:r>
        <w:t>May (Year 3)</w:t>
      </w:r>
    </w:p>
    <w:p>
      <w:r>
        <w:rPr>
          <w:b/>
          <w:color w:val="1B3A5C"/>
          <w:sz w:val="24"/>
        </w:rPr>
        <w:t>Pelvic Floor Disorders — Advanced Urogynecology Integration &amp; Mesh Considerations</w:t>
      </w:r>
    </w:p>
    <w:p>
      <w:r>
        <w:rPr>
          <w:b/>
        </w:rPr>
        <w:t xml:space="preserve">Faculty: </w:t>
      </w:r>
      <w:r>
        <w:t>Dr. Siddique (Primary), Dr. Tam (Secondary)</w:t>
      </w:r>
    </w:p>
    <w:p>
      <w:r>
        <w:rPr>
          <w:b/>
          <w:color w:val="2E86AB"/>
        </w:rPr>
        <w:t>Objectives</w:t>
      </w:r>
    </w:p>
    <w:p>
      <w:pPr>
        <w:pStyle w:val="ListBullet"/>
      </w:pPr>
      <w:r>
        <w:t>Independently perform USLS, sacrocolpopexy (robotic and laparoscopic), and anterior/posterior repair</w:t>
      </w:r>
    </w:p>
    <w:p>
      <w:pPr>
        <w:pStyle w:val="ListBullet"/>
      </w:pPr>
      <w:r>
        <w:t>Evaluate and manage mesh-related complications</w:t>
      </w:r>
    </w:p>
    <w:p>
      <w:pPr>
        <w:pStyle w:val="ListBullet"/>
      </w:pPr>
      <w:r>
        <w:t>Master urodynamic interpretation and integrate into surgical planning</w:t>
      </w:r>
    </w:p>
    <w:p>
      <w:pPr>
        <w:pStyle w:val="ListBullet"/>
      </w:pPr>
      <w:r>
        <w:t>Understand current FDA guidance and medico-legal landscape regarding mesh use</w:t>
      </w:r>
    </w:p>
    <w:p>
      <w:r>
        <w:rPr>
          <w:b/>
          <w:color w:val="2E86AB"/>
        </w:rPr>
        <w:t>Articles</w:t>
      </w:r>
    </w:p>
    <w:p>
      <w:r>
        <w:t>1. ACOG/AUGS joint practice bulletin on pelvic organ prolapse</w:t>
      </w:r>
    </w:p>
    <w:p>
      <w:r>
        <w:t>2. Sacrocolpopexy vs. USLS — long-term outcomes</w:t>
      </w:r>
    </w:p>
    <w:p>
      <w:r>
        <w:t>3. Mesh complications — diagnosis and management</w:t>
      </w:r>
    </w:p>
    <w:p/>
    <w:p>
      <w:pPr>
        <w:pStyle w:val="Heading2"/>
      </w:pPr>
      <w:r>
        <w:t>June (Year 3)</w:t>
      </w:r>
    </w:p>
    <w:p>
      <w:r>
        <w:rPr>
          <w:b/>
          <w:color w:val="1B3A5C"/>
          <w:sz w:val="24"/>
        </w:rPr>
        <w:t>Professionalism, Practice Building, &amp; Transition to Independent MIGS Practice</w:t>
      </w:r>
    </w:p>
    <w:p>
      <w:r>
        <w:rPr>
          <w:b/>
        </w:rPr>
        <w:t xml:space="preserve">Faculty: </w:t>
      </w:r>
      <w:r>
        <w:t>Dr. Maria Teresa Tam (Primary), Dr. Sankey-Thomas (Secondary)</w:t>
      </w:r>
    </w:p>
    <w:p>
      <w:r>
        <w:rPr>
          <w:b/>
          <w:color w:val="2E86AB"/>
        </w:rPr>
        <w:t>Objectives</w:t>
      </w:r>
    </w:p>
    <w:p>
      <w:pPr>
        <w:pStyle w:val="ListBullet"/>
      </w:pPr>
      <w:r>
        <w:t>Develop comprehensive practice-building strategy for independent MIGS practice</w:t>
      </w:r>
    </w:p>
    <w:p>
      <w:pPr>
        <w:pStyle w:val="ListBullet"/>
      </w:pPr>
      <w:r>
        <w:t>Understand hospital credentialing, privileging, and malpractice considerations</w:t>
      </w:r>
    </w:p>
    <w:p>
      <w:pPr>
        <w:pStyle w:val="ListBullet"/>
      </w:pPr>
      <w:r>
        <w:t>Master contract negotiation fundamentals for academic and private practice settings</w:t>
      </w:r>
    </w:p>
    <w:p>
      <w:pPr>
        <w:pStyle w:val="ListBullet"/>
      </w:pPr>
      <w:r>
        <w:t>Complete all summative evaluations and graduation requirements</w:t>
      </w:r>
    </w:p>
    <w:p>
      <w:r>
        <w:rPr>
          <w:b/>
          <w:color w:val="2E86AB"/>
        </w:rPr>
        <w:t>Articles</w:t>
      </w:r>
    </w:p>
    <w:p>
      <w:r>
        <w:t>1. AAGL white paper on emerging technologies in MIGS</w:t>
      </w:r>
    </w:p>
    <w:p>
      <w:r>
        <w:t>2. Practice building in gynecologic surgery — expert perspectives</w:t>
      </w:r>
    </w:p>
    <w:p>
      <w:r>
        <w:t>3. AI in gynecologic surgery — current applications and future directions</w:t>
      </w:r>
    </w:p>
    <w:p/>
    <w:p>
      <w:r>
        <w:br w:type="page"/>
      </w:r>
    </w:p>
    <w:p>
      <w:pPr>
        <w:jc w:val="left"/>
      </w:pPr>
      <w:r>
        <w:rPr>
          <w:rFonts w:ascii="Calibri" w:hAnsi="Calibri"/>
          <w:i/>
          <w:color w:val="2E86AB"/>
          <w:sz w:val="20"/>
        </w:rPr>
        <w:t>Section 8 • Year 3 Simulation Workshops Schedule</w:t>
      </w:r>
    </w:p>
    <w:p>
      <w:pPr>
        <w:pStyle w:val="Heading1"/>
      </w:pPr>
      <w:r>
        <w:t>Simulation Workshops — Year 3</w:t>
      </w:r>
    </w:p>
    <w:p>
      <w:r>
        <w:t>Resident MIGS Didactics and Skills Labs — Schedule: Last Monday of every month (7:30 AM – 11:00 AM), except Holidays.</w:t>
      </w:r>
    </w:p>
    <w:p>
      <w:r>
        <w:rPr>
          <w:b/>
          <w:color w:val="1B3A5C"/>
        </w:rPr>
        <w:t xml:space="preserve">Year 3 Enhancement: </w:t>
      </w:r>
      <w:r>
        <w:t>Fellow serves as primary lecturer and simulation moderator, with faculty oversight transitioning to a consultative role.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3A5C"/>
          </w:tcPr>
          <w:p>
            <w:pPr>
              <w:jc w:val="left"/>
            </w:pPr>
            <w:r>
              <w:rPr>
                <w:rFonts w:ascii="Calibri" w:hAnsi="Calibri"/>
                <w:b/>
                <w:color w:val="FFFFFF"/>
                <w:sz w:val="20"/>
              </w:rPr>
              <w:t>Month</w:t>
            </w:r>
          </w:p>
        </w:tc>
        <w:tc>
          <w:tcPr>
            <w:tcW w:type="dxa" w:w="2351"/>
            <w:shd w:fill="1B3A5C"/>
          </w:tcPr>
          <w:p>
            <w:pPr>
              <w:jc w:val="left"/>
            </w:pPr>
            <w:r>
              <w:rPr>
                <w:rFonts w:ascii="Calibri" w:hAnsi="Calibri"/>
                <w:b/>
                <w:color w:val="FFFFFF"/>
                <w:sz w:val="20"/>
              </w:rPr>
              <w:t>Lecture (7:30–8:30 AM)</w:t>
            </w:r>
          </w:p>
        </w:tc>
        <w:tc>
          <w:tcPr>
            <w:tcW w:type="dxa" w:w="2351"/>
            <w:shd w:fill="1B3A5C"/>
          </w:tcPr>
          <w:p>
            <w:pPr>
              <w:jc w:val="left"/>
            </w:pPr>
            <w:r>
              <w:rPr>
                <w:rFonts w:ascii="Calibri" w:hAnsi="Calibri"/>
                <w:b/>
                <w:color w:val="FFFFFF"/>
                <w:sz w:val="20"/>
              </w:rPr>
              <w:t>Skills Lab (8:30–11:00 AM)</w:t>
            </w:r>
          </w:p>
        </w:tc>
        <w:tc>
          <w:tcPr>
            <w:tcW w:type="dxa" w:w="2351"/>
            <w:shd w:fill="1B3A5C"/>
          </w:tcPr>
          <w:p>
            <w:pPr>
              <w:jc w:val="left"/>
            </w:pPr>
            <w:r>
              <w:rPr>
                <w:rFonts w:ascii="Calibri" w:hAnsi="Calibri"/>
                <w:b/>
                <w:color w:val="FFFFFF"/>
                <w:sz w:val="20"/>
              </w:rPr>
              <w:t>Location</w:t>
            </w:r>
          </w:p>
        </w:tc>
      </w:tr>
      <w:tr>
        <w:tc>
          <w:tcPr>
            <w:tcW w:type="dxa" w:w="2351"/>
          </w:tcPr>
          <w:p>
            <w:r>
              <w:rPr>
                <w:rFonts w:ascii="Calibri" w:hAnsi="Calibri"/>
                <w:b w:val="0"/>
                <w:color w:val="333333"/>
                <w:sz w:val="20"/>
              </w:rPr>
              <w:t>July</w:t>
            </w:r>
          </w:p>
        </w:tc>
        <w:tc>
          <w:tcPr>
            <w:tcW w:type="dxa" w:w="2351"/>
          </w:tcPr>
          <w:p>
            <w:r>
              <w:rPr>
                <w:rFonts w:ascii="Calibri" w:hAnsi="Calibri"/>
                <w:b w:val="0"/>
                <w:color w:val="333333"/>
                <w:sz w:val="20"/>
              </w:rPr>
              <w:t>Advanced Tissue Extraction &amp; Containment Systems</w:t>
              <w:br/>
              <w:t>Lecturer: Chris Mabini, DO</w:t>
            </w:r>
          </w:p>
        </w:tc>
        <w:tc>
          <w:tcPr>
            <w:tcW w:type="dxa" w:w="2351"/>
          </w:tcPr>
          <w:p>
            <w:r>
              <w:rPr>
                <w:rFonts w:ascii="Calibri" w:hAnsi="Calibri"/>
                <w:b w:val="0"/>
                <w:color w:val="333333"/>
                <w:sz w:val="20"/>
              </w:rPr>
              <w:t>MIGS Skills Lab: Contained morcellation</w:t>
              <w:br/>
              <w:t>Moderators: Chris Mabini, DO &amp; Dr. Sankey-Thomas</w:t>
            </w:r>
          </w:p>
        </w:tc>
        <w:tc>
          <w:tcPr>
            <w:tcW w:type="dxa" w:w="2351"/>
          </w:tcPr>
          <w:p>
            <w:r>
              <w:rPr>
                <w:rFonts w:ascii="Calibri" w:hAnsi="Calibri"/>
                <w:b w:val="0"/>
                <w:color w:val="333333"/>
                <w:sz w:val="20"/>
              </w:rPr>
              <w:t>Bakken Conference Center</w:t>
            </w:r>
          </w:p>
        </w:tc>
      </w:tr>
      <w:tr>
        <w:tc>
          <w:tcPr>
            <w:tcW w:type="dxa" w:w="2351"/>
            <w:shd w:fill="F0F4F8"/>
          </w:tcPr>
          <w:p>
            <w:r>
              <w:rPr>
                <w:rFonts w:ascii="Calibri" w:hAnsi="Calibri"/>
                <w:b w:val="0"/>
                <w:color w:val="333333"/>
                <w:sz w:val="20"/>
              </w:rPr>
              <w:t>August</w:t>
            </w:r>
          </w:p>
        </w:tc>
        <w:tc>
          <w:tcPr>
            <w:tcW w:type="dxa" w:w="2351"/>
            <w:shd w:fill="F0F4F8"/>
          </w:tcPr>
          <w:p>
            <w:r>
              <w:rPr>
                <w:rFonts w:ascii="Calibri" w:hAnsi="Calibri"/>
                <w:b w:val="0"/>
                <w:color w:val="333333"/>
                <w:sz w:val="20"/>
              </w:rPr>
              <w:t>Advanced Vaginal Surgery: vNOTES</w:t>
              <w:br/>
              <w:t>Lecturer: Dr. Sankey-Thomas</w:t>
            </w:r>
          </w:p>
        </w:tc>
        <w:tc>
          <w:tcPr>
            <w:tcW w:type="dxa" w:w="2351"/>
            <w:shd w:fill="F0F4F8"/>
          </w:tcPr>
          <w:p>
            <w:r>
              <w:rPr>
                <w:rFonts w:ascii="Calibri" w:hAnsi="Calibri"/>
                <w:b w:val="0"/>
                <w:color w:val="333333"/>
                <w:sz w:val="20"/>
              </w:rPr>
              <w:t>Vaginal Surgery Skills Lab</w:t>
              <w:br/>
              <w:t>Moderators: Dr. Sankey-Thomas &amp; Chris Mabini, DO</w:t>
            </w:r>
          </w:p>
        </w:tc>
        <w:tc>
          <w:tcPr>
            <w:tcW w:type="dxa" w:w="2351"/>
            <w:shd w:fill="F0F4F8"/>
          </w:tcPr>
          <w:p>
            <w:r>
              <w:rPr>
                <w:rFonts w:ascii="Calibri" w:hAnsi="Calibri"/>
                <w:b w:val="0"/>
                <w:color w:val="333333"/>
                <w:sz w:val="20"/>
              </w:rPr>
              <w:t>2nd Floor Bakken</w:t>
            </w:r>
          </w:p>
        </w:tc>
      </w:tr>
      <w:tr>
        <w:tc>
          <w:tcPr>
            <w:tcW w:type="dxa" w:w="2351"/>
          </w:tcPr>
          <w:p>
            <w:r>
              <w:rPr>
                <w:rFonts w:ascii="Calibri" w:hAnsi="Calibri"/>
                <w:b w:val="0"/>
                <w:color w:val="333333"/>
                <w:sz w:val="20"/>
              </w:rPr>
              <w:t>September</w:t>
            </w:r>
          </w:p>
        </w:tc>
        <w:tc>
          <w:tcPr>
            <w:tcW w:type="dxa" w:w="2351"/>
          </w:tcPr>
          <w:p>
            <w:r>
              <w:rPr>
                <w:rFonts w:ascii="Calibri" w:hAnsi="Calibri"/>
                <w:b w:val="0"/>
                <w:color w:val="333333"/>
                <w:sz w:val="20"/>
              </w:rPr>
              <w:t>Abdominal &amp; Pelvic Anatomy: Advanced</w:t>
              <w:br/>
              <w:t>Lecturer: Chris Mabini, DO</w:t>
            </w:r>
          </w:p>
        </w:tc>
        <w:tc>
          <w:tcPr>
            <w:tcW w:type="dxa" w:w="2351"/>
          </w:tcPr>
          <w:p>
            <w:r>
              <w:rPr>
                <w:rFonts w:ascii="Calibri" w:hAnsi="Calibri"/>
                <w:b w:val="0"/>
                <w:color w:val="333333"/>
                <w:sz w:val="20"/>
              </w:rPr>
              <w:t>MIGS Skills Lab: Laparoscopic stations</w:t>
              <w:br/>
              <w:t>Moderators: Teresa Tam, MD &amp; Chris Mabini, DO</w:t>
            </w:r>
          </w:p>
        </w:tc>
        <w:tc>
          <w:tcPr>
            <w:tcW w:type="dxa" w:w="2351"/>
          </w:tcPr>
          <w:p>
            <w:r>
              <w:rPr>
                <w:rFonts w:ascii="Calibri" w:hAnsi="Calibri"/>
                <w:b w:val="0"/>
                <w:color w:val="333333"/>
                <w:sz w:val="20"/>
              </w:rPr>
              <w:t>2nd Floor Bakken</w:t>
            </w:r>
          </w:p>
        </w:tc>
      </w:tr>
      <w:tr>
        <w:tc>
          <w:tcPr>
            <w:tcW w:type="dxa" w:w="2351"/>
            <w:shd w:fill="F0F4F8"/>
          </w:tcPr>
          <w:p>
            <w:r>
              <w:rPr>
                <w:rFonts w:ascii="Calibri" w:hAnsi="Calibri"/>
                <w:b w:val="0"/>
                <w:color w:val="333333"/>
                <w:sz w:val="20"/>
              </w:rPr>
              <w:t>October</w:t>
            </w:r>
          </w:p>
        </w:tc>
        <w:tc>
          <w:tcPr>
            <w:tcW w:type="dxa" w:w="2351"/>
            <w:shd w:fill="F0F4F8"/>
          </w:tcPr>
          <w:p>
            <w:r>
              <w:rPr>
                <w:rFonts w:ascii="Calibri" w:hAnsi="Calibri"/>
                <w:b w:val="0"/>
                <w:color w:val="333333"/>
                <w:sz w:val="20"/>
              </w:rPr>
              <w:t>Complex Hysterectomy: High BMI</w:t>
              <w:br/>
              <w:t>Lecturer: Chris Mabini, DO</w:t>
            </w:r>
          </w:p>
        </w:tc>
        <w:tc>
          <w:tcPr>
            <w:tcW w:type="dxa" w:w="2351"/>
            <w:shd w:fill="F0F4F8"/>
          </w:tcPr>
          <w:p>
            <w:r>
              <w:rPr>
                <w:rFonts w:ascii="Calibri" w:hAnsi="Calibri"/>
                <w:b w:val="0"/>
                <w:color w:val="333333"/>
                <w:sz w:val="20"/>
              </w:rPr>
              <w:t>Equipment Focus: Advanced energy devices</w:t>
              <w:br/>
              <w:t>Moderators: Teresa Tam, MD</w:t>
            </w:r>
          </w:p>
        </w:tc>
        <w:tc>
          <w:tcPr>
            <w:tcW w:type="dxa" w:w="2351"/>
            <w:shd w:fill="F0F4F8"/>
          </w:tcPr>
          <w:p>
            <w:r>
              <w:rPr>
                <w:rFonts w:ascii="Calibri" w:hAnsi="Calibri"/>
                <w:b w:val="0"/>
                <w:color w:val="333333"/>
                <w:sz w:val="20"/>
              </w:rPr>
              <w:t>Bakken Conference Center</w:t>
            </w:r>
          </w:p>
        </w:tc>
      </w:tr>
      <w:tr>
        <w:tc>
          <w:tcPr>
            <w:tcW w:type="dxa" w:w="2351"/>
          </w:tcPr>
          <w:p>
            <w:r>
              <w:rPr>
                <w:rFonts w:ascii="Calibri" w:hAnsi="Calibri"/>
                <w:b w:val="0"/>
                <w:color w:val="333333"/>
                <w:sz w:val="20"/>
              </w:rPr>
              <w:t>November</w:t>
            </w:r>
          </w:p>
        </w:tc>
        <w:tc>
          <w:tcPr>
            <w:tcW w:type="dxa" w:w="2351"/>
          </w:tcPr>
          <w:p>
            <w:r>
              <w:rPr>
                <w:rFonts w:ascii="Calibri" w:hAnsi="Calibri"/>
                <w:b w:val="0"/>
                <w:color w:val="333333"/>
                <w:sz w:val="20"/>
              </w:rPr>
              <w:t>Advanced Robotic Surgery</w:t>
              <w:br/>
              <w:t>Lecturer: Chris Mabini, DO</w:t>
            </w:r>
          </w:p>
        </w:tc>
        <w:tc>
          <w:tcPr>
            <w:tcW w:type="dxa" w:w="2351"/>
          </w:tcPr>
          <w:p>
            <w:r>
              <w:rPr>
                <w:rFonts w:ascii="Calibri" w:hAnsi="Calibri"/>
                <w:b w:val="0"/>
                <w:color w:val="333333"/>
                <w:sz w:val="20"/>
              </w:rPr>
              <w:t>Robotics Skills Lab: Xi System</w:t>
              <w:br/>
              <w:t>Location: SJH OR #3</w:t>
            </w:r>
          </w:p>
        </w:tc>
        <w:tc>
          <w:tcPr>
            <w:tcW w:type="dxa" w:w="2351"/>
          </w:tcPr>
          <w:p>
            <w:r>
              <w:rPr>
                <w:rFonts w:ascii="Calibri" w:hAnsi="Calibri"/>
                <w:b w:val="0"/>
                <w:color w:val="333333"/>
                <w:sz w:val="20"/>
              </w:rPr>
              <w:t>SJH OR #3</w:t>
            </w:r>
          </w:p>
        </w:tc>
      </w:tr>
      <w:tr>
        <w:tc>
          <w:tcPr>
            <w:tcW w:type="dxa" w:w="2351"/>
            <w:shd w:fill="F0F4F8"/>
          </w:tcPr>
          <w:p>
            <w:r>
              <w:rPr>
                <w:rFonts w:ascii="Calibri" w:hAnsi="Calibri"/>
                <w:b w:val="0"/>
                <w:color w:val="333333"/>
                <w:sz w:val="20"/>
              </w:rPr>
              <w:t>December</w:t>
            </w:r>
          </w:p>
        </w:tc>
        <w:tc>
          <w:tcPr>
            <w:tcW w:type="dxa" w:w="2351"/>
            <w:shd w:fill="F0F4F8"/>
          </w:tcPr>
          <w:p>
            <w:r>
              <w:rPr>
                <w:rFonts w:ascii="Calibri" w:hAnsi="Calibri"/>
                <w:b w:val="0"/>
                <w:color w:val="333333"/>
                <w:sz w:val="20"/>
              </w:rPr>
              <w:t>Holiday Break</w:t>
            </w:r>
          </w:p>
        </w:tc>
        <w:tc>
          <w:tcPr>
            <w:tcW w:type="dxa" w:w="2351"/>
            <w:shd w:fill="F0F4F8"/>
          </w:tcPr>
          <w:p>
            <w:r>
              <w:rPr>
                <w:rFonts w:ascii="Calibri" w:hAnsi="Calibri"/>
                <w:b w:val="0"/>
                <w:color w:val="333333"/>
                <w:sz w:val="20"/>
              </w:rPr>
              <w:t>—</w:t>
            </w:r>
          </w:p>
        </w:tc>
        <w:tc>
          <w:tcPr>
            <w:tcW w:type="dxa" w:w="2351"/>
            <w:shd w:fill="F0F4F8"/>
          </w:tcPr>
          <w:p>
            <w:r>
              <w:rPr>
                <w:rFonts w:ascii="Calibri" w:hAnsi="Calibri"/>
                <w:b w:val="0"/>
                <w:color w:val="333333"/>
                <w:sz w:val="20"/>
              </w:rPr>
              <w:t>—</w:t>
            </w:r>
          </w:p>
        </w:tc>
      </w:tr>
      <w:tr>
        <w:tc>
          <w:tcPr>
            <w:tcW w:type="dxa" w:w="2351"/>
          </w:tcPr>
          <w:p>
            <w:r>
              <w:rPr>
                <w:rFonts w:ascii="Calibri" w:hAnsi="Calibri"/>
                <w:b w:val="0"/>
                <w:color w:val="333333"/>
                <w:sz w:val="20"/>
              </w:rPr>
              <w:t>January</w:t>
            </w:r>
          </w:p>
        </w:tc>
        <w:tc>
          <w:tcPr>
            <w:tcW w:type="dxa" w:w="2351"/>
          </w:tcPr>
          <w:p>
            <w:r>
              <w:rPr>
                <w:rFonts w:ascii="Calibri" w:hAnsi="Calibri"/>
                <w:b w:val="0"/>
                <w:color w:val="333333"/>
                <w:sz w:val="20"/>
              </w:rPr>
              <w:t>Robotic MIGS in Complex Endometriosis</w:t>
              <w:br/>
              <w:t>Lecturer: Chris Mabini, DO</w:t>
            </w:r>
          </w:p>
        </w:tc>
        <w:tc>
          <w:tcPr>
            <w:tcW w:type="dxa" w:w="2351"/>
          </w:tcPr>
          <w:p>
            <w:r>
              <w:rPr>
                <w:rFonts w:ascii="Calibri" w:hAnsi="Calibri"/>
                <w:b w:val="0"/>
                <w:color w:val="333333"/>
                <w:sz w:val="20"/>
              </w:rPr>
              <w:t>Robotics Drills: Complex DIE simulation</w:t>
              <w:br/>
              <w:t>Moderators: Teresa Tam, MD &amp; Intuitive Reps</w:t>
            </w:r>
          </w:p>
        </w:tc>
        <w:tc>
          <w:tcPr>
            <w:tcW w:type="dxa" w:w="2351"/>
          </w:tcPr>
          <w:p>
            <w:r>
              <w:rPr>
                <w:rFonts w:ascii="Calibri" w:hAnsi="Calibri"/>
                <w:b w:val="0"/>
                <w:color w:val="333333"/>
                <w:sz w:val="20"/>
              </w:rPr>
              <w:t>SJH Main OR Room #5</w:t>
            </w:r>
          </w:p>
        </w:tc>
      </w:tr>
      <w:tr>
        <w:tc>
          <w:tcPr>
            <w:tcW w:type="dxa" w:w="2351"/>
            <w:shd w:fill="F0F4F8"/>
          </w:tcPr>
          <w:p>
            <w:r>
              <w:rPr>
                <w:rFonts w:ascii="Calibri" w:hAnsi="Calibri"/>
                <w:b w:val="0"/>
                <w:color w:val="333333"/>
                <w:sz w:val="20"/>
              </w:rPr>
              <w:t>February</w:t>
            </w:r>
          </w:p>
        </w:tc>
        <w:tc>
          <w:tcPr>
            <w:tcW w:type="dxa" w:w="2351"/>
            <w:shd w:fill="F0F4F8"/>
          </w:tcPr>
          <w:p>
            <w:r>
              <w:rPr>
                <w:rFonts w:ascii="Calibri" w:hAnsi="Calibri"/>
                <w:b w:val="0"/>
                <w:color w:val="333333"/>
                <w:sz w:val="20"/>
              </w:rPr>
              <w:t>Advanced Endo Surgery: ICG &amp; NBI</w:t>
              <w:br/>
              <w:t>Lecturer: Chris Mabini, DO</w:t>
            </w:r>
          </w:p>
        </w:tc>
        <w:tc>
          <w:tcPr>
            <w:tcW w:type="dxa" w:w="2351"/>
            <w:shd w:fill="F0F4F8"/>
          </w:tcPr>
          <w:p>
            <w:r>
              <w:rPr>
                <w:rFonts w:ascii="Calibri" w:hAnsi="Calibri"/>
                <w:b w:val="0"/>
                <w:color w:val="333333"/>
                <w:sz w:val="20"/>
              </w:rPr>
              <w:t>Robotics Skills Drills with ICG simulation</w:t>
              <w:br/>
              <w:t>Moderators: Teresa Tam, MD &amp; Chris Mabini, DO</w:t>
            </w:r>
          </w:p>
        </w:tc>
        <w:tc>
          <w:tcPr>
            <w:tcW w:type="dxa" w:w="2351"/>
            <w:shd w:fill="F0F4F8"/>
          </w:tcPr>
          <w:p>
            <w:r>
              <w:rPr>
                <w:rFonts w:ascii="Calibri" w:hAnsi="Calibri"/>
                <w:b w:val="0"/>
                <w:color w:val="333333"/>
                <w:sz w:val="20"/>
              </w:rPr>
              <w:t>SJH Main OR Room #5</w:t>
            </w:r>
          </w:p>
        </w:tc>
      </w:tr>
      <w:tr>
        <w:tc>
          <w:tcPr>
            <w:tcW w:type="dxa" w:w="2351"/>
          </w:tcPr>
          <w:p>
            <w:r>
              <w:rPr>
                <w:rFonts w:ascii="Calibri" w:hAnsi="Calibri"/>
                <w:b w:val="0"/>
                <w:color w:val="333333"/>
                <w:sz w:val="20"/>
              </w:rPr>
              <w:t>March</w:t>
            </w:r>
          </w:p>
        </w:tc>
        <w:tc>
          <w:tcPr>
            <w:tcW w:type="dxa" w:w="2351"/>
          </w:tcPr>
          <w:p>
            <w:r>
              <w:rPr>
                <w:rFonts w:ascii="Calibri" w:hAnsi="Calibri"/>
                <w:b w:val="0"/>
                <w:color w:val="333333"/>
                <w:sz w:val="20"/>
              </w:rPr>
              <w:t>Isthmocele: Multi-Modal Repair</w:t>
              <w:br/>
              <w:t>Lecturer: Chris Mabini, DO</w:t>
            </w:r>
          </w:p>
        </w:tc>
        <w:tc>
          <w:tcPr>
            <w:tcW w:type="dxa" w:w="2351"/>
          </w:tcPr>
          <w:p>
            <w:r>
              <w:rPr>
                <w:rFonts w:ascii="Calibri" w:hAnsi="Calibri"/>
                <w:b w:val="0"/>
                <w:color w:val="333333"/>
                <w:sz w:val="20"/>
              </w:rPr>
              <w:t>Combined Hysteroscopic + Laparoscopic Lab</w:t>
              <w:br/>
              <w:t>Moderators: Dr. Sankey-Thomas &amp; Chris Mabini, DO</w:t>
            </w:r>
          </w:p>
        </w:tc>
        <w:tc>
          <w:tcPr>
            <w:tcW w:type="dxa" w:w="2351"/>
          </w:tcPr>
          <w:p>
            <w:r>
              <w:rPr>
                <w:rFonts w:ascii="Calibri" w:hAnsi="Calibri"/>
                <w:b w:val="0"/>
                <w:color w:val="333333"/>
                <w:sz w:val="20"/>
              </w:rPr>
              <w:t>Bakken Conference Center</w:t>
            </w:r>
          </w:p>
        </w:tc>
      </w:tr>
      <w:tr>
        <w:tc>
          <w:tcPr>
            <w:tcW w:type="dxa" w:w="2351"/>
            <w:shd w:fill="F0F4F8"/>
          </w:tcPr>
          <w:p>
            <w:r>
              <w:rPr>
                <w:rFonts w:ascii="Calibri" w:hAnsi="Calibri"/>
                <w:b w:val="0"/>
                <w:color w:val="333333"/>
                <w:sz w:val="20"/>
              </w:rPr>
              <w:t>April</w:t>
            </w:r>
          </w:p>
        </w:tc>
        <w:tc>
          <w:tcPr>
            <w:tcW w:type="dxa" w:w="2351"/>
            <w:shd w:fill="F0F4F8"/>
          </w:tcPr>
          <w:p>
            <w:r>
              <w:rPr>
                <w:rFonts w:ascii="Calibri" w:hAnsi="Calibri"/>
                <w:b w:val="0"/>
                <w:color w:val="333333"/>
                <w:sz w:val="20"/>
              </w:rPr>
              <w:t>Complex Myomectomy</w:t>
              <w:br/>
              <w:t>Lecturer: Teresa Tam, MD</w:t>
            </w:r>
          </w:p>
        </w:tc>
        <w:tc>
          <w:tcPr>
            <w:tcW w:type="dxa" w:w="2351"/>
            <w:shd w:fill="F0F4F8"/>
          </w:tcPr>
          <w:p>
            <w:r>
              <w:rPr>
                <w:rFonts w:ascii="Calibri" w:hAnsi="Calibri"/>
                <w:b w:val="0"/>
                <w:color w:val="333333"/>
                <w:sz w:val="20"/>
              </w:rPr>
              <w:t>Robotics Skills Drills</w:t>
              <w:br/>
              <w:t>Moderator: Teresa Tam, MD</w:t>
            </w:r>
          </w:p>
        </w:tc>
        <w:tc>
          <w:tcPr>
            <w:tcW w:type="dxa" w:w="2351"/>
            <w:shd w:fill="F0F4F8"/>
          </w:tcPr>
          <w:p>
            <w:r>
              <w:rPr>
                <w:rFonts w:ascii="Calibri" w:hAnsi="Calibri"/>
                <w:b w:val="0"/>
                <w:color w:val="333333"/>
                <w:sz w:val="20"/>
              </w:rPr>
              <w:t>SJH Main OR Room #5</w:t>
            </w:r>
          </w:p>
        </w:tc>
      </w:tr>
      <w:tr>
        <w:tc>
          <w:tcPr>
            <w:tcW w:type="dxa" w:w="2351"/>
          </w:tcPr>
          <w:p>
            <w:r>
              <w:rPr>
                <w:rFonts w:ascii="Calibri" w:hAnsi="Calibri"/>
                <w:b w:val="0"/>
                <w:color w:val="333333"/>
                <w:sz w:val="20"/>
              </w:rPr>
              <w:t>May</w:t>
            </w:r>
          </w:p>
        </w:tc>
        <w:tc>
          <w:tcPr>
            <w:tcW w:type="dxa" w:w="2351"/>
          </w:tcPr>
          <w:p>
            <w:r>
              <w:rPr>
                <w:rFonts w:ascii="Calibri" w:hAnsi="Calibri"/>
                <w:b w:val="0"/>
                <w:color w:val="333333"/>
                <w:sz w:val="20"/>
              </w:rPr>
              <w:t>Holiday/Memorial Day</w:t>
            </w:r>
          </w:p>
        </w:tc>
        <w:tc>
          <w:tcPr>
            <w:tcW w:type="dxa" w:w="2351"/>
          </w:tcPr>
          <w:p>
            <w:r>
              <w:rPr>
                <w:rFonts w:ascii="Calibri" w:hAnsi="Calibri"/>
                <w:b w:val="0"/>
                <w:color w:val="333333"/>
                <w:sz w:val="20"/>
              </w:rPr>
              <w:t>—</w:t>
            </w:r>
          </w:p>
        </w:tc>
        <w:tc>
          <w:tcPr>
            <w:tcW w:type="dxa" w:w="2351"/>
          </w:tcPr>
          <w:p>
            <w:r>
              <w:rPr>
                <w:rFonts w:ascii="Calibri" w:hAnsi="Calibri"/>
                <w:b w:val="0"/>
                <w:color w:val="333333"/>
                <w:sz w:val="20"/>
              </w:rPr>
              <w:t>—</w:t>
            </w:r>
          </w:p>
        </w:tc>
      </w:tr>
    </w:tbl>
    <w:p>
      <w:r>
        <w:br w:type="page"/>
      </w:r>
    </w:p>
    <w:p>
      <w:pPr>
        <w:jc w:val="left"/>
      </w:pPr>
      <w:r>
        <w:rPr>
          <w:rFonts w:ascii="Calibri" w:hAnsi="Calibri"/>
          <w:i/>
          <w:color w:val="2E86AB"/>
          <w:sz w:val="20"/>
        </w:rPr>
        <w:t>Section 9 • Updated Fellow Profile &amp; Timeline</w:t>
      </w:r>
    </w:p>
    <w:p>
      <w:pPr>
        <w:pStyle w:val="Heading1"/>
      </w:pPr>
      <w:r>
        <w:t>Fellow Profile — 3-Year Fellowship</w:t>
      </w:r>
    </w:p>
    <w:p>
      <w:r>
        <w:rPr>
          <w:b/>
          <w:color w:val="1B3A5C"/>
          <w:sz w:val="28"/>
        </w:rPr>
        <w:t>Christopher Zaragoza Mabini, DO, MSAEd</w:t>
      </w:r>
    </w:p>
    <w:p>
      <w:r>
        <w:t>FMIGS Fellow • Class of 2026 (Extended)</w:t>
      </w:r>
    </w:p>
    <w:tbl>
      <w:tblPr>
        <w:tblStyle w:val="TableGrid"/>
        <w:tblW w:type="auto" w:w="0"/>
        <w:jc w:val="center"/>
        <w:tblLook w:firstColumn="1" w:firstRow="1" w:lastColumn="0" w:lastRow="0" w:noHBand="0" w:noVBand="1" w:val="04A0"/>
      </w:tblPr>
      <w:tblGrid>
        <w:gridCol w:w="4703"/>
        <w:gridCol w:w="4703"/>
      </w:tblGrid>
      <w:tr>
        <w:tc>
          <w:tcPr>
            <w:tcW w:type="dxa" w:w="4703"/>
            <w:shd w:fill="1B3A5C"/>
          </w:tcPr>
          <w:p>
            <w:pPr>
              <w:jc w:val="left"/>
            </w:pPr>
            <w:r>
              <w:rPr>
                <w:rFonts w:ascii="Calibri" w:hAnsi="Calibri"/>
                <w:b/>
                <w:color w:val="FFFFFF"/>
                <w:sz w:val="20"/>
              </w:rPr>
              <w:t>Parameter</w:t>
            </w:r>
          </w:p>
        </w:tc>
        <w:tc>
          <w:tcPr>
            <w:tcW w:type="dxa" w:w="4703"/>
            <w:shd w:fill="1B3A5C"/>
          </w:tcPr>
          <w:p>
            <w:pPr>
              <w:jc w:val="left"/>
            </w:pPr>
            <w:r>
              <w:rPr>
                <w:rFonts w:ascii="Calibri" w:hAnsi="Calibri"/>
                <w:b/>
                <w:color w:val="FFFFFF"/>
                <w:sz w:val="20"/>
              </w:rPr>
              <w:t>Details</w:t>
            </w:r>
          </w:p>
        </w:tc>
      </w:tr>
      <w:tr>
        <w:tc>
          <w:tcPr>
            <w:tcW w:type="dxa" w:w="4703"/>
          </w:tcPr>
          <w:p>
            <w:r>
              <w:rPr>
                <w:rFonts w:ascii="Calibri" w:hAnsi="Calibri"/>
                <w:b w:val="0"/>
                <w:color w:val="333333"/>
                <w:sz w:val="20"/>
              </w:rPr>
              <w:t>Fellowship Period</w:t>
            </w:r>
          </w:p>
        </w:tc>
        <w:tc>
          <w:tcPr>
            <w:tcW w:type="dxa" w:w="4703"/>
          </w:tcPr>
          <w:p>
            <w:r>
              <w:rPr>
                <w:rFonts w:ascii="Calibri" w:hAnsi="Calibri"/>
                <w:b w:val="0"/>
                <w:color w:val="333333"/>
                <w:sz w:val="20"/>
              </w:rPr>
              <w:t>July 2023 – July 2026 (36 Months)</w:t>
            </w:r>
          </w:p>
        </w:tc>
      </w:tr>
      <w:tr>
        <w:tc>
          <w:tcPr>
            <w:tcW w:type="dxa" w:w="4703"/>
            <w:shd w:fill="F0F4F8"/>
          </w:tcPr>
          <w:p>
            <w:r>
              <w:rPr>
                <w:rFonts w:ascii="Calibri" w:hAnsi="Calibri"/>
                <w:b w:val="0"/>
                <w:color w:val="333333"/>
                <w:sz w:val="20"/>
              </w:rPr>
              <w:t>Original Completion</w:t>
            </w:r>
          </w:p>
        </w:tc>
        <w:tc>
          <w:tcPr>
            <w:tcW w:type="dxa" w:w="4703"/>
            <w:shd w:fill="F0F4F8"/>
          </w:tcPr>
          <w:p>
            <w:r>
              <w:rPr>
                <w:rFonts w:ascii="Calibri" w:hAnsi="Calibri"/>
                <w:b w:val="0"/>
                <w:color w:val="333333"/>
                <w:sz w:val="20"/>
              </w:rPr>
              <w:t>August 2025 (24 Months)</w:t>
            </w:r>
          </w:p>
        </w:tc>
      </w:tr>
      <w:tr>
        <w:tc>
          <w:tcPr>
            <w:tcW w:type="dxa" w:w="4703"/>
          </w:tcPr>
          <w:p>
            <w:r>
              <w:rPr>
                <w:rFonts w:ascii="Calibri" w:hAnsi="Calibri"/>
                <w:b w:val="0"/>
                <w:color w:val="333333"/>
                <w:sz w:val="20"/>
              </w:rPr>
              <w:t>Extended Completion</w:t>
            </w:r>
          </w:p>
        </w:tc>
        <w:tc>
          <w:tcPr>
            <w:tcW w:type="dxa" w:w="4703"/>
          </w:tcPr>
          <w:p>
            <w:r>
              <w:rPr>
                <w:rFonts w:ascii="Calibri" w:hAnsi="Calibri"/>
                <w:b w:val="0"/>
                <w:color w:val="333333"/>
                <w:sz w:val="20"/>
              </w:rPr>
              <w:t>July 2026 (36 Months)</w:t>
            </w:r>
          </w:p>
        </w:tc>
      </w:tr>
      <w:tr>
        <w:tc>
          <w:tcPr>
            <w:tcW w:type="dxa" w:w="4703"/>
            <w:shd w:fill="F0F4F8"/>
          </w:tcPr>
          <w:p>
            <w:r>
              <w:rPr>
                <w:rFonts w:ascii="Calibri" w:hAnsi="Calibri"/>
                <w:b w:val="0"/>
                <w:color w:val="333333"/>
                <w:sz w:val="20"/>
              </w:rPr>
              <w:t>ABOG Written</w:t>
            </w:r>
          </w:p>
        </w:tc>
        <w:tc>
          <w:tcPr>
            <w:tcW w:type="dxa" w:w="4703"/>
            <w:shd w:fill="F0F4F8"/>
          </w:tcPr>
          <w:p>
            <w:r>
              <w:rPr>
                <w:rFonts w:ascii="Calibri" w:hAnsi="Calibri"/>
                <w:b w:val="0"/>
                <w:color w:val="333333"/>
                <w:sz w:val="20"/>
              </w:rPr>
              <w:t>Passed July 2023</w:t>
            </w:r>
          </w:p>
        </w:tc>
      </w:tr>
      <w:tr>
        <w:tc>
          <w:tcPr>
            <w:tcW w:type="dxa" w:w="4703"/>
          </w:tcPr>
          <w:p>
            <w:r>
              <w:rPr>
                <w:rFonts w:ascii="Calibri" w:hAnsi="Calibri"/>
                <w:b w:val="0"/>
                <w:color w:val="333333"/>
                <w:sz w:val="20"/>
              </w:rPr>
              <w:t>AAGL FMIGS Skills</w:t>
            </w:r>
          </w:p>
        </w:tc>
        <w:tc>
          <w:tcPr>
            <w:tcW w:type="dxa" w:w="4703"/>
          </w:tcPr>
          <w:p>
            <w:r>
              <w:rPr>
                <w:rFonts w:ascii="Calibri" w:hAnsi="Calibri"/>
                <w:b w:val="0"/>
                <w:color w:val="333333"/>
                <w:sz w:val="20"/>
              </w:rPr>
              <w:t>Passed October 2023</w:t>
            </w:r>
          </w:p>
        </w:tc>
      </w:tr>
      <w:tr>
        <w:tc>
          <w:tcPr>
            <w:tcW w:type="dxa" w:w="4703"/>
            <w:shd w:fill="F0F4F8"/>
          </w:tcPr>
          <w:p>
            <w:r>
              <w:rPr>
                <w:rFonts w:ascii="Calibri" w:hAnsi="Calibri"/>
                <w:b w:val="0"/>
                <w:color w:val="333333"/>
                <w:sz w:val="20"/>
              </w:rPr>
              <w:t>Oral Boards</w:t>
            </w:r>
          </w:p>
        </w:tc>
        <w:tc>
          <w:tcPr>
            <w:tcW w:type="dxa" w:w="4703"/>
            <w:shd w:fill="F0F4F8"/>
          </w:tcPr>
          <w:p>
            <w:r>
              <w:rPr>
                <w:rFonts w:ascii="Calibri" w:hAnsi="Calibri"/>
                <w:b w:val="0"/>
                <w:color w:val="333333"/>
                <w:sz w:val="20"/>
              </w:rPr>
              <w:t>Eligible Fall/Winter 2026</w:t>
            </w:r>
          </w:p>
        </w:tc>
      </w:tr>
    </w:tbl>
    <w:p/>
    <w:p>
      <w:pPr>
        <w:pStyle w:val="Heading2"/>
      </w:pPr>
      <w:r>
        <w:t>Awards and Recognition</w:t>
      </w:r>
    </w:p>
    <w:p>
      <w:pPr>
        <w:pStyle w:val="ListBullet"/>
      </w:pPr>
      <w:r>
        <w:t>Golden Hysteroscope Award — Best Video Abstract in Hysteroscopy, AAGL Global Congress 2024</w:t>
      </w:r>
    </w:p>
    <w:p>
      <w:pPr>
        <w:pStyle w:val="ListBullet"/>
      </w:pPr>
      <w:r>
        <w:t>George M. Morley Award — Best Gynecological Research, CAOG Annual Meeting 2023</w:t>
      </w:r>
    </w:p>
    <w:p>
      <w:pPr>
        <w:pStyle w:val="ListBullet"/>
      </w:pPr>
      <w:r>
        <w:t>Excellence in MIGS — AAGL 2023</w:t>
      </w:r>
    </w:p>
    <w:p>
      <w:pPr>
        <w:pStyle w:val="ListBullet"/>
      </w:pPr>
      <w:r>
        <w:t>Surgical Skills Chief — Ascension Illinois St. Alexius OB/GYN Residency (PGY4)</w:t>
      </w:r>
    </w:p>
    <w:p>
      <w:r>
        <w:br w:type="page"/>
      </w:r>
    </w:p>
    <w:p>
      <w:pPr>
        <w:jc w:val="left"/>
      </w:pPr>
      <w:r>
        <w:rPr>
          <w:rFonts w:ascii="Calibri" w:hAnsi="Calibri"/>
          <w:i/>
          <w:color w:val="2E86AB"/>
          <w:sz w:val="20"/>
        </w:rPr>
        <w:t>Section 10 • Year 3 Case Volume Projections</w:t>
      </w:r>
    </w:p>
    <w:p>
      <w:pPr>
        <w:pStyle w:val="Heading1"/>
      </w:pPr>
      <w:r>
        <w:t>Fellow Case Log — Year 3 Projections</w:t>
      </w:r>
    </w:p>
    <w:p>
      <w:pPr>
        <w:pStyle w:val="Heading2"/>
      </w:pPr>
      <w:r>
        <w:t>Years 1–2 Summary (September 2023 – July 2025)</w:t>
      </w:r>
    </w:p>
    <w:p>
      <w:pPr>
        <w:pStyle w:val="ListBullet"/>
      </w:pPr>
      <w:r>
        <w:t>341 Total Cases | 609 Total Procedures | 243% Average FMIGS Requirement Completion</w:t>
      </w:r>
    </w:p>
    <w:p>
      <w:pPr>
        <w:pStyle w:val="ListBullet"/>
      </w:pPr>
      <w:r>
        <w:t>All 9 FMIGS requirements met</w:t>
      </w:r>
    </w:p>
    <w:p>
      <w:pPr>
        <w:pStyle w:val="ListBullet"/>
      </w:pPr>
      <w:r>
        <w:t>2.1% complication rate (7 minor complications)</w:t>
      </w:r>
    </w:p>
    <w:p>
      <w:pPr>
        <w:pStyle w:val="ListBullet"/>
      </w:pPr>
      <w:r>
        <w:t>63% increase from Year 1 to Year 2</w:t>
      </w:r>
    </w:p>
    <w:p/>
    <w:p>
      <w:pPr>
        <w:pStyle w:val="Heading2"/>
      </w:pPr>
      <w:r>
        <w:t>Year 3 Projected Case Volume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B3A5C"/>
          </w:tcPr>
          <w:p>
            <w:pPr>
              <w:jc w:val="left"/>
            </w:pPr>
            <w:r>
              <w:rPr>
                <w:rFonts w:ascii="Calibri" w:hAnsi="Calibri"/>
                <w:b/>
                <w:color w:val="FFFFFF"/>
                <w:sz w:val="20"/>
              </w:rPr>
              <w:t>Procedure Category</w:t>
            </w:r>
          </w:p>
        </w:tc>
        <w:tc>
          <w:tcPr>
            <w:tcW w:type="dxa" w:w="1881"/>
            <w:shd w:fill="1B3A5C"/>
          </w:tcPr>
          <w:p>
            <w:pPr>
              <w:jc w:val="left"/>
            </w:pPr>
            <w:r>
              <w:rPr>
                <w:rFonts w:ascii="Calibri" w:hAnsi="Calibri"/>
                <w:b/>
                <w:color w:val="FFFFFF"/>
                <w:sz w:val="20"/>
              </w:rPr>
              <w:t>FMIGS Min</w:t>
            </w:r>
          </w:p>
        </w:tc>
        <w:tc>
          <w:tcPr>
            <w:tcW w:type="dxa" w:w="1881"/>
            <w:shd w:fill="1B3A5C"/>
          </w:tcPr>
          <w:p>
            <w:pPr>
              <w:jc w:val="left"/>
            </w:pPr>
            <w:r>
              <w:rPr>
                <w:rFonts w:ascii="Calibri" w:hAnsi="Calibri"/>
                <w:b/>
                <w:color w:val="FFFFFF"/>
                <w:sz w:val="20"/>
              </w:rPr>
              <w:t>Completed (Yr 1–2)</w:t>
            </w:r>
          </w:p>
        </w:tc>
        <w:tc>
          <w:tcPr>
            <w:tcW w:type="dxa" w:w="1881"/>
            <w:shd w:fill="1B3A5C"/>
          </w:tcPr>
          <w:p>
            <w:pPr>
              <w:jc w:val="left"/>
            </w:pPr>
            <w:r>
              <w:rPr>
                <w:rFonts w:ascii="Calibri" w:hAnsi="Calibri"/>
                <w:b/>
                <w:color w:val="FFFFFF"/>
                <w:sz w:val="20"/>
              </w:rPr>
              <w:t>Year 3 Projected</w:t>
            </w:r>
          </w:p>
        </w:tc>
        <w:tc>
          <w:tcPr>
            <w:tcW w:type="dxa" w:w="1881"/>
            <w:shd w:fill="1B3A5C"/>
          </w:tcPr>
          <w:p>
            <w:pPr>
              <w:jc w:val="left"/>
            </w:pPr>
            <w:r>
              <w:rPr>
                <w:rFonts w:ascii="Calibri" w:hAnsi="Calibri"/>
                <w:b/>
                <w:color w:val="FFFFFF"/>
                <w:sz w:val="20"/>
              </w:rPr>
              <w:t>Cumulative Total</w:t>
            </w:r>
          </w:p>
        </w:tc>
      </w:tr>
      <w:tr>
        <w:tc>
          <w:tcPr>
            <w:tcW w:type="dxa" w:w="1881"/>
          </w:tcPr>
          <w:p>
            <w:r>
              <w:rPr>
                <w:rFonts w:ascii="Calibri" w:hAnsi="Calibri"/>
                <w:b w:val="0"/>
                <w:color w:val="333333"/>
                <w:sz w:val="20"/>
              </w:rPr>
              <w:t>Hysteroscopic Procedures</w:t>
            </w:r>
          </w:p>
        </w:tc>
        <w:tc>
          <w:tcPr>
            <w:tcW w:type="dxa" w:w="1881"/>
          </w:tcPr>
          <w:p>
            <w:r>
              <w:rPr>
                <w:rFonts w:ascii="Calibri" w:hAnsi="Calibri"/>
                <w:b w:val="0"/>
                <w:color w:val="333333"/>
                <w:sz w:val="20"/>
              </w:rPr>
              <w:t>25</w:t>
            </w:r>
          </w:p>
        </w:tc>
        <w:tc>
          <w:tcPr>
            <w:tcW w:type="dxa" w:w="1881"/>
          </w:tcPr>
          <w:p>
            <w:r>
              <w:rPr>
                <w:rFonts w:ascii="Calibri" w:hAnsi="Calibri"/>
                <w:b w:val="0"/>
                <w:color w:val="333333"/>
                <w:sz w:val="20"/>
              </w:rPr>
              <w:t>57</w:t>
            </w:r>
          </w:p>
        </w:tc>
        <w:tc>
          <w:tcPr>
            <w:tcW w:type="dxa" w:w="1881"/>
          </w:tcPr>
          <w:p>
            <w:r>
              <w:rPr>
                <w:rFonts w:ascii="Calibri" w:hAnsi="Calibri"/>
                <w:b w:val="0"/>
                <w:color w:val="333333"/>
                <w:sz w:val="20"/>
              </w:rPr>
              <w:t>30–40</w:t>
            </w:r>
          </w:p>
        </w:tc>
        <w:tc>
          <w:tcPr>
            <w:tcW w:type="dxa" w:w="1881"/>
          </w:tcPr>
          <w:p>
            <w:r>
              <w:rPr>
                <w:rFonts w:ascii="Calibri" w:hAnsi="Calibri"/>
                <w:b w:val="0"/>
                <w:color w:val="333333"/>
                <w:sz w:val="20"/>
              </w:rPr>
              <w:t>87–97</w:t>
            </w:r>
          </w:p>
        </w:tc>
      </w:tr>
      <w:tr>
        <w:tc>
          <w:tcPr>
            <w:tcW w:type="dxa" w:w="1881"/>
            <w:shd w:fill="F0F4F8"/>
          </w:tcPr>
          <w:p>
            <w:r>
              <w:rPr>
                <w:rFonts w:ascii="Calibri" w:hAnsi="Calibri"/>
                <w:b w:val="0"/>
                <w:color w:val="333333"/>
                <w:sz w:val="20"/>
              </w:rPr>
              <w:t>Minimally Invasive Hysterectomy</w:t>
            </w:r>
          </w:p>
        </w:tc>
        <w:tc>
          <w:tcPr>
            <w:tcW w:type="dxa" w:w="1881"/>
            <w:shd w:fill="F0F4F8"/>
          </w:tcPr>
          <w:p>
            <w:r>
              <w:rPr>
                <w:rFonts w:ascii="Calibri" w:hAnsi="Calibri"/>
                <w:b w:val="0"/>
                <w:color w:val="333333"/>
                <w:sz w:val="20"/>
              </w:rPr>
              <w:t>110</w:t>
            </w:r>
          </w:p>
        </w:tc>
        <w:tc>
          <w:tcPr>
            <w:tcW w:type="dxa" w:w="1881"/>
            <w:shd w:fill="F0F4F8"/>
          </w:tcPr>
          <w:p>
            <w:r>
              <w:rPr>
                <w:rFonts w:ascii="Calibri" w:hAnsi="Calibri"/>
                <w:b w:val="0"/>
                <w:color w:val="333333"/>
                <w:sz w:val="20"/>
              </w:rPr>
              <w:t>134</w:t>
            </w:r>
          </w:p>
        </w:tc>
        <w:tc>
          <w:tcPr>
            <w:tcW w:type="dxa" w:w="1881"/>
            <w:shd w:fill="F0F4F8"/>
          </w:tcPr>
          <w:p>
            <w:r>
              <w:rPr>
                <w:rFonts w:ascii="Calibri" w:hAnsi="Calibri"/>
                <w:b w:val="0"/>
                <w:color w:val="333333"/>
                <w:sz w:val="20"/>
              </w:rPr>
              <w:t>60–80</w:t>
            </w:r>
          </w:p>
        </w:tc>
        <w:tc>
          <w:tcPr>
            <w:tcW w:type="dxa" w:w="1881"/>
            <w:shd w:fill="F0F4F8"/>
          </w:tcPr>
          <w:p>
            <w:r>
              <w:rPr>
                <w:rFonts w:ascii="Calibri" w:hAnsi="Calibri"/>
                <w:b w:val="0"/>
                <w:color w:val="333333"/>
                <w:sz w:val="20"/>
              </w:rPr>
              <w:t>194–214</w:t>
            </w:r>
          </w:p>
        </w:tc>
      </w:tr>
      <w:tr>
        <w:tc>
          <w:tcPr>
            <w:tcW w:type="dxa" w:w="1881"/>
          </w:tcPr>
          <w:p>
            <w:r>
              <w:rPr>
                <w:rFonts w:ascii="Calibri" w:hAnsi="Calibri"/>
                <w:b w:val="0"/>
                <w:color w:val="333333"/>
                <w:sz w:val="20"/>
              </w:rPr>
              <w:t>Myomectomy</w:t>
            </w:r>
          </w:p>
        </w:tc>
        <w:tc>
          <w:tcPr>
            <w:tcW w:type="dxa" w:w="1881"/>
          </w:tcPr>
          <w:p>
            <w:r>
              <w:rPr>
                <w:rFonts w:ascii="Calibri" w:hAnsi="Calibri"/>
                <w:b w:val="0"/>
                <w:color w:val="333333"/>
                <w:sz w:val="20"/>
              </w:rPr>
              <w:t>15</w:t>
            </w:r>
          </w:p>
        </w:tc>
        <w:tc>
          <w:tcPr>
            <w:tcW w:type="dxa" w:w="1881"/>
          </w:tcPr>
          <w:p>
            <w:r>
              <w:rPr>
                <w:rFonts w:ascii="Calibri" w:hAnsi="Calibri"/>
                <w:b w:val="0"/>
                <w:color w:val="333333"/>
                <w:sz w:val="20"/>
              </w:rPr>
              <w:t>28</w:t>
            </w:r>
          </w:p>
        </w:tc>
        <w:tc>
          <w:tcPr>
            <w:tcW w:type="dxa" w:w="1881"/>
          </w:tcPr>
          <w:p>
            <w:r>
              <w:rPr>
                <w:rFonts w:ascii="Calibri" w:hAnsi="Calibri"/>
                <w:b w:val="0"/>
                <w:color w:val="333333"/>
                <w:sz w:val="20"/>
              </w:rPr>
              <w:t>15–20</w:t>
            </w:r>
          </w:p>
        </w:tc>
        <w:tc>
          <w:tcPr>
            <w:tcW w:type="dxa" w:w="1881"/>
          </w:tcPr>
          <w:p>
            <w:r>
              <w:rPr>
                <w:rFonts w:ascii="Calibri" w:hAnsi="Calibri"/>
                <w:b w:val="0"/>
                <w:color w:val="333333"/>
                <w:sz w:val="20"/>
              </w:rPr>
              <w:t>43–48</w:t>
            </w:r>
          </w:p>
        </w:tc>
      </w:tr>
      <w:tr>
        <w:tc>
          <w:tcPr>
            <w:tcW w:type="dxa" w:w="1881"/>
            <w:shd w:fill="F0F4F8"/>
          </w:tcPr>
          <w:p>
            <w:r>
              <w:rPr>
                <w:rFonts w:ascii="Calibri" w:hAnsi="Calibri"/>
                <w:b w:val="0"/>
                <w:color w:val="333333"/>
                <w:sz w:val="20"/>
              </w:rPr>
              <w:t>Adnexal Surgery</w:t>
            </w:r>
          </w:p>
        </w:tc>
        <w:tc>
          <w:tcPr>
            <w:tcW w:type="dxa" w:w="1881"/>
            <w:shd w:fill="F0F4F8"/>
          </w:tcPr>
          <w:p>
            <w:r>
              <w:rPr>
                <w:rFonts w:ascii="Calibri" w:hAnsi="Calibri"/>
                <w:b w:val="0"/>
                <w:color w:val="333333"/>
                <w:sz w:val="20"/>
              </w:rPr>
              <w:t>35</w:t>
            </w:r>
          </w:p>
        </w:tc>
        <w:tc>
          <w:tcPr>
            <w:tcW w:type="dxa" w:w="1881"/>
            <w:shd w:fill="F0F4F8"/>
          </w:tcPr>
          <w:p>
            <w:r>
              <w:rPr>
                <w:rFonts w:ascii="Calibri" w:hAnsi="Calibri"/>
                <w:b w:val="0"/>
                <w:color w:val="333333"/>
                <w:sz w:val="20"/>
              </w:rPr>
              <w:t>75</w:t>
            </w:r>
          </w:p>
        </w:tc>
        <w:tc>
          <w:tcPr>
            <w:tcW w:type="dxa" w:w="1881"/>
            <w:shd w:fill="F0F4F8"/>
          </w:tcPr>
          <w:p>
            <w:r>
              <w:rPr>
                <w:rFonts w:ascii="Calibri" w:hAnsi="Calibri"/>
                <w:b w:val="0"/>
                <w:color w:val="333333"/>
                <w:sz w:val="20"/>
              </w:rPr>
              <w:t>30–40</w:t>
            </w:r>
          </w:p>
        </w:tc>
        <w:tc>
          <w:tcPr>
            <w:tcW w:type="dxa" w:w="1881"/>
            <w:shd w:fill="F0F4F8"/>
          </w:tcPr>
          <w:p>
            <w:r>
              <w:rPr>
                <w:rFonts w:ascii="Calibri" w:hAnsi="Calibri"/>
                <w:b w:val="0"/>
                <w:color w:val="333333"/>
                <w:sz w:val="20"/>
              </w:rPr>
              <w:t>105–115</w:t>
            </w:r>
          </w:p>
        </w:tc>
      </w:tr>
      <w:tr>
        <w:tc>
          <w:tcPr>
            <w:tcW w:type="dxa" w:w="1881"/>
          </w:tcPr>
          <w:p>
            <w:r>
              <w:rPr>
                <w:rFonts w:ascii="Calibri" w:hAnsi="Calibri"/>
                <w:b w:val="0"/>
                <w:color w:val="333333"/>
                <w:sz w:val="20"/>
              </w:rPr>
              <w:t>Retroperitoneal Dissection</w:t>
            </w:r>
          </w:p>
        </w:tc>
        <w:tc>
          <w:tcPr>
            <w:tcW w:type="dxa" w:w="1881"/>
          </w:tcPr>
          <w:p>
            <w:r>
              <w:rPr>
                <w:rFonts w:ascii="Calibri" w:hAnsi="Calibri"/>
                <w:b w:val="0"/>
                <w:color w:val="333333"/>
                <w:sz w:val="20"/>
              </w:rPr>
              <w:t>35</w:t>
            </w:r>
          </w:p>
        </w:tc>
        <w:tc>
          <w:tcPr>
            <w:tcW w:type="dxa" w:w="1881"/>
          </w:tcPr>
          <w:p>
            <w:r>
              <w:rPr>
                <w:rFonts w:ascii="Calibri" w:hAnsi="Calibri"/>
                <w:b w:val="0"/>
                <w:color w:val="333333"/>
                <w:sz w:val="20"/>
              </w:rPr>
              <w:t>39</w:t>
            </w:r>
          </w:p>
        </w:tc>
        <w:tc>
          <w:tcPr>
            <w:tcW w:type="dxa" w:w="1881"/>
          </w:tcPr>
          <w:p>
            <w:r>
              <w:rPr>
                <w:rFonts w:ascii="Calibri" w:hAnsi="Calibri"/>
                <w:b w:val="0"/>
                <w:color w:val="333333"/>
                <w:sz w:val="20"/>
              </w:rPr>
              <w:t>20–25</w:t>
            </w:r>
          </w:p>
        </w:tc>
        <w:tc>
          <w:tcPr>
            <w:tcW w:type="dxa" w:w="1881"/>
          </w:tcPr>
          <w:p>
            <w:r>
              <w:rPr>
                <w:rFonts w:ascii="Calibri" w:hAnsi="Calibri"/>
                <w:b w:val="0"/>
                <w:color w:val="333333"/>
                <w:sz w:val="20"/>
              </w:rPr>
              <w:t>59–64</w:t>
            </w:r>
          </w:p>
        </w:tc>
      </w:tr>
      <w:tr>
        <w:tc>
          <w:tcPr>
            <w:tcW w:type="dxa" w:w="1881"/>
            <w:shd w:fill="F0F4F8"/>
          </w:tcPr>
          <w:p>
            <w:r>
              <w:rPr>
                <w:rFonts w:ascii="Calibri" w:hAnsi="Calibri"/>
                <w:b w:val="0"/>
                <w:color w:val="333333"/>
                <w:sz w:val="20"/>
              </w:rPr>
              <w:t>Adhesiolysis</w:t>
            </w:r>
          </w:p>
        </w:tc>
        <w:tc>
          <w:tcPr>
            <w:tcW w:type="dxa" w:w="1881"/>
            <w:shd w:fill="F0F4F8"/>
          </w:tcPr>
          <w:p>
            <w:r>
              <w:rPr>
                <w:rFonts w:ascii="Calibri" w:hAnsi="Calibri"/>
                <w:b w:val="0"/>
                <w:color w:val="333333"/>
                <w:sz w:val="20"/>
              </w:rPr>
              <w:t>30</w:t>
            </w:r>
          </w:p>
        </w:tc>
        <w:tc>
          <w:tcPr>
            <w:tcW w:type="dxa" w:w="1881"/>
            <w:shd w:fill="F0F4F8"/>
          </w:tcPr>
          <w:p>
            <w:r>
              <w:rPr>
                <w:rFonts w:ascii="Calibri" w:hAnsi="Calibri"/>
                <w:b w:val="0"/>
                <w:color w:val="333333"/>
                <w:sz w:val="20"/>
              </w:rPr>
              <w:t>124</w:t>
            </w:r>
          </w:p>
        </w:tc>
        <w:tc>
          <w:tcPr>
            <w:tcW w:type="dxa" w:w="1881"/>
            <w:shd w:fill="F0F4F8"/>
          </w:tcPr>
          <w:p>
            <w:r>
              <w:rPr>
                <w:rFonts w:ascii="Calibri" w:hAnsi="Calibri"/>
                <w:b w:val="0"/>
                <w:color w:val="333333"/>
                <w:sz w:val="20"/>
              </w:rPr>
              <w:t>50–60</w:t>
            </w:r>
          </w:p>
        </w:tc>
        <w:tc>
          <w:tcPr>
            <w:tcW w:type="dxa" w:w="1881"/>
            <w:shd w:fill="F0F4F8"/>
          </w:tcPr>
          <w:p>
            <w:r>
              <w:rPr>
                <w:rFonts w:ascii="Calibri" w:hAnsi="Calibri"/>
                <w:b w:val="0"/>
                <w:color w:val="333333"/>
                <w:sz w:val="20"/>
              </w:rPr>
              <w:t>174–184</w:t>
            </w:r>
          </w:p>
        </w:tc>
      </w:tr>
      <w:tr>
        <w:tc>
          <w:tcPr>
            <w:tcW w:type="dxa" w:w="1881"/>
          </w:tcPr>
          <w:p>
            <w:r>
              <w:rPr>
                <w:rFonts w:ascii="Calibri" w:hAnsi="Calibri"/>
                <w:b w:val="0"/>
                <w:color w:val="333333"/>
                <w:sz w:val="20"/>
              </w:rPr>
              <w:t>Endometriosis (All Stages)</w:t>
            </w:r>
          </w:p>
        </w:tc>
        <w:tc>
          <w:tcPr>
            <w:tcW w:type="dxa" w:w="1881"/>
          </w:tcPr>
          <w:p>
            <w:r>
              <w:rPr>
                <w:rFonts w:ascii="Calibri" w:hAnsi="Calibri"/>
                <w:b w:val="0"/>
                <w:color w:val="333333"/>
                <w:sz w:val="20"/>
              </w:rPr>
              <w:t>35</w:t>
            </w:r>
          </w:p>
        </w:tc>
        <w:tc>
          <w:tcPr>
            <w:tcW w:type="dxa" w:w="1881"/>
          </w:tcPr>
          <w:p>
            <w:r>
              <w:rPr>
                <w:rFonts w:ascii="Calibri" w:hAnsi="Calibri"/>
                <w:b w:val="0"/>
                <w:color w:val="333333"/>
                <w:sz w:val="20"/>
              </w:rPr>
              <w:t>40+</w:t>
            </w:r>
          </w:p>
        </w:tc>
        <w:tc>
          <w:tcPr>
            <w:tcW w:type="dxa" w:w="1881"/>
          </w:tcPr>
          <w:p>
            <w:r>
              <w:rPr>
                <w:rFonts w:ascii="Calibri" w:hAnsi="Calibri"/>
                <w:b w:val="0"/>
                <w:color w:val="333333"/>
                <w:sz w:val="20"/>
              </w:rPr>
              <w:t>25–35</w:t>
            </w:r>
          </w:p>
        </w:tc>
        <w:tc>
          <w:tcPr>
            <w:tcW w:type="dxa" w:w="1881"/>
          </w:tcPr>
          <w:p>
            <w:r>
              <w:rPr>
                <w:rFonts w:ascii="Calibri" w:hAnsi="Calibri"/>
                <w:b w:val="0"/>
                <w:color w:val="333333"/>
                <w:sz w:val="20"/>
              </w:rPr>
              <w:t>65–75+</w:t>
            </w:r>
          </w:p>
        </w:tc>
      </w:tr>
      <w:tr>
        <w:tc>
          <w:tcPr>
            <w:tcW w:type="dxa" w:w="1881"/>
            <w:shd w:fill="F0F4F8"/>
          </w:tcPr>
          <w:p>
            <w:r>
              <w:rPr>
                <w:rFonts w:ascii="Calibri" w:hAnsi="Calibri"/>
                <w:b w:val="0"/>
                <w:color w:val="333333"/>
                <w:sz w:val="20"/>
              </w:rPr>
              <w:t>Total Cases</w:t>
            </w:r>
          </w:p>
        </w:tc>
        <w:tc>
          <w:tcPr>
            <w:tcW w:type="dxa" w:w="1881"/>
            <w:shd w:fill="F0F4F8"/>
          </w:tcPr>
          <w:p>
            <w:r>
              <w:rPr>
                <w:rFonts w:ascii="Calibri" w:hAnsi="Calibri"/>
                <w:b w:val="0"/>
                <w:color w:val="333333"/>
                <w:sz w:val="20"/>
              </w:rPr>
              <w:t>—</w:t>
            </w:r>
          </w:p>
        </w:tc>
        <w:tc>
          <w:tcPr>
            <w:tcW w:type="dxa" w:w="1881"/>
            <w:shd w:fill="F0F4F8"/>
          </w:tcPr>
          <w:p>
            <w:r>
              <w:rPr>
                <w:rFonts w:ascii="Calibri" w:hAnsi="Calibri"/>
                <w:b w:val="0"/>
                <w:color w:val="333333"/>
                <w:sz w:val="20"/>
              </w:rPr>
              <w:t>341</w:t>
            </w:r>
          </w:p>
        </w:tc>
        <w:tc>
          <w:tcPr>
            <w:tcW w:type="dxa" w:w="1881"/>
            <w:shd w:fill="F0F4F8"/>
          </w:tcPr>
          <w:p>
            <w:r>
              <w:rPr>
                <w:rFonts w:ascii="Calibri" w:hAnsi="Calibri"/>
                <w:b w:val="0"/>
                <w:color w:val="333333"/>
                <w:sz w:val="20"/>
              </w:rPr>
              <w:t>~170–200</w:t>
            </w:r>
          </w:p>
        </w:tc>
        <w:tc>
          <w:tcPr>
            <w:tcW w:type="dxa" w:w="1881"/>
            <w:shd w:fill="F0F4F8"/>
          </w:tcPr>
          <w:p>
            <w:r>
              <w:rPr>
                <w:rFonts w:ascii="Calibri" w:hAnsi="Calibri"/>
                <w:b w:val="0"/>
                <w:color w:val="333333"/>
                <w:sz w:val="20"/>
              </w:rPr>
              <w:t>~511–541</w:t>
            </w:r>
          </w:p>
        </w:tc>
      </w:tr>
      <w:tr>
        <w:tc>
          <w:tcPr>
            <w:tcW w:type="dxa" w:w="1881"/>
          </w:tcPr>
          <w:p>
            <w:r>
              <w:rPr>
                <w:rFonts w:ascii="Calibri" w:hAnsi="Calibri"/>
                <w:b w:val="0"/>
                <w:color w:val="333333"/>
                <w:sz w:val="20"/>
              </w:rPr>
              <w:t>Total Procedures</w:t>
            </w:r>
          </w:p>
        </w:tc>
        <w:tc>
          <w:tcPr>
            <w:tcW w:type="dxa" w:w="1881"/>
          </w:tcPr>
          <w:p>
            <w:r>
              <w:rPr>
                <w:rFonts w:ascii="Calibri" w:hAnsi="Calibri"/>
                <w:b w:val="0"/>
                <w:color w:val="333333"/>
                <w:sz w:val="20"/>
              </w:rPr>
              <w:t>—</w:t>
            </w:r>
          </w:p>
        </w:tc>
        <w:tc>
          <w:tcPr>
            <w:tcW w:type="dxa" w:w="1881"/>
          </w:tcPr>
          <w:p>
            <w:r>
              <w:rPr>
                <w:rFonts w:ascii="Calibri" w:hAnsi="Calibri"/>
                <w:b w:val="0"/>
                <w:color w:val="333333"/>
                <w:sz w:val="20"/>
              </w:rPr>
              <w:t>609</w:t>
            </w:r>
          </w:p>
        </w:tc>
        <w:tc>
          <w:tcPr>
            <w:tcW w:type="dxa" w:w="1881"/>
          </w:tcPr>
          <w:p>
            <w:r>
              <w:rPr>
                <w:rFonts w:ascii="Calibri" w:hAnsi="Calibri"/>
                <w:b w:val="0"/>
                <w:color w:val="333333"/>
                <w:sz w:val="20"/>
              </w:rPr>
              <w:t>~300–350</w:t>
            </w:r>
          </w:p>
        </w:tc>
        <w:tc>
          <w:tcPr>
            <w:tcW w:type="dxa" w:w="1881"/>
          </w:tcPr>
          <w:p>
            <w:r>
              <w:rPr>
                <w:rFonts w:ascii="Calibri" w:hAnsi="Calibri"/>
                <w:b w:val="0"/>
                <w:color w:val="333333"/>
                <w:sz w:val="20"/>
              </w:rPr>
              <w:t>~909–959</w:t>
            </w:r>
          </w:p>
        </w:tc>
      </w:tr>
    </w:tbl>
    <w:p/>
    <w:p>
      <w:pPr>
        <w:pStyle w:val="Heading2"/>
      </w:pPr>
      <w:r>
        <w:t>Year 3 Case Volume Goals</w:t>
      </w:r>
    </w:p>
    <w:p>
      <w:pPr>
        <w:pStyle w:val="ListBullet"/>
      </w:pPr>
      <w:r>
        <w:t>Primary Surgeon Rate: Target &gt;80% of cases as primary surgeon (up from ~60% in Year 2)</w:t>
      </w:r>
    </w:p>
    <w:p>
      <w:pPr>
        <w:pStyle w:val="ListBullet"/>
      </w:pPr>
      <w:r>
        <w:t>Complex Case Emphasis: Focus on DIE excision, complex myomectomy, robotic sacrocolpopexy</w:t>
      </w:r>
    </w:p>
    <w:p>
      <w:pPr>
        <w:pStyle w:val="ListBullet"/>
      </w:pPr>
      <w:r>
        <w:t>Teaching Cases: Minimum 20 cases co-operating with residents as teaching surgeon</w:t>
      </w:r>
    </w:p>
    <w:p>
      <w:pPr>
        <w:pStyle w:val="ListBullet"/>
      </w:pPr>
      <w:r>
        <w:t>ED Surgical Cases: Anticipate 5–10 emergency surgical cases from ED SFH call duties</w:t>
      </w:r>
    </w:p>
    <w:p>
      <w:r>
        <w:br w:type="page"/>
      </w:r>
    </w:p>
    <w:p>
      <w:pPr>
        <w:jc w:val="left"/>
      </w:pPr>
      <w:r>
        <w:rPr>
          <w:rFonts w:ascii="Calibri" w:hAnsi="Calibri"/>
          <w:i/>
          <w:color w:val="2E86AB"/>
          <w:sz w:val="20"/>
        </w:rPr>
        <w:t>Section 11 • Updated Program Letters of Agreement</w:t>
      </w:r>
    </w:p>
    <w:p>
      <w:pPr>
        <w:pStyle w:val="Heading1"/>
      </w:pPr>
      <w:r>
        <w:t>Program Letters of Agreement — Year 3 Extension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3A5C"/>
          </w:tcPr>
          <w:p>
            <w:pPr>
              <w:jc w:val="left"/>
            </w:pPr>
            <w:r>
              <w:rPr>
                <w:rFonts w:ascii="Calibri" w:hAnsi="Calibri"/>
                <w:b/>
                <w:color w:val="FFFFFF"/>
                <w:sz w:val="20"/>
              </w:rPr>
              <w:t>Hospital</w:t>
            </w:r>
          </w:p>
        </w:tc>
        <w:tc>
          <w:tcPr>
            <w:tcW w:type="dxa" w:w="3135"/>
            <w:shd w:fill="1B3A5C"/>
          </w:tcPr>
          <w:p>
            <w:pPr>
              <w:jc w:val="left"/>
            </w:pPr>
            <w:r>
              <w:rPr>
                <w:rFonts w:ascii="Calibri" w:hAnsi="Calibri"/>
                <w:b/>
                <w:color w:val="FFFFFF"/>
                <w:sz w:val="20"/>
              </w:rPr>
              <w:t>Status</w:t>
            </w:r>
          </w:p>
        </w:tc>
        <w:tc>
          <w:tcPr>
            <w:tcW w:type="dxa" w:w="3135"/>
            <w:shd w:fill="1B3A5C"/>
          </w:tcPr>
          <w:p>
            <w:pPr>
              <w:jc w:val="left"/>
            </w:pPr>
            <w:r>
              <w:rPr>
                <w:rFonts w:ascii="Calibri" w:hAnsi="Calibri"/>
                <w:b/>
                <w:color w:val="FFFFFF"/>
                <w:sz w:val="20"/>
              </w:rPr>
              <w:t>Key Updates for Year 3</w:t>
            </w:r>
          </w:p>
        </w:tc>
      </w:tr>
      <w:tr>
        <w:tc>
          <w:tcPr>
            <w:tcW w:type="dxa" w:w="3135"/>
          </w:tcPr>
          <w:p>
            <w:r>
              <w:rPr>
                <w:rFonts w:ascii="Calibri" w:hAnsi="Calibri"/>
                <w:b w:val="0"/>
                <w:color w:val="333333"/>
                <w:sz w:val="20"/>
              </w:rPr>
              <w:t>Saint Francis Hospital (SFH)</w:t>
            </w:r>
          </w:p>
        </w:tc>
        <w:tc>
          <w:tcPr>
            <w:tcW w:type="dxa" w:w="3135"/>
          </w:tcPr>
          <w:p>
            <w:r>
              <w:rPr>
                <w:rFonts w:ascii="Calibri" w:hAnsi="Calibri"/>
                <w:b w:val="0"/>
                <w:color w:val="333333"/>
                <w:sz w:val="20"/>
              </w:rPr>
              <w:t>Active — Updated</w:t>
            </w:r>
          </w:p>
        </w:tc>
        <w:tc>
          <w:tcPr>
            <w:tcW w:type="dxa" w:w="3135"/>
          </w:tcPr>
          <w:p>
            <w:r>
              <w:rPr>
                <w:rFonts w:ascii="Calibri" w:hAnsi="Calibri"/>
                <w:b w:val="0"/>
                <w:color w:val="333333"/>
                <w:sz w:val="20"/>
              </w:rPr>
              <w:t>Primary training site; ED call coverage 3 days/month; Dr. Sankey-Thomas added as core faculty</w:t>
            </w:r>
          </w:p>
        </w:tc>
      </w:tr>
      <w:tr>
        <w:tc>
          <w:tcPr>
            <w:tcW w:type="dxa" w:w="3135"/>
            <w:shd w:fill="F0F4F8"/>
          </w:tcPr>
          <w:p>
            <w:r>
              <w:rPr>
                <w:rFonts w:ascii="Calibri" w:hAnsi="Calibri"/>
                <w:b w:val="0"/>
                <w:color w:val="333333"/>
                <w:sz w:val="20"/>
              </w:rPr>
              <w:t>Saint Joseph Hospital (SJH)</w:t>
            </w:r>
          </w:p>
        </w:tc>
        <w:tc>
          <w:tcPr>
            <w:tcW w:type="dxa" w:w="3135"/>
            <w:shd w:fill="F0F4F8"/>
          </w:tcPr>
          <w:p>
            <w:r>
              <w:rPr>
                <w:rFonts w:ascii="Calibri" w:hAnsi="Calibri"/>
                <w:b w:val="0"/>
                <w:color w:val="333333"/>
                <w:sz w:val="20"/>
              </w:rPr>
              <w:t>Active — Updated</w:t>
            </w:r>
          </w:p>
        </w:tc>
        <w:tc>
          <w:tcPr>
            <w:tcW w:type="dxa" w:w="3135"/>
            <w:shd w:fill="F0F4F8"/>
          </w:tcPr>
          <w:p>
            <w:r>
              <w:rPr>
                <w:rFonts w:ascii="Calibri" w:hAnsi="Calibri"/>
                <w:b w:val="0"/>
                <w:color w:val="333333"/>
                <w:sz w:val="20"/>
              </w:rPr>
              <w:t>Continued robotic surgery training; Year 3 fellow serves as primary surgeon</w:t>
            </w:r>
          </w:p>
        </w:tc>
      </w:tr>
      <w:tr>
        <w:tc>
          <w:tcPr>
            <w:tcW w:type="dxa" w:w="3135"/>
          </w:tcPr>
          <w:p>
            <w:r>
              <w:rPr>
                <w:rFonts w:ascii="Calibri" w:hAnsi="Calibri"/>
                <w:b w:val="0"/>
                <w:color w:val="333333"/>
                <w:sz w:val="20"/>
              </w:rPr>
              <w:t>Saint Mary of Nazareth Hospital (SMH)</w:t>
            </w:r>
          </w:p>
        </w:tc>
        <w:tc>
          <w:tcPr>
            <w:tcW w:type="dxa" w:w="3135"/>
          </w:tcPr>
          <w:p>
            <w:r>
              <w:rPr>
                <w:rFonts w:ascii="Calibri" w:hAnsi="Calibri"/>
                <w:b w:val="0"/>
                <w:color w:val="333333"/>
                <w:sz w:val="20"/>
              </w:rPr>
              <w:t>Active — Updated</w:t>
            </w:r>
          </w:p>
        </w:tc>
        <w:tc>
          <w:tcPr>
            <w:tcW w:type="dxa" w:w="3135"/>
          </w:tcPr>
          <w:p>
            <w:r>
              <w:rPr>
                <w:rFonts w:ascii="Calibri" w:hAnsi="Calibri"/>
                <w:b w:val="0"/>
                <w:color w:val="333333"/>
                <w:sz w:val="20"/>
              </w:rPr>
              <w:t>Continued multidisciplinary MIS training</w:t>
            </w:r>
          </w:p>
        </w:tc>
      </w:tr>
      <w:tr>
        <w:tc>
          <w:tcPr>
            <w:tcW w:type="dxa" w:w="3135"/>
            <w:shd w:fill="F0F4F8"/>
          </w:tcPr>
          <w:p>
            <w:r>
              <w:rPr>
                <w:rFonts w:ascii="Calibri" w:hAnsi="Calibri"/>
                <w:b w:val="0"/>
                <w:color w:val="333333"/>
                <w:sz w:val="20"/>
              </w:rPr>
              <w:t>Thorek Memorial Hospital (TMH)</w:t>
            </w:r>
          </w:p>
        </w:tc>
        <w:tc>
          <w:tcPr>
            <w:tcW w:type="dxa" w:w="3135"/>
            <w:shd w:fill="F0F4F8"/>
          </w:tcPr>
          <w:p>
            <w:r>
              <w:rPr>
                <w:rFonts w:ascii="Calibri" w:hAnsi="Calibri"/>
                <w:b w:val="0"/>
                <w:color w:val="333333"/>
                <w:sz w:val="20"/>
              </w:rPr>
              <w:t>Active — Updated</w:t>
            </w:r>
          </w:p>
        </w:tc>
        <w:tc>
          <w:tcPr>
            <w:tcW w:type="dxa" w:w="3135"/>
            <w:shd w:fill="F0F4F8"/>
          </w:tcPr>
          <w:p>
            <w:r>
              <w:rPr>
                <w:rFonts w:ascii="Calibri" w:hAnsi="Calibri"/>
                <w:b w:val="0"/>
                <w:color w:val="333333"/>
                <w:sz w:val="20"/>
              </w:rPr>
              <w:t>Continued outpatient procedures and office hysteroscopy</w:t>
            </w:r>
          </w:p>
        </w:tc>
      </w:tr>
    </w:tbl>
    <w:p>
      <w:r>
        <w:br w:type="page"/>
      </w:r>
    </w:p>
    <w:p>
      <w:pPr>
        <w:jc w:val="left"/>
      </w:pPr>
      <w:r>
        <w:rPr>
          <w:rFonts w:ascii="Calibri" w:hAnsi="Calibri"/>
          <w:i/>
          <w:color w:val="2E86AB"/>
          <w:sz w:val="20"/>
        </w:rPr>
        <w:t>Section 12 • Updated Accreditation Timeline</w:t>
      </w:r>
    </w:p>
    <w:p>
      <w:pPr>
        <w:pStyle w:val="Heading1"/>
      </w:pPr>
      <w:r>
        <w:t>Accreditation History — Updated for 3-Year Program</w:t>
      </w:r>
    </w:p>
    <w:p>
      <w:r>
        <w:t>This FMIGS fellowship program is currently undergoing initial accreditation review by the AAGL. The program has submitted documentation for a 3-year extended fellowship model.</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3A5C"/>
          </w:tcPr>
          <w:p>
            <w:pPr>
              <w:jc w:val="left"/>
            </w:pPr>
            <w:r>
              <w:rPr>
                <w:rFonts w:ascii="Calibri" w:hAnsi="Calibri"/>
                <w:b/>
                <w:color w:val="FFFFFF"/>
                <w:sz w:val="20"/>
              </w:rPr>
              <w:t>Step</w:t>
            </w:r>
          </w:p>
        </w:tc>
        <w:tc>
          <w:tcPr>
            <w:tcW w:type="dxa" w:w="3135"/>
            <w:shd w:fill="1B3A5C"/>
          </w:tcPr>
          <w:p>
            <w:pPr>
              <w:jc w:val="left"/>
            </w:pPr>
            <w:r>
              <w:rPr>
                <w:rFonts w:ascii="Calibri" w:hAnsi="Calibri"/>
                <w:b/>
                <w:color w:val="FFFFFF"/>
                <w:sz w:val="20"/>
              </w:rPr>
              <w:t>Milestone</w:t>
            </w:r>
          </w:p>
        </w:tc>
        <w:tc>
          <w:tcPr>
            <w:tcW w:type="dxa" w:w="3135"/>
            <w:shd w:fill="1B3A5C"/>
          </w:tcPr>
          <w:p>
            <w:pPr>
              <w:jc w:val="left"/>
            </w:pPr>
            <w:r>
              <w:rPr>
                <w:rFonts w:ascii="Calibri" w:hAnsi="Calibri"/>
                <w:b/>
                <w:color w:val="FFFFFF"/>
                <w:sz w:val="20"/>
              </w:rPr>
              <w:t>Status</w:t>
            </w:r>
          </w:p>
        </w:tc>
      </w:tr>
      <w:tr>
        <w:tc>
          <w:tcPr>
            <w:tcW w:type="dxa" w:w="3135"/>
          </w:tcPr>
          <w:p>
            <w:r>
              <w:rPr>
                <w:rFonts w:ascii="Calibri" w:hAnsi="Calibri"/>
                <w:b w:val="0"/>
                <w:color w:val="333333"/>
                <w:sz w:val="20"/>
              </w:rPr>
              <w:t>1</w:t>
            </w:r>
          </w:p>
        </w:tc>
        <w:tc>
          <w:tcPr>
            <w:tcW w:type="dxa" w:w="3135"/>
          </w:tcPr>
          <w:p>
            <w:r>
              <w:rPr>
                <w:rFonts w:ascii="Calibri" w:hAnsi="Calibri"/>
                <w:b w:val="0"/>
                <w:color w:val="333333"/>
                <w:sz w:val="20"/>
              </w:rPr>
              <w:t>Program Development</w:t>
            </w:r>
          </w:p>
        </w:tc>
        <w:tc>
          <w:tcPr>
            <w:tcW w:type="dxa" w:w="3135"/>
          </w:tcPr>
          <w:p>
            <w:r>
              <w:rPr>
                <w:rFonts w:ascii="Calibri" w:hAnsi="Calibri"/>
                <w:b w:val="0"/>
                <w:color w:val="333333"/>
                <w:sz w:val="20"/>
              </w:rPr>
              <w:t>Completed</w:t>
            </w:r>
          </w:p>
        </w:tc>
      </w:tr>
      <w:tr>
        <w:tc>
          <w:tcPr>
            <w:tcW w:type="dxa" w:w="3135"/>
            <w:shd w:fill="F0F4F8"/>
          </w:tcPr>
          <w:p>
            <w:r>
              <w:rPr>
                <w:rFonts w:ascii="Calibri" w:hAnsi="Calibri"/>
                <w:b w:val="0"/>
                <w:color w:val="333333"/>
                <w:sz w:val="20"/>
              </w:rPr>
              <w:t>2</w:t>
            </w:r>
          </w:p>
        </w:tc>
        <w:tc>
          <w:tcPr>
            <w:tcW w:type="dxa" w:w="3135"/>
            <w:shd w:fill="F0F4F8"/>
          </w:tcPr>
          <w:p>
            <w:r>
              <w:rPr>
                <w:rFonts w:ascii="Calibri" w:hAnsi="Calibri"/>
                <w:b w:val="0"/>
                <w:color w:val="333333"/>
                <w:sz w:val="20"/>
              </w:rPr>
              <w:t>Application Submission</w:t>
            </w:r>
          </w:p>
        </w:tc>
        <w:tc>
          <w:tcPr>
            <w:tcW w:type="dxa" w:w="3135"/>
            <w:shd w:fill="F0F4F8"/>
          </w:tcPr>
          <w:p>
            <w:r>
              <w:rPr>
                <w:rFonts w:ascii="Calibri" w:hAnsi="Calibri"/>
                <w:b w:val="0"/>
                <w:color w:val="333333"/>
                <w:sz w:val="20"/>
              </w:rPr>
              <w:t>Completed</w:t>
            </w:r>
          </w:p>
        </w:tc>
      </w:tr>
      <w:tr>
        <w:tc>
          <w:tcPr>
            <w:tcW w:type="dxa" w:w="3135"/>
          </w:tcPr>
          <w:p>
            <w:r>
              <w:rPr>
                <w:rFonts w:ascii="Calibri" w:hAnsi="Calibri"/>
                <w:b w:val="0"/>
                <w:color w:val="333333"/>
                <w:sz w:val="20"/>
              </w:rPr>
              <w:t>3</w:t>
            </w:r>
          </w:p>
        </w:tc>
        <w:tc>
          <w:tcPr>
            <w:tcW w:type="dxa" w:w="3135"/>
          </w:tcPr>
          <w:p>
            <w:r>
              <w:rPr>
                <w:rFonts w:ascii="Calibri" w:hAnsi="Calibri"/>
                <w:b w:val="0"/>
                <w:color w:val="333333"/>
                <w:sz w:val="20"/>
              </w:rPr>
              <w:t>Site Visit Review</w:t>
            </w:r>
          </w:p>
        </w:tc>
        <w:tc>
          <w:tcPr>
            <w:tcW w:type="dxa" w:w="3135"/>
          </w:tcPr>
          <w:p>
            <w:r>
              <w:rPr>
                <w:rFonts w:ascii="Calibri" w:hAnsi="Calibri"/>
                <w:b w:val="0"/>
                <w:color w:val="333333"/>
                <w:sz w:val="20"/>
              </w:rPr>
              <w:t>Scheduled — August 15, 2025</w:t>
            </w:r>
          </w:p>
        </w:tc>
      </w:tr>
      <w:tr>
        <w:tc>
          <w:tcPr>
            <w:tcW w:type="dxa" w:w="3135"/>
            <w:shd w:fill="F0F4F8"/>
          </w:tcPr>
          <w:p>
            <w:r>
              <w:rPr>
                <w:rFonts w:ascii="Calibri" w:hAnsi="Calibri"/>
                <w:b w:val="0"/>
                <w:color w:val="333333"/>
                <w:sz w:val="20"/>
              </w:rPr>
              <w:t>4</w:t>
            </w:r>
          </w:p>
        </w:tc>
        <w:tc>
          <w:tcPr>
            <w:tcW w:type="dxa" w:w="3135"/>
            <w:shd w:fill="F0F4F8"/>
          </w:tcPr>
          <w:p>
            <w:r>
              <w:rPr>
                <w:rFonts w:ascii="Calibri" w:hAnsi="Calibri"/>
                <w:b w:val="0"/>
                <w:color w:val="333333"/>
                <w:sz w:val="20"/>
              </w:rPr>
              <w:t>Year 3 Extension Approval</w:t>
            </w:r>
          </w:p>
        </w:tc>
        <w:tc>
          <w:tcPr>
            <w:tcW w:type="dxa" w:w="3135"/>
            <w:shd w:fill="F0F4F8"/>
          </w:tcPr>
          <w:p>
            <w:r>
              <w:rPr>
                <w:rFonts w:ascii="Calibri" w:hAnsi="Calibri"/>
                <w:b w:val="0"/>
                <w:color w:val="333333"/>
                <w:sz w:val="20"/>
              </w:rPr>
              <w:t>Pending AAGL Board Review</w:t>
            </w:r>
          </w:p>
        </w:tc>
      </w:tr>
      <w:tr>
        <w:tc>
          <w:tcPr>
            <w:tcW w:type="dxa" w:w="3135"/>
          </w:tcPr>
          <w:p>
            <w:r>
              <w:rPr>
                <w:rFonts w:ascii="Calibri" w:hAnsi="Calibri"/>
                <w:b w:val="0"/>
                <w:color w:val="333333"/>
                <w:sz w:val="20"/>
              </w:rPr>
              <w:t>5</w:t>
            </w:r>
          </w:p>
        </w:tc>
        <w:tc>
          <w:tcPr>
            <w:tcW w:type="dxa" w:w="3135"/>
          </w:tcPr>
          <w:p>
            <w:r>
              <w:rPr>
                <w:rFonts w:ascii="Calibri" w:hAnsi="Calibri"/>
                <w:b w:val="0"/>
                <w:color w:val="333333"/>
                <w:sz w:val="20"/>
              </w:rPr>
              <w:t>Final Accreditation</w:t>
            </w:r>
          </w:p>
        </w:tc>
        <w:tc>
          <w:tcPr>
            <w:tcW w:type="dxa" w:w="3135"/>
          </w:tcPr>
          <w:p>
            <w:r>
              <w:rPr>
                <w:rFonts w:ascii="Calibri" w:hAnsi="Calibri"/>
                <w:b w:val="0"/>
                <w:color w:val="333333"/>
                <w:sz w:val="20"/>
              </w:rPr>
              <w:t>Pending</w:t>
            </w:r>
          </w:p>
        </w:tc>
      </w:tr>
    </w:tbl>
    <w:p>
      <w:r>
        <w:br w:type="page"/>
      </w:r>
    </w:p>
    <w:p>
      <w:pPr>
        <w:jc w:val="left"/>
      </w:pPr>
      <w:r>
        <w:rPr>
          <w:rFonts w:ascii="Calibri" w:hAnsi="Calibri"/>
          <w:i/>
          <w:color w:val="2E86AB"/>
          <w:sz w:val="20"/>
        </w:rPr>
        <w:t>Section 13 • Year 3 Financial Support &amp; Resource Allocation</w:t>
      </w:r>
    </w:p>
    <w:p>
      <w:pPr>
        <w:pStyle w:val="Heading1"/>
      </w:pPr>
      <w:r>
        <w:t>Discretionary Funds — Year 3</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3A5C"/>
          </w:tcPr>
          <w:p>
            <w:pPr>
              <w:jc w:val="left"/>
            </w:pPr>
            <w:r>
              <w:rPr>
                <w:rFonts w:ascii="Calibri" w:hAnsi="Calibri"/>
                <w:b/>
                <w:color w:val="FFFFFF"/>
                <w:sz w:val="20"/>
              </w:rPr>
              <w:t>Category</w:t>
            </w:r>
          </w:p>
        </w:tc>
        <w:tc>
          <w:tcPr>
            <w:tcW w:type="dxa" w:w="3135"/>
            <w:shd w:fill="1B3A5C"/>
          </w:tcPr>
          <w:p>
            <w:pPr>
              <w:jc w:val="left"/>
            </w:pPr>
            <w:r>
              <w:rPr>
                <w:rFonts w:ascii="Calibri" w:hAnsi="Calibri"/>
                <w:b/>
                <w:color w:val="FFFFFF"/>
                <w:sz w:val="20"/>
              </w:rPr>
              <w:t>Annual Amount ($)</w:t>
            </w:r>
          </w:p>
        </w:tc>
        <w:tc>
          <w:tcPr>
            <w:tcW w:type="dxa" w:w="3135"/>
            <w:shd w:fill="1B3A5C"/>
          </w:tcPr>
          <w:p>
            <w:pPr>
              <w:jc w:val="left"/>
            </w:pPr>
            <w:r>
              <w:rPr>
                <w:rFonts w:ascii="Calibri" w:hAnsi="Calibri"/>
                <w:b/>
                <w:color w:val="FFFFFF"/>
                <w:sz w:val="20"/>
              </w:rPr>
              <w:t>Purpose</w:t>
            </w:r>
          </w:p>
        </w:tc>
      </w:tr>
      <w:tr>
        <w:tc>
          <w:tcPr>
            <w:tcW w:type="dxa" w:w="3135"/>
          </w:tcPr>
          <w:p>
            <w:r>
              <w:rPr>
                <w:rFonts w:ascii="Calibri" w:hAnsi="Calibri"/>
                <w:b w:val="0"/>
                <w:color w:val="333333"/>
                <w:sz w:val="20"/>
              </w:rPr>
              <w:t>Research Supplies and Equipment</w:t>
            </w:r>
          </w:p>
        </w:tc>
        <w:tc>
          <w:tcPr>
            <w:tcW w:type="dxa" w:w="3135"/>
          </w:tcPr>
          <w:p>
            <w:r>
              <w:rPr>
                <w:rFonts w:ascii="Calibri" w:hAnsi="Calibri"/>
                <w:b w:val="0"/>
                <w:color w:val="333333"/>
                <w:sz w:val="20"/>
              </w:rPr>
              <w:t>$5,000</w:t>
            </w:r>
          </w:p>
        </w:tc>
        <w:tc>
          <w:tcPr>
            <w:tcW w:type="dxa" w:w="3135"/>
          </w:tcPr>
          <w:p>
            <w:r>
              <w:rPr>
                <w:rFonts w:ascii="Calibri" w:hAnsi="Calibri"/>
                <w:b w:val="0"/>
                <w:color w:val="333333"/>
                <w:sz w:val="20"/>
              </w:rPr>
              <w:t>Laboratory supplies, software, and minor equipment for ongoing research</w:t>
            </w:r>
          </w:p>
        </w:tc>
      </w:tr>
      <w:tr>
        <w:tc>
          <w:tcPr>
            <w:tcW w:type="dxa" w:w="3135"/>
            <w:shd w:fill="F0F4F8"/>
          </w:tcPr>
          <w:p>
            <w:r>
              <w:rPr>
                <w:rFonts w:ascii="Calibri" w:hAnsi="Calibri"/>
                <w:b w:val="0"/>
                <w:color w:val="333333"/>
                <w:sz w:val="20"/>
              </w:rPr>
              <w:t>Conference Travel</w:t>
            </w:r>
          </w:p>
        </w:tc>
        <w:tc>
          <w:tcPr>
            <w:tcW w:type="dxa" w:w="3135"/>
            <w:shd w:fill="F0F4F8"/>
          </w:tcPr>
          <w:p>
            <w:r>
              <w:rPr>
                <w:rFonts w:ascii="Calibri" w:hAnsi="Calibri"/>
                <w:b w:val="0"/>
                <w:color w:val="333333"/>
                <w:sz w:val="20"/>
              </w:rPr>
              <w:t>$5,000</w:t>
            </w:r>
          </w:p>
        </w:tc>
        <w:tc>
          <w:tcPr>
            <w:tcW w:type="dxa" w:w="3135"/>
            <w:shd w:fill="F0F4F8"/>
          </w:tcPr>
          <w:p>
            <w:r>
              <w:rPr>
                <w:rFonts w:ascii="Calibri" w:hAnsi="Calibri"/>
                <w:b w:val="0"/>
                <w:color w:val="333333"/>
                <w:sz w:val="20"/>
              </w:rPr>
              <w:t>National/international conferences; registration, airfare, lodging, meals</w:t>
            </w:r>
          </w:p>
        </w:tc>
      </w:tr>
      <w:tr>
        <w:tc>
          <w:tcPr>
            <w:tcW w:type="dxa" w:w="3135"/>
          </w:tcPr>
          <w:p>
            <w:r>
              <w:rPr>
                <w:rFonts w:ascii="Calibri" w:hAnsi="Calibri"/>
                <w:b w:val="0"/>
                <w:color w:val="333333"/>
                <w:sz w:val="20"/>
              </w:rPr>
              <w:t>Educational Materials</w:t>
            </w:r>
          </w:p>
        </w:tc>
        <w:tc>
          <w:tcPr>
            <w:tcW w:type="dxa" w:w="3135"/>
          </w:tcPr>
          <w:p>
            <w:r>
              <w:rPr>
                <w:rFonts w:ascii="Calibri" w:hAnsi="Calibri"/>
                <w:b w:val="0"/>
                <w:color w:val="333333"/>
                <w:sz w:val="20"/>
              </w:rPr>
              <w:t>$1,500</w:t>
            </w:r>
          </w:p>
        </w:tc>
        <w:tc>
          <w:tcPr>
            <w:tcW w:type="dxa" w:w="3135"/>
          </w:tcPr>
          <w:p>
            <w:r>
              <w:rPr>
                <w:rFonts w:ascii="Calibri" w:hAnsi="Calibri"/>
                <w:b w:val="0"/>
                <w:color w:val="333333"/>
                <w:sz w:val="20"/>
              </w:rPr>
              <w:t>Textbooks, online courses, journal subscriptions, and CME resources</w:t>
            </w:r>
          </w:p>
        </w:tc>
      </w:tr>
      <w:tr>
        <w:tc>
          <w:tcPr>
            <w:tcW w:type="dxa" w:w="3135"/>
            <w:shd w:fill="F0F4F8"/>
          </w:tcPr>
          <w:p>
            <w:r>
              <w:rPr>
                <w:rFonts w:ascii="Calibri" w:hAnsi="Calibri"/>
                <w:b w:val="0"/>
                <w:color w:val="333333"/>
                <w:sz w:val="20"/>
              </w:rPr>
              <w:t>Publication Costs</w:t>
            </w:r>
          </w:p>
        </w:tc>
        <w:tc>
          <w:tcPr>
            <w:tcW w:type="dxa" w:w="3135"/>
            <w:shd w:fill="F0F4F8"/>
          </w:tcPr>
          <w:p>
            <w:r>
              <w:rPr>
                <w:rFonts w:ascii="Calibri" w:hAnsi="Calibri"/>
                <w:b w:val="0"/>
                <w:color w:val="333333"/>
                <w:sz w:val="20"/>
              </w:rPr>
              <w:t>$2,500</w:t>
            </w:r>
          </w:p>
        </w:tc>
        <w:tc>
          <w:tcPr>
            <w:tcW w:type="dxa" w:w="3135"/>
            <w:shd w:fill="F0F4F8"/>
          </w:tcPr>
          <w:p>
            <w:r>
              <w:rPr>
                <w:rFonts w:ascii="Calibri" w:hAnsi="Calibri"/>
                <w:b w:val="0"/>
                <w:color w:val="333333"/>
                <w:sz w:val="20"/>
              </w:rPr>
              <w:t>Manuscript submission fees, open access charges, editing services</w:t>
            </w:r>
          </w:p>
        </w:tc>
      </w:tr>
      <w:tr>
        <w:tc>
          <w:tcPr>
            <w:tcW w:type="dxa" w:w="3135"/>
          </w:tcPr>
          <w:p>
            <w:r>
              <w:rPr>
                <w:rFonts w:ascii="Calibri" w:hAnsi="Calibri"/>
                <w:b w:val="0"/>
                <w:color w:val="333333"/>
                <w:sz w:val="20"/>
              </w:rPr>
              <w:t>Total Annual Budget</w:t>
            </w:r>
          </w:p>
        </w:tc>
        <w:tc>
          <w:tcPr>
            <w:tcW w:type="dxa" w:w="3135"/>
          </w:tcPr>
          <w:p>
            <w:r>
              <w:rPr>
                <w:rFonts w:ascii="Calibri" w:hAnsi="Calibri"/>
                <w:b w:val="0"/>
                <w:color w:val="333333"/>
                <w:sz w:val="20"/>
              </w:rPr>
              <w:t>$14,000</w:t>
            </w:r>
          </w:p>
        </w:tc>
        <w:tc>
          <w:tcPr>
            <w:tcW w:type="dxa" w:w="3135"/>
          </w:tcPr>
          <w:p>
            <w:r>
              <w:rPr>
                <w:rFonts w:ascii="Calibri" w:hAnsi="Calibri"/>
                <w:b w:val="0"/>
                <w:color w:val="333333"/>
                <w:sz w:val="20"/>
              </w:rPr>
              <w:t>Comprehensive educational support</w:t>
            </w:r>
          </w:p>
        </w:tc>
      </w:tr>
    </w:tbl>
    <w:p/>
    <w:p>
      <w:pPr>
        <w:pStyle w:val="Heading2"/>
      </w:pPr>
      <w:r>
        <w:t>Fellowship Leave Policies (Unchanged)</w:t>
      </w:r>
    </w:p>
    <w:p>
      <w:r>
        <w:t>Professional/Educational Leave: The Hospital provides Resident with leave to attend professional/educational seminars, if approved by the Program Director and DIO.</w:t>
      </w:r>
    </w:p>
    <w:p>
      <w:r>
        <w:t>Paid Time Off (PTO): The Hospital provides Resident 20 (eight (8) hour days) or One Hundred and Sixty (160) hours per appointment year of front-loaded PTO.</w:t>
      </w:r>
    </w:p>
    <w:p>
      <w:r>
        <w:br w:type="page"/>
      </w:r>
    </w:p>
    <w:p>
      <w:pPr>
        <w:pStyle w:val="Heading1"/>
      </w:pPr>
      <w:r>
        <w:t>Site Visit Schedule — Year 3 Extension Review</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3A5C"/>
          </w:tcPr>
          <w:p>
            <w:pPr>
              <w:jc w:val="left"/>
            </w:pPr>
            <w:r>
              <w:rPr>
                <w:rFonts w:ascii="Calibri" w:hAnsi="Calibri"/>
                <w:b/>
                <w:color w:val="FFFFFF"/>
                <w:sz w:val="20"/>
              </w:rPr>
              <w:t>Time</w:t>
            </w:r>
          </w:p>
        </w:tc>
        <w:tc>
          <w:tcPr>
            <w:tcW w:type="dxa" w:w="3135"/>
            <w:shd w:fill="1B3A5C"/>
          </w:tcPr>
          <w:p>
            <w:pPr>
              <w:jc w:val="left"/>
            </w:pPr>
            <w:r>
              <w:rPr>
                <w:rFonts w:ascii="Calibri" w:hAnsi="Calibri"/>
                <w:b/>
                <w:color w:val="FFFFFF"/>
                <w:sz w:val="20"/>
              </w:rPr>
              <w:t>Duration</w:t>
            </w:r>
          </w:p>
        </w:tc>
        <w:tc>
          <w:tcPr>
            <w:tcW w:type="dxa" w:w="3135"/>
            <w:shd w:fill="1B3A5C"/>
          </w:tcPr>
          <w:p>
            <w:pPr>
              <w:jc w:val="left"/>
            </w:pPr>
            <w:r>
              <w:rPr>
                <w:rFonts w:ascii="Calibri" w:hAnsi="Calibri"/>
                <w:b/>
                <w:color w:val="FFFFFF"/>
                <w:sz w:val="20"/>
              </w:rPr>
              <w:t>Participants</w:t>
            </w:r>
          </w:p>
        </w:tc>
      </w:tr>
      <w:tr>
        <w:tc>
          <w:tcPr>
            <w:tcW w:type="dxa" w:w="3135"/>
          </w:tcPr>
          <w:p>
            <w:r>
              <w:rPr>
                <w:rFonts w:ascii="Calibri" w:hAnsi="Calibri"/>
                <w:b w:val="0"/>
                <w:color w:val="333333"/>
                <w:sz w:val="20"/>
              </w:rPr>
              <w:t>8:00 AM</w:t>
            </w:r>
          </w:p>
        </w:tc>
        <w:tc>
          <w:tcPr>
            <w:tcW w:type="dxa" w:w="3135"/>
          </w:tcPr>
          <w:p>
            <w:r>
              <w:rPr>
                <w:rFonts w:ascii="Calibri" w:hAnsi="Calibri"/>
                <w:b w:val="0"/>
                <w:color w:val="333333"/>
                <w:sz w:val="20"/>
              </w:rPr>
              <w:t>30 min</w:t>
            </w:r>
          </w:p>
        </w:tc>
        <w:tc>
          <w:tcPr>
            <w:tcW w:type="dxa" w:w="3135"/>
          </w:tcPr>
          <w:p>
            <w:r>
              <w:rPr>
                <w:rFonts w:ascii="Calibri" w:hAnsi="Calibri"/>
                <w:b w:val="0"/>
                <w:color w:val="333333"/>
                <w:sz w:val="20"/>
              </w:rPr>
              <w:t>Program Director: Dr. Teresa Tam, MD</w:t>
              <w:br/>
              <w:t>Associate Program Director: Dr. Sohail Siddique</w:t>
              <w:br/>
              <w:t>Program Coordinator: Farheen Syeda</w:t>
            </w:r>
          </w:p>
        </w:tc>
      </w:tr>
      <w:tr>
        <w:tc>
          <w:tcPr>
            <w:tcW w:type="dxa" w:w="3135"/>
            <w:shd w:fill="F0F4F8"/>
          </w:tcPr>
          <w:p>
            <w:r>
              <w:rPr>
                <w:rFonts w:ascii="Calibri" w:hAnsi="Calibri"/>
                <w:b w:val="0"/>
                <w:color w:val="333333"/>
                <w:sz w:val="20"/>
              </w:rPr>
              <w:t>8:30 AM</w:t>
            </w:r>
          </w:p>
        </w:tc>
        <w:tc>
          <w:tcPr>
            <w:tcW w:type="dxa" w:w="3135"/>
            <w:shd w:fill="F0F4F8"/>
          </w:tcPr>
          <w:p>
            <w:r>
              <w:rPr>
                <w:rFonts w:ascii="Calibri" w:hAnsi="Calibri"/>
                <w:b w:val="0"/>
                <w:color w:val="333333"/>
                <w:sz w:val="20"/>
              </w:rPr>
              <w:t>15 min</w:t>
            </w:r>
          </w:p>
        </w:tc>
        <w:tc>
          <w:tcPr>
            <w:tcW w:type="dxa" w:w="3135"/>
            <w:shd w:fill="F0F4F8"/>
          </w:tcPr>
          <w:p>
            <w:r>
              <w:rPr>
                <w:rFonts w:ascii="Calibri" w:hAnsi="Calibri"/>
                <w:b w:val="0"/>
                <w:color w:val="333333"/>
                <w:sz w:val="20"/>
              </w:rPr>
              <w:t>Chair, Department of OB/GYN: (Updated — Dr. Lloyd departed)</w:t>
              <w:br/>
              <w:t>Ob/Gyn Residency Program Director: Dr. Reyna Hidalgo</w:t>
            </w:r>
          </w:p>
        </w:tc>
      </w:tr>
      <w:tr>
        <w:tc>
          <w:tcPr>
            <w:tcW w:type="dxa" w:w="3135"/>
          </w:tcPr>
          <w:p>
            <w:r>
              <w:rPr>
                <w:rFonts w:ascii="Calibri" w:hAnsi="Calibri"/>
                <w:b w:val="0"/>
                <w:color w:val="333333"/>
                <w:sz w:val="20"/>
              </w:rPr>
              <w:t>8:45 AM</w:t>
            </w:r>
          </w:p>
        </w:tc>
        <w:tc>
          <w:tcPr>
            <w:tcW w:type="dxa" w:w="3135"/>
          </w:tcPr>
          <w:p>
            <w:r>
              <w:rPr>
                <w:rFonts w:ascii="Calibri" w:hAnsi="Calibri"/>
                <w:b w:val="0"/>
                <w:color w:val="333333"/>
                <w:sz w:val="20"/>
              </w:rPr>
              <w:t>15 min</w:t>
            </w:r>
          </w:p>
        </w:tc>
        <w:tc>
          <w:tcPr>
            <w:tcW w:type="dxa" w:w="3135"/>
          </w:tcPr>
          <w:p>
            <w:r>
              <w:rPr>
                <w:rFonts w:ascii="Calibri" w:hAnsi="Calibri"/>
                <w:b w:val="0"/>
                <w:color w:val="333333"/>
                <w:sz w:val="20"/>
              </w:rPr>
              <w:t>Designated Institutional Official: Steve Svoboda</w:t>
            </w:r>
          </w:p>
        </w:tc>
      </w:tr>
      <w:tr>
        <w:tc>
          <w:tcPr>
            <w:tcW w:type="dxa" w:w="3135"/>
            <w:shd w:fill="F0F4F8"/>
          </w:tcPr>
          <w:p>
            <w:r>
              <w:rPr>
                <w:rFonts w:ascii="Calibri" w:hAnsi="Calibri"/>
                <w:b w:val="0"/>
                <w:color w:val="333333"/>
                <w:sz w:val="20"/>
              </w:rPr>
              <w:t>9:10 AM</w:t>
            </w:r>
          </w:p>
        </w:tc>
        <w:tc>
          <w:tcPr>
            <w:tcW w:type="dxa" w:w="3135"/>
            <w:shd w:fill="F0F4F8"/>
          </w:tcPr>
          <w:p>
            <w:r>
              <w:rPr>
                <w:rFonts w:ascii="Calibri" w:hAnsi="Calibri"/>
                <w:b w:val="0"/>
                <w:color w:val="333333"/>
                <w:sz w:val="20"/>
              </w:rPr>
              <w:t>30 min</w:t>
            </w:r>
          </w:p>
        </w:tc>
        <w:tc>
          <w:tcPr>
            <w:tcW w:type="dxa" w:w="3135"/>
            <w:shd w:fill="F0F4F8"/>
          </w:tcPr>
          <w:p>
            <w:r>
              <w:rPr>
                <w:rFonts w:ascii="Calibri" w:hAnsi="Calibri"/>
                <w:b w:val="0"/>
                <w:color w:val="333333"/>
                <w:sz w:val="20"/>
              </w:rPr>
              <w:t>Core Faculty Session (PD and APD do NOT attend)</w:t>
              <w:br/>
              <w:t>Dr. Sankey-Thomas (MIGS — replacing Dr. Lloyd)</w:t>
              <w:br/>
              <w:t>Dr. Janet Tomezsko (Urogynecology)</w:t>
            </w:r>
          </w:p>
        </w:tc>
      </w:tr>
      <w:tr>
        <w:tc>
          <w:tcPr>
            <w:tcW w:type="dxa" w:w="3135"/>
          </w:tcPr>
          <w:p>
            <w:r>
              <w:rPr>
                <w:rFonts w:ascii="Calibri" w:hAnsi="Calibri"/>
                <w:b w:val="0"/>
                <w:color w:val="333333"/>
                <w:sz w:val="20"/>
              </w:rPr>
              <w:t>9:40 AM</w:t>
            </w:r>
          </w:p>
        </w:tc>
        <w:tc>
          <w:tcPr>
            <w:tcW w:type="dxa" w:w="3135"/>
          </w:tcPr>
          <w:p>
            <w:r>
              <w:rPr>
                <w:rFonts w:ascii="Calibri" w:hAnsi="Calibri"/>
                <w:b w:val="0"/>
                <w:color w:val="333333"/>
                <w:sz w:val="20"/>
              </w:rPr>
              <w:t>20 min</w:t>
            </w:r>
          </w:p>
        </w:tc>
        <w:tc>
          <w:tcPr>
            <w:tcW w:type="dxa" w:w="3135"/>
          </w:tcPr>
          <w:p>
            <w:r>
              <w:rPr>
                <w:rFonts w:ascii="Calibri" w:hAnsi="Calibri"/>
                <w:b w:val="0"/>
                <w:color w:val="333333"/>
                <w:sz w:val="20"/>
              </w:rPr>
              <w:t>Non-OB/GYN Faculty:</w:t>
              <w:br/>
              <w:t>Dr. Giovanni Giannotti (General Surgery/MIS/Oncology)</w:t>
              <w:br/>
              <w:t>Dr. Richard Zhu (General Surgery/Bariatrics/MIS)</w:t>
              <w:br/>
              <w:t>Dr. Thomas Malvar (Urology)</w:t>
            </w:r>
          </w:p>
        </w:tc>
      </w:tr>
      <w:tr>
        <w:tc>
          <w:tcPr>
            <w:tcW w:type="dxa" w:w="3135"/>
            <w:shd w:fill="F0F4F8"/>
          </w:tcPr>
          <w:p>
            <w:r>
              <w:rPr>
                <w:rFonts w:ascii="Calibri" w:hAnsi="Calibri"/>
                <w:b w:val="0"/>
                <w:color w:val="333333"/>
                <w:sz w:val="20"/>
              </w:rPr>
              <w:t>10:00 AM</w:t>
            </w:r>
          </w:p>
        </w:tc>
        <w:tc>
          <w:tcPr>
            <w:tcW w:type="dxa" w:w="3135"/>
            <w:shd w:fill="F0F4F8"/>
          </w:tcPr>
          <w:p>
            <w:r>
              <w:rPr>
                <w:rFonts w:ascii="Calibri" w:hAnsi="Calibri"/>
                <w:b w:val="0"/>
                <w:color w:val="333333"/>
                <w:sz w:val="20"/>
              </w:rPr>
              <w:t>30 min</w:t>
            </w:r>
          </w:p>
        </w:tc>
        <w:tc>
          <w:tcPr>
            <w:tcW w:type="dxa" w:w="3135"/>
            <w:shd w:fill="F0F4F8"/>
          </w:tcPr>
          <w:p>
            <w:r>
              <w:rPr>
                <w:rFonts w:ascii="Calibri" w:hAnsi="Calibri"/>
                <w:b w:val="0"/>
                <w:color w:val="333333"/>
                <w:sz w:val="20"/>
              </w:rPr>
              <w:t>Tour of Fellow Office and Simulation Lab</w:t>
            </w:r>
          </w:p>
        </w:tc>
      </w:tr>
      <w:tr>
        <w:tc>
          <w:tcPr>
            <w:tcW w:type="dxa" w:w="3135"/>
          </w:tcPr>
          <w:p>
            <w:r>
              <w:rPr>
                <w:rFonts w:ascii="Calibri" w:hAnsi="Calibri"/>
                <w:b w:val="0"/>
                <w:color w:val="333333"/>
                <w:sz w:val="20"/>
              </w:rPr>
              <w:t>10:30 AM</w:t>
            </w:r>
          </w:p>
        </w:tc>
        <w:tc>
          <w:tcPr>
            <w:tcW w:type="dxa" w:w="3135"/>
          </w:tcPr>
          <w:p>
            <w:r>
              <w:rPr>
                <w:rFonts w:ascii="Calibri" w:hAnsi="Calibri"/>
                <w:b w:val="0"/>
                <w:color w:val="333333"/>
                <w:sz w:val="20"/>
              </w:rPr>
              <w:t>30 min</w:t>
            </w:r>
          </w:p>
        </w:tc>
        <w:tc>
          <w:tcPr>
            <w:tcW w:type="dxa" w:w="3135"/>
          </w:tcPr>
          <w:p>
            <w:r>
              <w:rPr>
                <w:rFonts w:ascii="Calibri" w:hAnsi="Calibri"/>
                <w:b w:val="0"/>
                <w:color w:val="333333"/>
                <w:sz w:val="20"/>
              </w:rPr>
              <w:t>Fellow Meeting: Christopher-Armand Mabini, DO</w:t>
            </w:r>
          </w:p>
        </w:tc>
      </w:tr>
      <w:tr>
        <w:tc>
          <w:tcPr>
            <w:tcW w:type="dxa" w:w="3135"/>
            <w:shd w:fill="F0F4F8"/>
          </w:tcPr>
          <w:p>
            <w:r>
              <w:rPr>
                <w:rFonts w:ascii="Calibri" w:hAnsi="Calibri"/>
                <w:b w:val="0"/>
                <w:color w:val="333333"/>
                <w:sz w:val="20"/>
              </w:rPr>
              <w:t>11:00 AM</w:t>
            </w:r>
          </w:p>
        </w:tc>
        <w:tc>
          <w:tcPr>
            <w:tcW w:type="dxa" w:w="3135"/>
            <w:shd w:fill="F0F4F8"/>
          </w:tcPr>
          <w:p>
            <w:r>
              <w:rPr>
                <w:rFonts w:ascii="Calibri" w:hAnsi="Calibri"/>
                <w:b w:val="0"/>
                <w:color w:val="333333"/>
                <w:sz w:val="20"/>
              </w:rPr>
              <w:t>20 min</w:t>
            </w:r>
          </w:p>
        </w:tc>
        <w:tc>
          <w:tcPr>
            <w:tcW w:type="dxa" w:w="3135"/>
            <w:shd w:fill="F0F4F8"/>
          </w:tcPr>
          <w:p>
            <w:r>
              <w:rPr>
                <w:rFonts w:ascii="Calibri" w:hAnsi="Calibri"/>
                <w:b w:val="0"/>
                <w:color w:val="333333"/>
                <w:sz w:val="20"/>
              </w:rPr>
              <w:t>Private Review of Materials</w:t>
            </w:r>
          </w:p>
        </w:tc>
      </w:tr>
      <w:tr>
        <w:tc>
          <w:tcPr>
            <w:tcW w:type="dxa" w:w="3135"/>
          </w:tcPr>
          <w:p>
            <w:r>
              <w:rPr>
                <w:rFonts w:ascii="Calibri" w:hAnsi="Calibri"/>
                <w:b w:val="0"/>
                <w:color w:val="333333"/>
                <w:sz w:val="20"/>
              </w:rPr>
              <w:t>11:20 AM</w:t>
            </w:r>
          </w:p>
        </w:tc>
        <w:tc>
          <w:tcPr>
            <w:tcW w:type="dxa" w:w="3135"/>
          </w:tcPr>
          <w:p>
            <w:r>
              <w:rPr>
                <w:rFonts w:ascii="Calibri" w:hAnsi="Calibri"/>
                <w:b w:val="0"/>
                <w:color w:val="333333"/>
                <w:sz w:val="20"/>
              </w:rPr>
              <w:t>20 min</w:t>
            </w:r>
          </w:p>
        </w:tc>
        <w:tc>
          <w:tcPr>
            <w:tcW w:type="dxa" w:w="3135"/>
          </w:tcPr>
          <w:p>
            <w:r>
              <w:rPr>
                <w:rFonts w:ascii="Calibri" w:hAnsi="Calibri"/>
                <w:b w:val="0"/>
                <w:color w:val="333333"/>
                <w:sz w:val="20"/>
              </w:rPr>
              <w:t>Follow-up Questions and Wrap-up with Dr. Teresa Tam</w:t>
            </w:r>
          </w:p>
        </w:tc>
      </w:tr>
    </w:tbl>
    <w:p/>
    <w:p/>
    <w:p>
      <w:pPr>
        <w:jc w:val="center"/>
      </w:pPr>
      <w:r>
        <w:rPr>
          <w:b/>
          <w:color w:val="1B3A5C"/>
          <w:sz w:val="22"/>
        </w:rPr>
        <w:t>Prepared for: AAGL FMIGS Board — Site Inspection Committee</w:t>
      </w:r>
    </w:p>
    <w:p>
      <w:pPr>
        <w:jc w:val="center"/>
      </w:pPr>
      <w:r>
        <w:rPr>
          <w:color w:val="333333"/>
          <w:sz w:val="20"/>
        </w:rPr>
        <w:t>Prime Healthcare Illinois — Fellowship in Minimally Invasive Gynecologic Surgery</w:t>
      </w:r>
    </w:p>
    <w:p>
      <w:pPr>
        <w:jc w:val="center"/>
      </w:pPr>
      <w:r>
        <w:rPr>
          <w:i/>
          <w:color w:val="2E86AB"/>
          <w:sz w:val="20"/>
        </w:rPr>
        <w:t>3-Year Extended Curriculum &amp; Training Program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5C"/>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A5C"/>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3A5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