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0"/>
        <w:jc w:val="center"/>
      </w:pPr>
      <w:r>
        <w:rPr>
          <w:b/>
          <w:bCs/>
          <w:color w:val="1E7A3C"/>
          <w:sz w:val="32"/>
          <w:szCs w:val="32"/>
        </w:rPr>
        <w:t xml:space="preserve">NSENGO</w:t>
      </w:r>
    </w:p>
    <w:p>
      <w:pPr>
        <w:spacing w:after="200"/>
        <w:jc w:val="center"/>
      </w:pPr>
      <w:r>
        <w:rPr>
          <w:b/>
          <w:bCs/>
          <w:color w:val="1F3B57"/>
          <w:sz w:val="44"/>
          <w:szCs w:val="44"/>
        </w:rPr>
        <w:t xml:space="preserve">CAHIER DES CHARGES</w:t>
      </w:r>
    </w:p>
    <w:p>
      <w:pPr>
        <w:spacing w:after="100"/>
        <w:jc w:val="center"/>
      </w:pPr>
      <w:r>
        <w:rPr>
          <w:b/>
          <w:bCs/>
          <w:color w:val="222222"/>
          <w:sz w:val="32"/>
          <w:szCs w:val="32"/>
        </w:rPr>
        <w:t xml:space="preserve">Conception d'une plateforme décisionnelle de veille des marchés agricoles basée sur des données ouvertes</w:t>
      </w:r>
    </w:p>
    <w:p>
      <w:pPr>
        <w:spacing w:after="1000"/>
        <w:jc w:val="center"/>
      </w:pPr>
      <w:r>
        <w:rPr>
          <w:i/>
          <w:iCs/>
          <w:color w:val="555555"/>
          <w:sz w:val="22"/>
          <w:szCs w:val="22"/>
        </w:rPr>
        <w:t xml:space="preserve">Preuve de concept (PoC) — Module de veille décisionnelle pour les acteurs du secteur agricole</w:t>
      </w:r>
    </w:p>
    <w:p>
      <w:pPr>
        <w:spacing w:after="100"/>
        <w:jc w:val="center"/>
      </w:pPr>
      <w:r>
        <w:rPr>
          <w:color w:val="333333"/>
          <w:sz w:val="24"/>
          <w:szCs w:val="24"/>
        </w:rPr>
        <w:t xml:space="preserve">Stage Data Analyst</w:t>
      </w:r>
    </w:p>
    <w:p>
      <w:pPr>
        <w:spacing w:after="60"/>
        <w:jc w:val="center"/>
      </w:pPr>
      <w:r>
        <w:rPr>
          <w:color w:val="333333"/>
          <w:sz w:val="22"/>
          <w:szCs w:val="22"/>
        </w:rPr>
        <w:t xml:space="preserve">Rédigé par : Mourad Saizonou</w:t>
      </w:r>
    </w:p>
    <w:p>
      <w:pPr>
        <w:spacing w:after="60"/>
        <w:jc w:val="center"/>
      </w:pPr>
      <w:r>
        <w:rPr>
          <w:color w:val="333333"/>
          <w:sz w:val="22"/>
          <w:szCs w:val="22"/>
        </w:rPr>
        <w:t xml:space="preserve">Entreprise d'accueil : NSENGO</w:t>
      </w:r>
    </w:p>
    <w:p>
      <w:pPr>
        <w:spacing w:after="60"/>
        <w:jc w:val="center"/>
      </w:pPr>
      <w:r>
        <w:rPr>
          <w:color w:val="333333"/>
          <w:sz w:val="22"/>
          <w:szCs w:val="22"/>
        </w:rPr>
        <w:t xml:space="preserve">Version 1.0 — Document de conception (Phase 1)</w:t>
      </w:r>
    </w:p>
    <w:p>
      <w:pPr>
        <w:jc w:val="center"/>
      </w:pPr>
      <w:r>
        <w:rPr>
          <w:color w:val="333333"/>
          <w:sz w:val="22"/>
          <w:szCs w:val="22"/>
        </w:rPr>
        <w:t xml:space="preserve">Août 2026</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color w:val="1F3B57"/>
        </w:rPr>
        <w:t xml:space="preserve">Sommaire</w:t>
      </w:r>
    </w:p>
    <w:p>
      <w:pPr>
        <w:spacing w:after="200"/>
      </w:pPr>
      <w:r>
        <w:rPr>
          <w:i/>
          <w:iCs/>
          <w:color w:val="555555"/>
          <w:sz w:val="18"/>
          <w:szCs w:val="18"/>
        </w:rPr>
        <w:t xml:space="preserve">(Sommaire généré automatiquement — dans Word, clic droit sur la zone ci-dessous puis « Mettre à jour les champs » pour afficher la pagination, ou touche F9.)</w:t>
      </w:r>
    </w:p>
    <w:sdt>
      <w:sdtPr>
        <w:alias w:val="Sommaire"/>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color w:val="1F3B57"/>
        </w:rPr>
        <w:t xml:space="preserve">1. Contexte et présentation de l'entreprise</w:t>
      </w:r>
    </w:p>
    <w:p>
      <w:pPr>
        <w:spacing w:after="160" w:line="300"/>
      </w:pPr>
      <w:r>
        <w:t xml:space="preserve">NSENGO développe des solutions destinées aux acteurs du secteur agricole : producteurs, marchés, coopératives et, plus largement, tout acteur ayant besoin d'informations fiables pour décider quoi produire, où vendre et à quel moment. L'entreprise souhaite, à terme, enrichir sa plateforme avec un module d'aide à la décision fondé sur des indicateurs de marché.</w:t>
      </w:r>
    </w:p>
    <w:p>
      <w:pPr>
        <w:spacing w:after="160" w:line="300"/>
      </w:pPr>
      <w:r>
        <w:t xml:space="preserve">Aujourd'hui, NSENGO ne dispose pas encore de données de production internes réelles et exploitables à grande échelle. Ce constat n'est pas un obstacle : il définit le périmètre exact de ce projet, détaillé section 4.</w:t>
      </w:r>
    </w:p>
    <w:p>
      <w:pPr>
        <w:pStyle w:val="Heading1"/>
        <w:spacing w:after="200" w:before="400"/>
      </w:pPr>
      <w:r>
        <w:rPr>
          <w:color w:val="1F3B57"/>
        </w:rPr>
        <w:t xml:space="preserve">2. Problématique et enjeux</w:t>
      </w:r>
    </w:p>
    <w:p>
      <w:pPr>
        <w:spacing w:after="160" w:line="300"/>
      </w:pPr>
      <w:r>
        <w:t xml:space="preserve">Les producteurs agricoles, les coopératives et les décideurs auxquels NSENGO s'adresse rencontrent plusieurs difficultés récurrentes :</w:t>
      </w:r>
    </w:p>
    <w:p>
      <w:pPr>
        <w:pStyle w:val="ListParagraph"/>
        <w:numPr>
          <w:ilvl w:val="0"/>
          <w:numId w:val="2"/>
        </w:numPr>
        <w:spacing w:after="80"/>
      </w:pPr>
      <w:r>
        <w:t xml:space="preserve">ils ne savent pas toujours où vendre leur production dans de bonnes conditions ;</w:t>
      </w:r>
    </w:p>
    <w:p>
      <w:pPr>
        <w:pStyle w:val="ListParagraph"/>
        <w:numPr>
          <w:ilvl w:val="0"/>
          <w:numId w:val="2"/>
        </w:numPr>
        <w:spacing w:after="80"/>
      </w:pPr>
      <w:r>
        <w:t xml:space="preserve">ils ne disposent pas d'une vision claire de l'évolution des prix ;</w:t>
      </w:r>
    </w:p>
    <w:p>
      <w:pPr>
        <w:pStyle w:val="ListParagraph"/>
        <w:numPr>
          <w:ilvl w:val="0"/>
          <w:numId w:val="2"/>
        </w:numPr>
        <w:spacing w:after="80"/>
      </w:pPr>
      <w:r>
        <w:t xml:space="preserve">ils manquent de visibilité sur les produits les plus demandés ou les plus rentables ;</w:t>
      </w:r>
    </w:p>
    <w:p>
      <w:pPr>
        <w:pStyle w:val="ListParagraph"/>
        <w:numPr>
          <w:ilvl w:val="0"/>
          <w:numId w:val="2"/>
        </w:numPr>
        <w:spacing w:after="80"/>
      </w:pPr>
      <w:r>
        <w:t xml:space="preserve">les décideurs (coopératives, organismes d'appui) n'ont pas de vision globale et consolidée du marché.</w:t>
      </w:r>
    </w:p>
    <w:p>
      <w:pPr>
        <w:spacing w:after="160" w:line="300"/>
      </w:pPr>
      <w:r>
        <w:t xml:space="preserve">La question à laquelle ce projet doit répondre est donc : comment mettre à disposition des acteurs agricoles des indicateurs fiables, actualisés et compréhensibles, construits à partir de données publiques, pour objectiver leurs décisions ?</w:t>
      </w:r>
    </w:p>
    <w:p>
      <w:pPr>
        <w:pStyle w:val="Heading1"/>
        <w:spacing w:after="200" w:before="400"/>
      </w:pPr>
      <w:r>
        <w:rPr>
          <w:color w:val="1F3B57"/>
        </w:rPr>
        <w:t xml:space="preserve">3. Objectifs du projet</w:t>
      </w:r>
    </w:p>
    <w:p>
      <w:pPr>
        <w:pStyle w:val="Heading2"/>
        <w:spacing w:after="150" w:before="300"/>
      </w:pPr>
      <w:r>
        <w:rPr>
          <w:color w:val="1F3B57"/>
        </w:rPr>
        <w:t xml:space="preserve">3.1 Objectif général</w:t>
      </w:r>
    </w:p>
    <w:p>
      <w:pPr>
        <w:spacing w:after="160" w:line="300"/>
      </w:pPr>
      <w:r>
        <w:t xml:space="preserve">Concevoir et développer une preuve de concept (PoC) de plateforme décisionnelle capable de collecter automatiquement des données ouvertes agricoles, de les intégrer dans une base de données structurée, d'en contrôler la qualité, de calculer des indicateurs décisionnels et de les restituer sous forme de tableaux de bord et de recommandations.</w:t>
      </w:r>
    </w:p>
    <w:p>
      <w:pPr>
        <w:pStyle w:val="Heading2"/>
        <w:spacing w:after="150" w:before="300"/>
      </w:pPr>
      <w:r>
        <w:rPr>
          <w:color w:val="1F3B57"/>
        </w:rPr>
        <w:t xml:space="preserve">3.2 Objectifs spécifiques</w:t>
      </w:r>
    </w:p>
    <w:p>
      <w:pPr>
        <w:pStyle w:val="ListParagraph"/>
        <w:numPr>
          <w:ilvl w:val="0"/>
          <w:numId w:val="2"/>
        </w:numPr>
        <w:spacing w:after="80"/>
      </w:pPr>
      <w:r>
        <w:t xml:space="preserve">Mettre en place un pipeline automatisé de collecte de données ouvertes (FAOSTAT, Banque mondiale, portails nationaux, données climatiques).</w:t>
      </w:r>
    </w:p>
    <w:p>
      <w:pPr>
        <w:pStyle w:val="ListParagraph"/>
        <w:numPr>
          <w:ilvl w:val="0"/>
          <w:numId w:val="2"/>
        </w:numPr>
        <w:spacing w:after="80"/>
      </w:pPr>
      <w:r>
        <w:t xml:space="preserve">Concevoir un entrepôt de données (data warehouse) PostgreSQL structuré selon un modèle en étoile (faits / dimensions).</w:t>
      </w:r>
    </w:p>
    <w:p>
      <w:pPr>
        <w:pStyle w:val="ListParagraph"/>
        <w:numPr>
          <w:ilvl w:val="0"/>
          <w:numId w:val="2"/>
        </w:numPr>
        <w:spacing w:after="80"/>
      </w:pPr>
      <w:r>
        <w:t xml:space="preserve">Développer un module de contrôle qualité des données (doublons, valeurs manquantes, incohérences) avec rapport de qualité.</w:t>
      </w:r>
    </w:p>
    <w:p>
      <w:pPr>
        <w:pStyle w:val="ListParagraph"/>
        <w:numPr>
          <w:ilvl w:val="0"/>
          <w:numId w:val="2"/>
        </w:numPr>
        <w:spacing w:after="80"/>
      </w:pPr>
      <w:r>
        <w:t xml:space="preserve">Définir et calculer, via SQL, un ensemble d'indicateurs décisionnels sur la production, les prix, les échanges et les tendances.</w:t>
      </w:r>
    </w:p>
    <w:p>
      <w:pPr>
        <w:pStyle w:val="ListParagraph"/>
        <w:numPr>
          <w:ilvl w:val="0"/>
          <w:numId w:val="2"/>
        </w:numPr>
        <w:spacing w:after="80"/>
      </w:pPr>
      <w:r>
        <w:t xml:space="preserve">Concevoir plusieurs tableaux de bord Power BI adaptés à différents profils d'utilisateurs (direction, producteurs, décideurs).</w:t>
      </w:r>
    </w:p>
    <w:p>
      <w:pPr>
        <w:pStyle w:val="ListParagraph"/>
        <w:numPr>
          <w:ilvl w:val="0"/>
          <w:numId w:val="2"/>
        </w:numPr>
        <w:spacing w:after="80"/>
      </w:pPr>
      <w:r>
        <w:t xml:space="preserve">Documenter l'ensemble de la solution (dictionnaire de données, documentation des KPI, guide utilisateur).</w:t>
      </w:r>
    </w:p>
    <w:p>
      <w:pPr>
        <w:pStyle w:val="ListParagraph"/>
        <w:numPr>
          <w:ilvl w:val="0"/>
          <w:numId w:val="2"/>
        </w:numPr>
        <w:spacing w:after="80"/>
      </w:pPr>
      <w:r>
        <w:t xml:space="preserve">Formuler des recommandations d'analyse illustrant la valeur métier du dispositif.</w:t>
      </w:r>
    </w:p>
    <w:p>
      <w:pPr>
        <w:pStyle w:val="Heading1"/>
        <w:spacing w:after="200" w:before="400"/>
      </w:pPr>
      <w:r>
        <w:rPr>
          <w:color w:val="1F3B57"/>
        </w:rPr>
        <w:t xml:space="preserve">4. Périmètre du projet et positionnement</w:t>
      </w:r>
    </w:p>
    <w:p>
      <w:pPr>
        <w:spacing w:after="160" w:line="300"/>
      </w:pPr>
      <w:r>
        <w:t xml:space="preserve">Ce projet est mené et présenté comme une preuve de concept (Proof of Concept). Il ne repose sur aucune donnée interne de NSENGO. L'ensemble des données utilisées provient de sources ouvertes (open data), publiques et librement accessibles.</w:t>
      </w:r>
    </w:p>
    <w:p>
      <w:pPr>
        <w:spacing w:after="160" w:line="300"/>
      </w:pPr>
      <w:r>
        <w:t xml:space="preserve">Ce choix est assumé et documenté explicitement, aussi bien dans le rapport de stage que devant le jury :</w:t>
      </w:r>
    </w:p>
    <w:p>
      <w:pPr>
        <w:pBdr>
          <w:left w:val="single" w:color="1F3B57" w:sz="18" w:space="8"/>
        </w:pBdr>
        <w:spacing w:after="200" w:before="120"/>
        <w:ind w:left="480"/>
      </w:pPr>
      <w:r>
        <w:rPr>
          <w:i/>
          <w:iCs/>
          <w:color w:val="333333"/>
        </w:rPr>
        <w:t xml:space="preserve">« Dans le cadre de ce projet, des jeux de données ouverts ont été utilisés afin de développer et de valider une preuve de concept. Cette approche permet de démontrer la faisabilité technique de la solution tout en préparant son intégration future avec des données opérationnelles. »</w:t>
      </w:r>
    </w:p>
    <w:p>
      <w:pPr>
        <w:spacing w:after="160" w:line="300"/>
      </w:pPr>
      <w:r>
        <w:t xml:space="preserve">Ce positionnement présente plusieurs avantages : il reste rigoureusement honnête vis-à-vis de l'école et du jury, il protège la confidentialité de NSENGO en évitant toute exposition de données d'entreprise (inexistantes à ce stade), et il correspond à une pratique reconnue d'ingénierie logicielle — le PoC — qui démontre la faisabilité d'un service avant son déploiement en production.</w:t>
      </w:r>
    </w:p>
    <w:p>
      <w:pPr>
        <w:spacing w:after="160" w:line="300"/>
      </w:pPr>
      <w:r>
        <w:t xml:space="preserve">Est inclus dans le périmètre : la collecte, le contrôle qualité, la structuration en base de données, le calcul de KPI, la restitution en tableaux de bord, la documentation et les recommandations, le tout à partir de données ouvertes.</w:t>
      </w:r>
    </w:p>
    <w:p>
      <w:pPr>
        <w:spacing w:after="160" w:line="300"/>
      </w:pPr>
      <w:r>
        <w:t xml:space="preserve">Est exclu du périmètre : toute donnée propriétaire ou interne à NSENGO ou à ses partenaires, ainsi que le déploiement en production auprès d'utilisateurs finaux (le projet reste un prototype fonctionnel).</w:t>
      </w:r>
    </w:p>
    <w:p>
      <w:pPr>
        <w:pStyle w:val="Heading1"/>
        <w:spacing w:after="200" w:before="400"/>
      </w:pPr>
      <w:r>
        <w:rPr>
          <w:color w:val="1F3B57"/>
        </w:rPr>
        <w:t xml:space="preserve">5. Sources de données envisagées</w:t>
      </w:r>
    </w:p>
    <w:p>
      <w:pPr>
        <w:spacing w:after="160" w:line="300"/>
      </w:pPr>
      <w:r>
        <w:t xml:space="preserve">Plusieurs plateformes de données ouvertes seront mobilisées. Leur disponibilité effective et le détail de leur contenu seront confirmés et documentés en phase 1 (analyse), certaines informations ci-dessous devant être vérifiées précisément au démarrage de la collecte.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400"/>
        <w:gridCol w:w="2526"/>
      </w:tblGrid>
      <w:tr>
        <w:trPr>
          <w:tblHeader/>
        </w:trPr>
        <w:tc>
          <w:tcPr>
            <w:tcW w:type="dxa" w:w="1500"/>
            <w:shd w:fill="1F3B57" w:val="clear"/>
            <w:tcMar>
              <w:top w:type="dxa" w:w="80"/>
              <w:left w:type="dxa" w:w="100"/>
              <w:bottom w:type="dxa" w:w="80"/>
              <w:right w:type="dxa" w:w="100"/>
            </w:tcMar>
            <w:vAlign w:val="center"/>
          </w:tcPr>
          <w:p>
            <w:pPr>
              <w:jc w:val="left"/>
            </w:pPr>
            <w:r>
              <w:rPr>
                <w:b/>
                <w:bCs/>
                <w:color w:val="FFFFFF"/>
              </w:rPr>
              <w:t xml:space="preserve">Source</w:t>
            </w:r>
          </w:p>
        </w:tc>
        <w:tc>
          <w:tcPr>
            <w:tcW w:type="dxa" w:w="2600"/>
            <w:shd w:fill="1F3B57" w:val="clear"/>
            <w:tcMar>
              <w:top w:type="dxa" w:w="80"/>
              <w:left w:type="dxa" w:w="100"/>
              <w:bottom w:type="dxa" w:w="80"/>
              <w:right w:type="dxa" w:w="100"/>
            </w:tcMar>
            <w:vAlign w:val="center"/>
          </w:tcPr>
          <w:p>
            <w:pPr>
              <w:jc w:val="left"/>
            </w:pPr>
            <w:r>
              <w:rPr>
                <w:b/>
                <w:bCs/>
                <w:color w:val="FFFFFF"/>
              </w:rPr>
              <w:t xml:space="preserve">Thématiques couvertes</w:t>
            </w:r>
          </w:p>
        </w:tc>
        <w:tc>
          <w:tcPr>
            <w:tcW w:type="dxa" w:w="2400"/>
            <w:shd w:fill="1F3B57" w:val="clear"/>
            <w:tcMar>
              <w:top w:type="dxa" w:w="80"/>
              <w:left w:type="dxa" w:w="100"/>
              <w:bottom w:type="dxa" w:w="80"/>
              <w:right w:type="dxa" w:w="100"/>
            </w:tcMar>
            <w:vAlign w:val="center"/>
          </w:tcPr>
          <w:p>
            <w:pPr>
              <w:jc w:val="left"/>
            </w:pPr>
            <w:r>
              <w:rPr>
                <w:b/>
                <w:bCs/>
                <w:color w:val="FFFFFF"/>
              </w:rPr>
              <w:t xml:space="preserve">Type d'accès</w:t>
            </w:r>
          </w:p>
        </w:tc>
        <w:tc>
          <w:tcPr>
            <w:tcW w:type="dxa" w:w="2526"/>
            <w:shd w:fill="1F3B57" w:val="clear"/>
            <w:tcMar>
              <w:top w:type="dxa" w:w="80"/>
              <w:left w:type="dxa" w:w="100"/>
              <w:bottom w:type="dxa" w:w="80"/>
              <w:right w:type="dxa" w:w="100"/>
            </w:tcMar>
            <w:vAlign w:val="center"/>
          </w:tcPr>
          <w:p>
            <w:pPr>
              <w:jc w:val="left"/>
            </w:pPr>
            <w:r>
              <w:rPr>
                <w:b/>
                <w:bCs/>
                <w:color w:val="FFFFFF"/>
              </w:rPr>
              <w:t xml:space="preserve">Remarques</w:t>
            </w:r>
          </w:p>
        </w:tc>
      </w:tr>
      <w:tr>
        <w:tc>
          <w:tcPr>
            <w:tcW w:type="dxa" w:w="1500"/>
            <w:shd w:fill="F7F9FC" w:val="clear"/>
            <w:tcMar>
              <w:top w:type="dxa" w:w="80"/>
              <w:left w:type="dxa" w:w="100"/>
              <w:bottom w:type="dxa" w:w="80"/>
              <w:right w:type="dxa" w:w="100"/>
            </w:tcMar>
            <w:vAlign w:val="center"/>
          </w:tcPr>
          <w:p>
            <w:pPr>
              <w:jc w:val="left"/>
            </w:pPr>
            <w:r>
              <w:rPr>
                <w:b w:val="false"/>
                <w:bCs w:val="false"/>
                <w:color w:val="000000"/>
              </w:rPr>
              <w:t xml:space="preserve">FAOSTAT (FAO)</w:t>
            </w:r>
          </w:p>
        </w:tc>
        <w:tc>
          <w:tcPr>
            <w:tcW w:type="dxa" w:w="2600"/>
            <w:shd w:fill="F7F9FC" w:val="clear"/>
            <w:tcMar>
              <w:top w:type="dxa" w:w="80"/>
              <w:left w:type="dxa" w:w="100"/>
              <w:bottom w:type="dxa" w:w="80"/>
              <w:right w:type="dxa" w:w="100"/>
            </w:tcMar>
            <w:vAlign w:val="center"/>
          </w:tcPr>
          <w:p>
            <w:pPr>
              <w:jc w:val="left"/>
            </w:pPr>
            <w:r>
              <w:rPr>
                <w:b w:val="false"/>
                <w:bCs w:val="false"/>
                <w:color w:val="000000"/>
              </w:rPr>
              <w:t xml:space="preserve">Production agricole, rendements, superficies, importations/exportations — plus de 245 pays et territoires, séries depuis 1961</w:t>
            </w:r>
          </w:p>
        </w:tc>
        <w:tc>
          <w:tcPr>
            <w:tcW w:type="dxa" w:w="2400"/>
            <w:shd w:fill="F7F9FC" w:val="clear"/>
            <w:tcMar>
              <w:top w:type="dxa" w:w="80"/>
              <w:left w:type="dxa" w:w="100"/>
              <w:bottom w:type="dxa" w:w="80"/>
              <w:right w:type="dxa" w:w="100"/>
            </w:tcMar>
            <w:vAlign w:val="center"/>
          </w:tcPr>
          <w:p>
            <w:pPr>
              <w:jc w:val="left"/>
            </w:pPr>
            <w:r>
              <w:rPr>
                <w:b w:val="false"/>
                <w:bCs w:val="false"/>
                <w:color w:val="000000"/>
              </w:rPr>
              <w:t xml:space="preserve">Portail web, téléchargement en masse, API</w:t>
            </w:r>
          </w:p>
        </w:tc>
        <w:tc>
          <w:tcPr>
            <w:tcW w:type="dxa" w:w="2526"/>
            <w:shd w:fill="F7F9FC" w:val="clear"/>
            <w:tcMar>
              <w:top w:type="dxa" w:w="80"/>
              <w:left w:type="dxa" w:w="100"/>
              <w:bottom w:type="dxa" w:w="80"/>
              <w:right w:type="dxa" w:w="100"/>
            </w:tcMar>
            <w:vAlign w:val="center"/>
          </w:tcPr>
          <w:p>
            <w:pPr>
              <w:jc w:val="left"/>
            </w:pPr>
            <w:r>
              <w:rPr>
                <w:b w:val="false"/>
                <w:bCs w:val="false"/>
                <w:color w:val="000000"/>
              </w:rPr>
              <w:t xml:space="preserve">Source de référence, gratuite, sans clé d'accès ; volume de données important</w:t>
            </w:r>
          </w:p>
        </w:tc>
      </w:tr>
      <w:tr>
        <w:tc>
          <w:tcPr>
            <w:tcW w:type="dxa" w:w="1500"/>
            <w:shd w:fill="FFFFFF" w:val="clear"/>
            <w:tcMar>
              <w:top w:type="dxa" w:w="80"/>
              <w:left w:type="dxa" w:w="100"/>
              <w:bottom w:type="dxa" w:w="80"/>
              <w:right w:type="dxa" w:w="100"/>
            </w:tcMar>
            <w:vAlign w:val="center"/>
          </w:tcPr>
          <w:p>
            <w:pPr>
              <w:jc w:val="left"/>
            </w:pPr>
            <w:r>
              <w:rPr>
                <w:b w:val="false"/>
                <w:bCs w:val="false"/>
                <w:color w:val="000000"/>
              </w:rPr>
              <w:t xml:space="preserve">Banque mondiale
(World Development Indicators)</w:t>
            </w:r>
          </w:p>
        </w:tc>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Population, PIB, inflation, indicateurs de développement et agricoles, par pays</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Portail web, API REST, DataBank</w:t>
            </w:r>
          </w:p>
        </w:tc>
        <w:tc>
          <w:tcPr>
            <w:tcW w:type="dxa" w:w="2526"/>
            <w:shd w:fill="FFFFFF" w:val="clear"/>
            <w:tcMar>
              <w:top w:type="dxa" w:w="80"/>
              <w:left w:type="dxa" w:w="100"/>
              <w:bottom w:type="dxa" w:w="80"/>
              <w:right w:type="dxa" w:w="100"/>
            </w:tcMar>
            <w:vAlign w:val="center"/>
          </w:tcPr>
          <w:p>
            <w:pPr>
              <w:jc w:val="left"/>
            </w:pPr>
            <w:r>
              <w:rPr>
                <w:b w:val="false"/>
                <w:bCs w:val="false"/>
                <w:color w:val="000000"/>
              </w:rPr>
              <w:t xml:space="preserve">Accès libre et gratuit, couverture mondiale, bonne qualité de documentation</w:t>
            </w:r>
          </w:p>
        </w:tc>
      </w:tr>
      <w:tr>
        <w:tc>
          <w:tcPr>
            <w:tcW w:type="dxa" w:w="1500"/>
            <w:shd w:fill="F7F9FC" w:val="clear"/>
            <w:tcMar>
              <w:top w:type="dxa" w:w="80"/>
              <w:left w:type="dxa" w:w="100"/>
              <w:bottom w:type="dxa" w:w="80"/>
              <w:right w:type="dxa" w:w="100"/>
            </w:tcMar>
            <w:vAlign w:val="center"/>
          </w:tcPr>
          <w:p>
            <w:pPr>
              <w:jc w:val="left"/>
            </w:pPr>
            <w:r>
              <w:rPr>
                <w:b w:val="false"/>
                <w:bCs w:val="false"/>
                <w:color w:val="000000"/>
              </w:rPr>
              <w:t xml:space="preserve">data.gouv.fr</w:t>
            </w:r>
          </w:p>
        </w:tc>
        <w:tc>
          <w:tcPr>
            <w:tcW w:type="dxa" w:w="2600"/>
            <w:shd w:fill="F7F9FC" w:val="clear"/>
            <w:tcMar>
              <w:top w:type="dxa" w:w="80"/>
              <w:left w:type="dxa" w:w="100"/>
              <w:bottom w:type="dxa" w:w="80"/>
              <w:right w:type="dxa" w:w="100"/>
            </w:tcMar>
            <w:vAlign w:val="center"/>
          </w:tcPr>
          <w:p>
            <w:pPr>
              <w:jc w:val="left"/>
            </w:pPr>
            <w:r>
              <w:rPr>
                <w:b w:val="false"/>
                <w:bCs w:val="false"/>
                <w:color w:val="000000"/>
              </w:rPr>
              <w:t xml:space="preserve">Données publiques françaises : prix de certains produits, statistiques agricoles (Agreste), météo</w:t>
            </w:r>
          </w:p>
        </w:tc>
        <w:tc>
          <w:tcPr>
            <w:tcW w:type="dxa" w:w="2400"/>
            <w:shd w:fill="F7F9FC" w:val="clear"/>
            <w:tcMar>
              <w:top w:type="dxa" w:w="80"/>
              <w:left w:type="dxa" w:w="100"/>
              <w:bottom w:type="dxa" w:w="80"/>
              <w:right w:type="dxa" w:w="100"/>
            </w:tcMar>
            <w:vAlign w:val="center"/>
          </w:tcPr>
          <w:p>
            <w:pPr>
              <w:jc w:val="left"/>
            </w:pPr>
            <w:r>
              <w:rPr>
                <w:b w:val="false"/>
                <w:bCs w:val="false"/>
                <w:color w:val="000000"/>
              </w:rPr>
              <w:t xml:space="preserve">Catalogue de jeux de données (recherche par mot-clé), API selon les jeux de données</w:t>
            </w:r>
          </w:p>
        </w:tc>
        <w:tc>
          <w:tcPr>
            <w:tcW w:type="dxa" w:w="2526"/>
            <w:shd w:fill="F7F9FC" w:val="clear"/>
            <w:tcMar>
              <w:top w:type="dxa" w:w="80"/>
              <w:left w:type="dxa" w:w="100"/>
              <w:bottom w:type="dxa" w:w="80"/>
              <w:right w:type="dxa" w:w="100"/>
            </w:tcMar>
            <w:vAlign w:val="center"/>
          </w:tcPr>
          <w:p>
            <w:pPr>
              <w:jc w:val="left"/>
            </w:pPr>
            <w:r>
              <w:rPr>
                <w:b w:val="false"/>
                <w:bCs w:val="false"/>
                <w:color w:val="000000"/>
              </w:rPr>
              <w:t xml:space="preserve">Plus de 70 000 jeux de données ; disponibilité et granularité des données « prix agricoles » à confirmer précisément en phase 1</w:t>
            </w:r>
          </w:p>
        </w:tc>
      </w:tr>
      <w:tr>
        <w:tc>
          <w:tcPr>
            <w:tcW w:type="dxa" w:w="1500"/>
            <w:shd w:fill="FFFFFF" w:val="clear"/>
            <w:tcMar>
              <w:top w:type="dxa" w:w="80"/>
              <w:left w:type="dxa" w:w="100"/>
              <w:bottom w:type="dxa" w:w="80"/>
              <w:right w:type="dxa" w:w="100"/>
            </w:tcMar>
            <w:vAlign w:val="center"/>
          </w:tcPr>
          <w:p>
            <w:pPr>
              <w:jc w:val="left"/>
            </w:pPr>
            <w:r>
              <w:rPr>
                <w:b w:val="false"/>
                <w:bCs w:val="false"/>
                <w:color w:val="000000"/>
              </w:rPr>
              <w:t xml:space="preserve">NOAA — Climate Data Online</w:t>
            </w:r>
          </w:p>
        </w:tc>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Température, précipitations, vent, normales climatiques (stations mondiales)</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Portail web, web services / API</w:t>
            </w:r>
          </w:p>
        </w:tc>
        <w:tc>
          <w:tcPr>
            <w:tcW w:type="dxa" w:w="2526"/>
            <w:shd w:fill="FFFFFF" w:val="clear"/>
            <w:tcMar>
              <w:top w:type="dxa" w:w="80"/>
              <w:left w:type="dxa" w:w="100"/>
              <w:bottom w:type="dxa" w:w="80"/>
              <w:right w:type="dxa" w:w="100"/>
            </w:tcMar>
            <w:vAlign w:val="center"/>
          </w:tcPr>
          <w:p>
            <w:pPr>
              <w:jc w:val="left"/>
            </w:pPr>
            <w:r>
              <w:rPr>
                <w:b w:val="false"/>
                <w:bCs w:val="false"/>
                <w:color w:val="000000"/>
              </w:rPr>
              <w:t xml:space="preserve">Densité de stations variable en Afrique de l'Ouest ; source complémentaire pour l'analyse d'impact météo sur la production</w:t>
            </w:r>
          </w:p>
        </w:tc>
      </w:tr>
      <w:tr>
        <w:tc>
          <w:tcPr>
            <w:tcW w:type="dxa" w:w="1500"/>
            <w:shd w:fill="F7F9FC" w:val="clear"/>
            <w:tcMar>
              <w:top w:type="dxa" w:w="80"/>
              <w:left w:type="dxa" w:w="100"/>
              <w:bottom w:type="dxa" w:w="80"/>
              <w:right w:type="dxa" w:w="100"/>
            </w:tcMar>
            <w:vAlign w:val="center"/>
          </w:tcPr>
          <w:p>
            <w:pPr>
              <w:jc w:val="left"/>
            </w:pPr>
            <w:r>
              <w:rPr>
                <w:b w:val="false"/>
                <w:bCs w:val="false"/>
                <w:color w:val="000000"/>
              </w:rPr>
              <w:t xml:space="preserve">Portail Open Data du Bénin</w:t>
            </w:r>
          </w:p>
        </w:tc>
        <w:tc>
          <w:tcPr>
            <w:tcW w:type="dxa" w:w="2600"/>
            <w:shd w:fill="F7F9FC" w:val="clear"/>
            <w:tcMar>
              <w:top w:type="dxa" w:w="80"/>
              <w:left w:type="dxa" w:w="100"/>
              <w:bottom w:type="dxa" w:w="80"/>
              <w:right w:type="dxa" w:w="100"/>
            </w:tcMar>
            <w:vAlign w:val="center"/>
          </w:tcPr>
          <w:p>
            <w:pPr>
              <w:jc w:val="left"/>
            </w:pPr>
            <w:r>
              <w:rPr>
                <w:b w:val="false"/>
                <w:bCs w:val="false"/>
                <w:color w:val="000000"/>
              </w:rPr>
              <w:t xml:space="preserve">Agriculture, marchés, démographie, communes (si disponibles)</w:t>
            </w:r>
          </w:p>
        </w:tc>
        <w:tc>
          <w:tcPr>
            <w:tcW w:type="dxa" w:w="2400"/>
            <w:shd w:fill="F7F9FC" w:val="clear"/>
            <w:tcMar>
              <w:top w:type="dxa" w:w="80"/>
              <w:left w:type="dxa" w:w="100"/>
              <w:bottom w:type="dxa" w:w="80"/>
              <w:right w:type="dxa" w:w="100"/>
            </w:tcMar>
            <w:vAlign w:val="center"/>
          </w:tcPr>
          <w:p>
            <w:pPr>
              <w:jc w:val="left"/>
            </w:pPr>
            <w:r>
              <w:rPr>
                <w:b w:val="false"/>
                <w:bCs w:val="false"/>
                <w:color w:val="000000"/>
              </w:rPr>
              <w:t xml:space="preserve">À confirmer</w:t>
            </w:r>
          </w:p>
        </w:tc>
        <w:tc>
          <w:tcPr>
            <w:tcW w:type="dxa" w:w="2526"/>
            <w:shd w:fill="F7F9FC" w:val="clear"/>
            <w:tcMar>
              <w:top w:type="dxa" w:w="80"/>
              <w:left w:type="dxa" w:w="100"/>
              <w:bottom w:type="dxa" w:w="80"/>
              <w:right w:type="dxa" w:w="100"/>
            </w:tcMar>
            <w:vAlign w:val="center"/>
          </w:tcPr>
          <w:p>
            <w:pPr>
              <w:jc w:val="left"/>
            </w:pPr>
            <w:r>
              <w:rPr>
                <w:b w:val="false"/>
                <w:bCs w:val="false"/>
                <w:color w:val="000000"/>
              </w:rPr>
              <w:t xml:space="preserve">Disponibilité, mise à jour et couverture du portail à vérifier en phase 1 ; en cas d'indisponibilité, repli sur FAOSTAT / Banque mondiale pour les données Bénin</w:t>
            </w:r>
          </w:p>
        </w:tc>
      </w:tr>
    </w:tbl>
    <w:p>
      <w:pPr>
        <w:spacing w:before="200"/>
      </w:pPr>
    </w:p>
    <w:p>
      <w:pPr>
        <w:pStyle w:val="Heading1"/>
        <w:spacing w:after="200" w:before="400"/>
      </w:pPr>
      <w:r>
        <w:rPr>
          <w:color w:val="1F3B57"/>
        </w:rPr>
        <w:t xml:space="preserve">6. Architecture technique cible</w:t>
      </w:r>
    </w:p>
    <w:p>
      <w:pPr>
        <w:spacing w:after="160" w:line="300"/>
      </w:pPr>
      <w:r>
        <w:t xml:space="preserve">La solution s'appuie sur une architecture de type ETL (Extract – Transform – Load) classique en informatique décisionnelle, du recueil de la donnée brute jusqu'à la restitution visuelle et analytique.</w:t>
      </w:r>
    </w:p>
    <w:p>
      <w:pPr>
        <w:spacing w:after="200" w:before="200"/>
        <w:jc w:val="center"/>
      </w:pPr>
      <w:r>
        <w:drawing>
          <wp:inline distT="0" distB="0" distL="0" distR="0">
            <wp:extent cx="409575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457825"/>
                    </a:xfrm>
                    <a:prstGeom prst="rect">
                      <a:avLst/>
                    </a:prstGeom>
                  </pic:spPr>
                </pic:pic>
              </a:graphicData>
            </a:graphic>
          </wp:inline>
        </w:drawing>
      </w:r>
    </w:p>
    <w:p>
      <w:pPr>
        <w:spacing w:after="160" w:line="300"/>
      </w:pPr>
      <w:r>
        <w:t xml:space="preserve">Les scripts de collecte et de transformation sont développés en Python (bibliothèque pandas notamment). Le stockage central est assuré par une base de données PostgreSQL structurée en petit entrepôt de données (tables de faits et de dimensions). La couche analytique (SQL) calcule les indicateurs, et Power BI assure la restitution visuelle sous forme de tableaux de bord.</w:t>
      </w:r>
    </w:p>
    <w:p>
      <w:pPr>
        <w:pStyle w:val="Heading1"/>
        <w:spacing w:after="200" w:before="400"/>
      </w:pPr>
      <w:r>
        <w:rPr>
          <w:color w:val="1F3B57"/>
        </w:rPr>
        <w:t xml:space="preserve">7. Indicateurs décisionnels (KPI)</w:t>
      </w:r>
    </w:p>
    <w:p>
      <w:pPr>
        <w:pStyle w:val="Heading2"/>
        <w:spacing w:after="150" w:before="300"/>
      </w:pPr>
      <w:r>
        <w:rPr>
          <w:color w:val="1F3B57"/>
        </w:rPr>
        <w:t xml:space="preserve">7.1 Production</w:t>
      </w:r>
    </w:p>
    <w:p>
      <w:pPr>
        <w:pStyle w:val="ListParagraph"/>
        <w:numPr>
          <w:ilvl w:val="0"/>
          <w:numId w:val="2"/>
        </w:numPr>
        <w:spacing w:after="80"/>
      </w:pPr>
      <w:r>
        <w:t xml:space="preserve">Production totale par pays, produit et année</w:t>
      </w:r>
    </w:p>
    <w:p>
      <w:pPr>
        <w:pStyle w:val="ListParagraph"/>
        <w:numPr>
          <w:ilvl w:val="0"/>
          <w:numId w:val="2"/>
        </w:numPr>
        <w:spacing w:after="80"/>
      </w:pPr>
      <w:r>
        <w:t xml:space="preserve">Évolution annuelle de la production (croissance, régression)</w:t>
      </w:r>
    </w:p>
    <w:p>
      <w:pPr>
        <w:pStyle w:val="ListParagraph"/>
        <w:numPr>
          <w:ilvl w:val="0"/>
          <w:numId w:val="2"/>
        </w:numPr>
        <w:spacing w:after="80"/>
      </w:pPr>
      <w:r>
        <w:t xml:space="preserve">Rendement moyen par hectare</w:t>
      </w:r>
    </w:p>
    <w:p>
      <w:pPr>
        <w:pStyle w:val="Heading2"/>
        <w:spacing w:after="150" w:before="300"/>
      </w:pPr>
      <w:r>
        <w:rPr>
          <w:color w:val="1F3B57"/>
        </w:rPr>
        <w:t xml:space="preserve">7.2 Marchés et prix</w:t>
      </w:r>
    </w:p>
    <w:p>
      <w:pPr>
        <w:pStyle w:val="ListParagraph"/>
        <w:numPr>
          <w:ilvl w:val="0"/>
          <w:numId w:val="2"/>
        </w:numPr>
        <w:spacing w:after="80"/>
      </w:pPr>
      <w:r>
        <w:t xml:space="preserve">Prix moyen par produit et par marché/pays</w:t>
      </w:r>
    </w:p>
    <w:p>
      <w:pPr>
        <w:pStyle w:val="ListParagraph"/>
        <w:numPr>
          <w:ilvl w:val="0"/>
          <w:numId w:val="2"/>
        </w:numPr>
        <w:spacing w:after="80"/>
      </w:pPr>
      <w:r>
        <w:t xml:space="preserve">Évolution des prix dans le temps</w:t>
      </w:r>
    </w:p>
    <w:p>
      <w:pPr>
        <w:pStyle w:val="ListParagraph"/>
        <w:numPr>
          <w:ilvl w:val="0"/>
          <w:numId w:val="2"/>
        </w:numPr>
        <w:spacing w:after="80"/>
      </w:pPr>
      <w:r>
        <w:t xml:space="preserve">Produits les plus rentables (marge estimée à partir des prix et coûts disponibles)</w:t>
      </w:r>
    </w:p>
    <w:p>
      <w:pPr>
        <w:pStyle w:val="Heading2"/>
        <w:spacing w:after="150" w:before="300"/>
      </w:pPr>
      <w:r>
        <w:rPr>
          <w:color w:val="1F3B57"/>
        </w:rPr>
        <w:t xml:space="preserve">7.3 Comparaison entre pays</w:t>
      </w:r>
    </w:p>
    <w:p>
      <w:pPr>
        <w:pStyle w:val="ListParagraph"/>
        <w:numPr>
          <w:ilvl w:val="0"/>
          <w:numId w:val="2"/>
        </w:numPr>
        <w:spacing w:after="80"/>
      </w:pPr>
      <w:r>
        <w:t xml:space="preserve">Principaux pays producteurs</w:t>
      </w:r>
    </w:p>
    <w:p>
      <w:pPr>
        <w:pStyle w:val="ListParagraph"/>
        <w:numPr>
          <w:ilvl w:val="0"/>
          <w:numId w:val="2"/>
        </w:numPr>
        <w:spacing w:after="80"/>
      </w:pPr>
      <w:r>
        <w:t xml:space="preserve">Principaux pays exportateurs</w:t>
      </w:r>
    </w:p>
    <w:p>
      <w:pPr>
        <w:pStyle w:val="ListParagraph"/>
        <w:numPr>
          <w:ilvl w:val="0"/>
          <w:numId w:val="2"/>
        </w:numPr>
        <w:spacing w:after="80"/>
      </w:pPr>
      <w:r>
        <w:t xml:space="preserve">Classements (Top 10 produits, Top 10 pays)</w:t>
      </w:r>
    </w:p>
    <w:p>
      <w:pPr>
        <w:pStyle w:val="Heading2"/>
        <w:spacing w:after="150" w:before="300"/>
      </w:pPr>
      <w:r>
        <w:rPr>
          <w:color w:val="1F3B57"/>
        </w:rPr>
        <w:t xml:space="preserve">7.4 Tendances</w:t>
      </w:r>
    </w:p>
    <w:p>
      <w:pPr>
        <w:pStyle w:val="ListParagraph"/>
        <w:numPr>
          <w:ilvl w:val="0"/>
          <w:numId w:val="2"/>
        </w:numPr>
        <w:spacing w:after="80"/>
      </w:pPr>
      <w:r>
        <w:t xml:space="preserve">Évolution sur 10 ans des indicateurs clés</w:t>
      </w:r>
    </w:p>
    <w:p>
      <w:pPr>
        <w:pStyle w:val="ListParagraph"/>
        <w:numPr>
          <w:ilvl w:val="0"/>
          <w:numId w:val="2"/>
        </w:numPr>
        <w:spacing w:after="80"/>
      </w:pPr>
      <w:r>
        <w:t xml:space="preserve">Saisonnalité des prix et de la production</w:t>
      </w:r>
    </w:p>
    <w:p>
      <w:pPr>
        <w:pStyle w:val="Heading2"/>
        <w:spacing w:after="150" w:before="300"/>
      </w:pPr>
      <w:r>
        <w:rPr>
          <w:color w:val="1F3B57"/>
        </w:rPr>
        <w:t xml:space="preserve">7.5 Qualité des données</w:t>
      </w:r>
    </w:p>
    <w:p>
      <w:pPr>
        <w:pStyle w:val="ListParagraph"/>
        <w:numPr>
          <w:ilvl w:val="0"/>
          <w:numId w:val="2"/>
        </w:numPr>
        <w:spacing w:after="80"/>
      </w:pPr>
      <w:r>
        <w:t xml:space="preserve">Taux de complétude par source et par jeu de données</w:t>
      </w:r>
    </w:p>
    <w:p>
      <w:pPr>
        <w:pStyle w:val="ListParagraph"/>
        <w:numPr>
          <w:ilvl w:val="0"/>
          <w:numId w:val="2"/>
        </w:numPr>
        <w:spacing w:after="80"/>
      </w:pPr>
      <w:r>
        <w:t xml:space="preserve">Nombre d'anomalies détectées et corrigées</w:t>
      </w:r>
    </w:p>
    <w:p>
      <w:pPr>
        <w:pStyle w:val="Heading1"/>
        <w:spacing w:after="200" w:before="400"/>
      </w:pPr>
      <w:r>
        <w:rPr>
          <w:color w:val="1F3B57"/>
        </w:rPr>
        <w:t xml:space="preserve">8. Modules fonctionnels de la plateforme</w:t>
      </w:r>
    </w:p>
    <w:p>
      <w:pPr>
        <w:spacing w:after="160" w:line="300"/>
      </w:pPr>
      <w:r>
        <w:t xml:space="preserve">Au-delà d'un simple tableau de bord, la solution est conçue comme un ensemble de modules articulés, à l'image d'un produit que NSENGO pourrait à terme proposer à ses utilisateurs sous le nom de travail « NSENGO Market Intelligence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rPr>
          <w:tblHeader/>
        </w:trPr>
        <w:tc>
          <w:tcPr>
            <w:tcW w:type="dxa" w:w="1700"/>
            <w:shd w:fill="1F3B57" w:val="clear"/>
            <w:tcMar>
              <w:top w:type="dxa" w:w="80"/>
              <w:left w:type="dxa" w:w="100"/>
              <w:bottom w:type="dxa" w:w="80"/>
              <w:right w:type="dxa" w:w="100"/>
            </w:tcMar>
            <w:vAlign w:val="center"/>
          </w:tcPr>
          <w:p>
            <w:pPr>
              <w:jc w:val="left"/>
            </w:pPr>
            <w:r>
              <w:rPr>
                <w:b/>
                <w:bCs/>
                <w:color w:val="FFFFFF"/>
              </w:rPr>
              <w:t xml:space="preserve">Module</w:t>
            </w:r>
          </w:p>
        </w:tc>
        <w:tc>
          <w:tcPr>
            <w:tcW w:type="dxa" w:w="3400"/>
            <w:shd w:fill="1F3B57" w:val="clear"/>
            <w:tcMar>
              <w:top w:type="dxa" w:w="80"/>
              <w:left w:type="dxa" w:w="100"/>
              <w:bottom w:type="dxa" w:w="80"/>
              <w:right w:type="dxa" w:w="100"/>
            </w:tcMar>
            <w:vAlign w:val="center"/>
          </w:tcPr>
          <w:p>
            <w:pPr>
              <w:jc w:val="left"/>
            </w:pPr>
            <w:r>
              <w:rPr>
                <w:b/>
                <w:bCs/>
                <w:color w:val="FFFFFF"/>
              </w:rPr>
              <w:t xml:space="preserve">Fonction</w:t>
            </w:r>
          </w:p>
        </w:tc>
        <w:tc>
          <w:tcPr>
            <w:tcW w:type="dxa" w:w="3926"/>
            <w:shd w:fill="1F3B57" w:val="clear"/>
            <w:tcMar>
              <w:top w:type="dxa" w:w="80"/>
              <w:left w:type="dxa" w:w="100"/>
              <w:bottom w:type="dxa" w:w="80"/>
              <w:right w:type="dxa" w:w="100"/>
            </w:tcMar>
            <w:vAlign w:val="center"/>
          </w:tcPr>
          <w:p>
            <w:pPr>
              <w:jc w:val="left"/>
            </w:pPr>
            <w:r>
              <w:rPr>
                <w:b/>
                <w:bCs/>
                <w:color w:val="FFFFFF"/>
              </w:rPr>
              <w:t xml:space="preserve">Détail</w:t>
            </w:r>
          </w:p>
        </w:tc>
      </w:tr>
      <w:tr>
        <w:tc>
          <w:tcPr>
            <w:tcW w:type="dxa" w:w="1700"/>
            <w:shd w:fill="F7F9FC" w:val="clear"/>
            <w:tcMar>
              <w:top w:type="dxa" w:w="80"/>
              <w:left w:type="dxa" w:w="100"/>
              <w:bottom w:type="dxa" w:w="80"/>
              <w:right w:type="dxa" w:w="100"/>
            </w:tcMar>
            <w:vAlign w:val="center"/>
          </w:tcPr>
          <w:p>
            <w:pPr>
              <w:jc w:val="left"/>
            </w:pPr>
            <w:r>
              <w:rPr>
                <w:b w:val="false"/>
                <w:bCs w:val="false"/>
                <w:color w:val="000000"/>
              </w:rPr>
              <w:t xml:space="preserve">1 — Acquisition</w:t>
            </w:r>
          </w:p>
        </w:tc>
        <w:tc>
          <w:tcPr>
            <w:tcW w:type="dxa" w:w="3400"/>
            <w:shd w:fill="F7F9FC" w:val="clear"/>
            <w:tcMar>
              <w:top w:type="dxa" w:w="80"/>
              <w:left w:type="dxa" w:w="100"/>
              <w:bottom w:type="dxa" w:w="80"/>
              <w:right w:type="dxa" w:w="100"/>
            </w:tcMar>
            <w:vAlign w:val="center"/>
          </w:tcPr>
          <w:p>
            <w:pPr>
              <w:jc w:val="left"/>
            </w:pPr>
            <w:r>
              <w:rPr>
                <w:b w:val="false"/>
                <w:bCs w:val="false"/>
                <w:color w:val="000000"/>
              </w:rPr>
              <w:t xml:space="preserve">Collecte automatique des données</w:t>
            </w:r>
          </w:p>
        </w:tc>
        <w:tc>
          <w:tcPr>
            <w:tcW w:type="dxa" w:w="3926"/>
            <w:shd w:fill="F7F9FC" w:val="clear"/>
            <w:tcMar>
              <w:top w:type="dxa" w:w="80"/>
              <w:left w:type="dxa" w:w="100"/>
              <w:bottom w:type="dxa" w:w="80"/>
              <w:right w:type="dxa" w:w="100"/>
            </w:tcMar>
            <w:vAlign w:val="center"/>
          </w:tcPr>
          <w:p>
            <w:pPr>
              <w:jc w:val="left"/>
            </w:pPr>
            <w:r>
              <w:rPr>
                <w:b w:val="false"/>
                <w:bCs w:val="false"/>
                <w:color w:val="000000"/>
              </w:rPr>
              <w:t xml:space="preserve">Téléchargement programmé des jeux de données, historisation des versions, archivage</w:t>
            </w:r>
          </w:p>
        </w:tc>
      </w:tr>
      <w:tr>
        <w:tc>
          <w:tcPr>
            <w:tcW w:type="dxa" w:w="1700"/>
            <w:shd w:fill="FFFFFF" w:val="clear"/>
            <w:tcMar>
              <w:top w:type="dxa" w:w="80"/>
              <w:left w:type="dxa" w:w="100"/>
              <w:bottom w:type="dxa" w:w="80"/>
              <w:right w:type="dxa" w:w="100"/>
            </w:tcMar>
            <w:vAlign w:val="center"/>
          </w:tcPr>
          <w:p>
            <w:pPr>
              <w:jc w:val="left"/>
            </w:pPr>
            <w:r>
              <w:rPr>
                <w:b w:val="false"/>
                <w:bCs w:val="false"/>
                <w:color w:val="000000"/>
              </w:rPr>
              <w:t xml:space="preserve">2 — Contrôle qualité</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Fiabilisation des données</w:t>
            </w:r>
          </w:p>
        </w:tc>
        <w:tc>
          <w:tcPr>
            <w:tcW w:type="dxa" w:w="3926"/>
            <w:shd w:fill="FFFFFF" w:val="clear"/>
            <w:tcMar>
              <w:top w:type="dxa" w:w="80"/>
              <w:left w:type="dxa" w:w="100"/>
              <w:bottom w:type="dxa" w:w="80"/>
              <w:right w:type="dxa" w:w="100"/>
            </w:tcMar>
            <w:vAlign w:val="center"/>
          </w:tcPr>
          <w:p>
            <w:pPr>
              <w:jc w:val="left"/>
            </w:pPr>
            <w:r>
              <w:rPr>
                <w:b w:val="false"/>
                <w:bCs w:val="false"/>
                <w:color w:val="000000"/>
              </w:rPr>
              <w:t xml:space="preserve">Détection des valeurs manquantes, doublons, incohérences ; génération d'un rapport de qualité</w:t>
            </w:r>
          </w:p>
        </w:tc>
      </w:tr>
      <w:tr>
        <w:tc>
          <w:tcPr>
            <w:tcW w:type="dxa" w:w="1700"/>
            <w:shd w:fill="F7F9FC" w:val="clear"/>
            <w:tcMar>
              <w:top w:type="dxa" w:w="80"/>
              <w:left w:type="dxa" w:w="100"/>
              <w:bottom w:type="dxa" w:w="80"/>
              <w:right w:type="dxa" w:w="100"/>
            </w:tcMar>
            <w:vAlign w:val="center"/>
          </w:tcPr>
          <w:p>
            <w:pPr>
              <w:jc w:val="left"/>
            </w:pPr>
            <w:r>
              <w:rPr>
                <w:b w:val="false"/>
                <w:bCs w:val="false"/>
                <w:color w:val="000000"/>
              </w:rPr>
              <w:t xml:space="preserve">3 — Entrepôt de données</w:t>
            </w:r>
          </w:p>
        </w:tc>
        <w:tc>
          <w:tcPr>
            <w:tcW w:type="dxa" w:w="3400"/>
            <w:shd w:fill="F7F9FC" w:val="clear"/>
            <w:tcMar>
              <w:top w:type="dxa" w:w="80"/>
              <w:left w:type="dxa" w:w="100"/>
              <w:bottom w:type="dxa" w:w="80"/>
              <w:right w:type="dxa" w:w="100"/>
            </w:tcMar>
            <w:vAlign w:val="center"/>
          </w:tcPr>
          <w:p>
            <w:pPr>
              <w:jc w:val="left"/>
            </w:pPr>
            <w:r>
              <w:rPr>
                <w:b w:val="false"/>
                <w:bCs w:val="false"/>
                <w:color w:val="000000"/>
              </w:rPr>
              <w:t xml:space="preserve">Stockage structuré</w:t>
            </w:r>
          </w:p>
        </w:tc>
        <w:tc>
          <w:tcPr>
            <w:tcW w:type="dxa" w:w="3926"/>
            <w:shd w:fill="F7F9FC" w:val="clear"/>
            <w:tcMar>
              <w:top w:type="dxa" w:w="80"/>
              <w:left w:type="dxa" w:w="100"/>
              <w:bottom w:type="dxa" w:w="80"/>
              <w:right w:type="dxa" w:w="100"/>
            </w:tcMar>
            <w:vAlign w:val="center"/>
          </w:tcPr>
          <w:p>
            <w:pPr>
              <w:jc w:val="left"/>
            </w:pPr>
            <w:r>
              <w:rPr>
                <w:b w:val="false"/>
                <w:bCs w:val="false"/>
                <w:color w:val="000000"/>
              </w:rPr>
              <w:t xml:space="preserve">Conception du schéma PostgreSQL (modèle en étoile), intégration, vues SQL</w:t>
            </w:r>
          </w:p>
        </w:tc>
      </w:tr>
      <w:tr>
        <w:tc>
          <w:tcPr>
            <w:tcW w:type="dxa" w:w="1700"/>
            <w:shd w:fill="FFFFFF" w:val="clear"/>
            <w:tcMar>
              <w:top w:type="dxa" w:w="80"/>
              <w:left w:type="dxa" w:w="100"/>
              <w:bottom w:type="dxa" w:w="80"/>
              <w:right w:type="dxa" w:w="100"/>
            </w:tcMar>
            <w:vAlign w:val="center"/>
          </w:tcPr>
          <w:p>
            <w:pPr>
              <w:jc w:val="left"/>
            </w:pPr>
            <w:r>
              <w:rPr>
                <w:b w:val="false"/>
                <w:bCs w:val="false"/>
                <w:color w:val="000000"/>
              </w:rPr>
              <w:t xml:space="preserve">4 — Indicateurs (KPI)</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Calcul des indicateurs</w:t>
            </w:r>
          </w:p>
        </w:tc>
        <w:tc>
          <w:tcPr>
            <w:tcW w:type="dxa" w:w="3926"/>
            <w:shd w:fill="FFFFFF" w:val="clear"/>
            <w:tcMar>
              <w:top w:type="dxa" w:w="80"/>
              <w:left w:type="dxa" w:w="100"/>
              <w:bottom w:type="dxa" w:w="80"/>
              <w:right w:type="dxa" w:w="100"/>
            </w:tcMar>
            <w:vAlign w:val="center"/>
          </w:tcPr>
          <w:p>
            <w:pPr>
              <w:jc w:val="left"/>
            </w:pPr>
            <w:r>
              <w:rPr>
                <w:b w:val="false"/>
                <w:bCs w:val="false"/>
                <w:color w:val="000000"/>
              </w:rPr>
              <w:t xml:space="preserve">Vues et requêtes SQL : agrégations, classements, évolutions</w:t>
            </w:r>
          </w:p>
        </w:tc>
      </w:tr>
      <w:tr>
        <w:tc>
          <w:tcPr>
            <w:tcW w:type="dxa" w:w="1700"/>
            <w:shd w:fill="F7F9FC" w:val="clear"/>
            <w:tcMar>
              <w:top w:type="dxa" w:w="80"/>
              <w:left w:type="dxa" w:w="100"/>
              <w:bottom w:type="dxa" w:w="80"/>
              <w:right w:type="dxa" w:w="100"/>
            </w:tcMar>
            <w:vAlign w:val="center"/>
          </w:tcPr>
          <w:p>
            <w:pPr>
              <w:jc w:val="left"/>
            </w:pPr>
            <w:r>
              <w:rPr>
                <w:b w:val="false"/>
                <w:bCs w:val="false"/>
                <w:color w:val="000000"/>
              </w:rPr>
              <w:t xml:space="preserve">5 — Restitution Power BI</w:t>
            </w:r>
          </w:p>
        </w:tc>
        <w:tc>
          <w:tcPr>
            <w:tcW w:type="dxa" w:w="3400"/>
            <w:shd w:fill="F7F9FC" w:val="clear"/>
            <w:tcMar>
              <w:top w:type="dxa" w:w="80"/>
              <w:left w:type="dxa" w:w="100"/>
              <w:bottom w:type="dxa" w:w="80"/>
              <w:right w:type="dxa" w:w="100"/>
            </w:tcMar>
            <w:vAlign w:val="center"/>
          </w:tcPr>
          <w:p>
            <w:pPr>
              <w:jc w:val="left"/>
            </w:pPr>
            <w:r>
              <w:rPr>
                <w:b w:val="false"/>
                <w:bCs w:val="false"/>
                <w:color w:val="000000"/>
              </w:rPr>
              <w:t xml:space="preserve">Visualisation</w:t>
            </w:r>
          </w:p>
        </w:tc>
        <w:tc>
          <w:tcPr>
            <w:tcW w:type="dxa" w:w="3926"/>
            <w:shd w:fill="F7F9FC" w:val="clear"/>
            <w:tcMar>
              <w:top w:type="dxa" w:w="80"/>
              <w:left w:type="dxa" w:w="100"/>
              <w:bottom w:type="dxa" w:w="80"/>
              <w:right w:type="dxa" w:w="100"/>
            </w:tcMar>
            <w:vAlign w:val="center"/>
          </w:tcPr>
          <w:p>
            <w:pPr>
              <w:jc w:val="left"/>
            </w:pPr>
            <w:r>
              <w:rPr>
                <w:b w:val="false"/>
                <w:bCs w:val="false"/>
                <w:color w:val="000000"/>
              </w:rPr>
              <w:t xml:space="preserve">Tableaux de bord Direction, Marchés, Producteurs, Météo, Qualité</w:t>
            </w:r>
          </w:p>
        </w:tc>
      </w:tr>
      <w:tr>
        <w:tc>
          <w:tcPr>
            <w:tcW w:type="dxa" w:w="1700"/>
            <w:shd w:fill="FFFFFF" w:val="clear"/>
            <w:tcMar>
              <w:top w:type="dxa" w:w="80"/>
              <w:left w:type="dxa" w:w="100"/>
              <w:bottom w:type="dxa" w:w="80"/>
              <w:right w:type="dxa" w:w="100"/>
            </w:tcMar>
            <w:vAlign w:val="center"/>
          </w:tcPr>
          <w:p>
            <w:pPr>
              <w:jc w:val="left"/>
            </w:pPr>
            <w:r>
              <w:rPr>
                <w:b w:val="false"/>
                <w:bCs w:val="false"/>
                <w:color w:val="000000"/>
              </w:rPr>
              <w:t xml:space="preserve">6 — Alertes</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Signalement</w:t>
            </w:r>
          </w:p>
        </w:tc>
        <w:tc>
          <w:tcPr>
            <w:tcW w:type="dxa" w:w="3926"/>
            <w:shd w:fill="FFFFFF" w:val="clear"/>
            <w:tcMar>
              <w:top w:type="dxa" w:w="80"/>
              <w:left w:type="dxa" w:w="100"/>
              <w:bottom w:type="dxa" w:w="80"/>
              <w:right w:type="dxa" w:w="100"/>
            </w:tcMar>
            <w:vAlign w:val="center"/>
          </w:tcPr>
          <w:p>
            <w:pPr>
              <w:jc w:val="left"/>
            </w:pPr>
            <w:r>
              <w:rPr>
                <w:b w:val="false"/>
                <w:bCs w:val="false"/>
                <w:color w:val="000000"/>
              </w:rPr>
              <w:t xml:space="preserve">Détection d'une hausse importante d'un prix, d'une baisse de production ou d'une anomalie</w:t>
            </w:r>
          </w:p>
        </w:tc>
      </w:tr>
      <w:tr>
        <w:tc>
          <w:tcPr>
            <w:tcW w:type="dxa" w:w="1700"/>
            <w:shd w:fill="F7F9FC" w:val="clear"/>
            <w:tcMar>
              <w:top w:type="dxa" w:w="80"/>
              <w:left w:type="dxa" w:w="100"/>
              <w:bottom w:type="dxa" w:w="80"/>
              <w:right w:type="dxa" w:w="100"/>
            </w:tcMar>
            <w:vAlign w:val="center"/>
          </w:tcPr>
          <w:p>
            <w:pPr>
              <w:jc w:val="left"/>
            </w:pPr>
            <w:r>
              <w:rPr>
                <w:b w:val="false"/>
                <w:bCs w:val="false"/>
                <w:color w:val="000000"/>
              </w:rPr>
              <w:t xml:space="preserve">7 — Documentation</w:t>
            </w:r>
          </w:p>
        </w:tc>
        <w:tc>
          <w:tcPr>
            <w:tcW w:type="dxa" w:w="3400"/>
            <w:shd w:fill="F7F9FC" w:val="clear"/>
            <w:tcMar>
              <w:top w:type="dxa" w:w="80"/>
              <w:left w:type="dxa" w:w="100"/>
              <w:bottom w:type="dxa" w:w="80"/>
              <w:right w:type="dxa" w:w="100"/>
            </w:tcMar>
            <w:vAlign w:val="center"/>
          </w:tcPr>
          <w:p>
            <w:pPr>
              <w:jc w:val="left"/>
            </w:pPr>
            <w:r>
              <w:rPr>
                <w:b w:val="false"/>
                <w:bCs w:val="false"/>
                <w:color w:val="000000"/>
              </w:rPr>
              <w:t xml:space="preserve">Transmission de la connaissance</w:t>
            </w:r>
          </w:p>
        </w:tc>
        <w:tc>
          <w:tcPr>
            <w:tcW w:type="dxa" w:w="3926"/>
            <w:shd w:fill="F7F9FC" w:val="clear"/>
            <w:tcMar>
              <w:top w:type="dxa" w:w="80"/>
              <w:left w:type="dxa" w:w="100"/>
              <w:bottom w:type="dxa" w:w="80"/>
              <w:right w:type="dxa" w:w="100"/>
            </w:tcMar>
            <w:vAlign w:val="center"/>
          </w:tcPr>
          <w:p>
            <w:pPr>
              <w:jc w:val="left"/>
            </w:pPr>
            <w:r>
              <w:rPr>
                <w:b w:val="false"/>
                <w:bCs w:val="false"/>
                <w:color w:val="000000"/>
              </w:rPr>
              <w:t xml:space="preserve">Dictionnaire de données, documentation technique, guide utilisateur</w:t>
            </w:r>
          </w:p>
        </w:tc>
      </w:tr>
    </w:tbl>
    <w:p>
      <w:pPr>
        <w:spacing w:before="200"/>
      </w:pPr>
    </w:p>
    <w:p>
      <w:pPr>
        <w:spacing w:after="160" w:line="300"/>
      </w:pPr>
      <w:r>
        <w:t xml:space="preserve">Extension possible, si le temps disponible le permet : un module de prévision simple (par exemple une régression ou un modèle de type Random Forest pour estimer l'évolution du prix d'un produit) ou de détection automatique d'anomalies. Ces extensions restent dans le périmètre d'un poste de Data Analyst et ne remettent pas en cause le cœur du projet.</w:t>
      </w:r>
    </w:p>
    <w:p>
      <w:pPr>
        <w:pStyle w:val="Heading1"/>
        <w:spacing w:after="200" w:before="400"/>
      </w:pPr>
      <w:r>
        <w:rPr>
          <w:color w:val="1F3B57"/>
        </w:rPr>
        <w:t xml:space="preserve">9. Méthodologie et planning</w:t>
      </w:r>
    </w:p>
    <w:p>
      <w:pPr>
        <w:spacing w:after="160" w:line="300"/>
      </w:pPr>
      <w:r>
        <w:t xml:space="preserve">Le projet est découpé en 8 phases, pour une durée totale indicative de 2 à 3 mois (extensible à 10-12 semaines selon la disponibilité et la profondeur souhaitée sur les modules d'alerte et de prévision). Les durées sont exprimées en semaines et seront ajustées à la date de démarrage effective du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50"/>
        <w:gridCol w:w="1100"/>
        <w:gridCol w:w="3126"/>
        <w:gridCol w:w="2150"/>
      </w:tblGrid>
      <w:tr>
        <w:trPr>
          <w:tblHeader/>
        </w:trPr>
        <w:tc>
          <w:tcPr>
            <w:tcW w:type="dxa" w:w="900"/>
            <w:shd w:fill="1F3B57" w:val="clear"/>
            <w:tcMar>
              <w:top w:type="dxa" w:w="80"/>
              <w:left w:type="dxa" w:w="100"/>
              <w:bottom w:type="dxa" w:w="80"/>
              <w:right w:type="dxa" w:w="100"/>
            </w:tcMar>
            <w:vAlign w:val="center"/>
          </w:tcPr>
          <w:p>
            <w:pPr>
              <w:jc w:val="left"/>
            </w:pPr>
            <w:r>
              <w:rPr>
                <w:b/>
                <w:bCs/>
                <w:color w:val="FFFFFF"/>
              </w:rPr>
              <w:t xml:space="preserve">Phase</w:t>
            </w:r>
          </w:p>
        </w:tc>
        <w:tc>
          <w:tcPr>
            <w:tcW w:type="dxa" w:w="1750"/>
            <w:shd w:fill="1F3B57" w:val="clear"/>
            <w:tcMar>
              <w:top w:type="dxa" w:w="80"/>
              <w:left w:type="dxa" w:w="100"/>
              <w:bottom w:type="dxa" w:w="80"/>
              <w:right w:type="dxa" w:w="100"/>
            </w:tcMar>
            <w:vAlign w:val="center"/>
          </w:tcPr>
          <w:p>
            <w:pPr>
              <w:jc w:val="left"/>
            </w:pPr>
            <w:r>
              <w:rPr>
                <w:b/>
                <w:bCs/>
                <w:color w:val="FFFFFF"/>
              </w:rPr>
              <w:t xml:space="preserve">Nom</w:t>
            </w:r>
          </w:p>
        </w:tc>
        <w:tc>
          <w:tcPr>
            <w:tcW w:type="dxa" w:w="1100"/>
            <w:shd w:fill="1F3B57" w:val="clear"/>
            <w:tcMar>
              <w:top w:type="dxa" w:w="80"/>
              <w:left w:type="dxa" w:w="100"/>
              <w:bottom w:type="dxa" w:w="80"/>
              <w:right w:type="dxa" w:w="100"/>
            </w:tcMar>
            <w:vAlign w:val="center"/>
          </w:tcPr>
          <w:p>
            <w:pPr>
              <w:jc w:val="left"/>
            </w:pPr>
            <w:r>
              <w:rPr>
                <w:b/>
                <w:bCs/>
                <w:color w:val="FFFFFF"/>
              </w:rPr>
              <w:t xml:space="preserve">Durée</w:t>
            </w:r>
          </w:p>
        </w:tc>
        <w:tc>
          <w:tcPr>
            <w:tcW w:type="dxa" w:w="3126"/>
            <w:shd w:fill="1F3B57" w:val="clear"/>
            <w:tcMar>
              <w:top w:type="dxa" w:w="80"/>
              <w:left w:type="dxa" w:w="100"/>
              <w:bottom w:type="dxa" w:w="80"/>
              <w:right w:type="dxa" w:w="100"/>
            </w:tcMar>
            <w:vAlign w:val="center"/>
          </w:tcPr>
          <w:p>
            <w:pPr>
              <w:jc w:val="left"/>
            </w:pPr>
            <w:r>
              <w:rPr>
                <w:b/>
                <w:bCs/>
                <w:color w:val="FFFFFF"/>
              </w:rPr>
              <w:t xml:space="preserve">Activités principales</w:t>
            </w:r>
          </w:p>
        </w:tc>
        <w:tc>
          <w:tcPr>
            <w:tcW w:type="dxa" w:w="2150"/>
            <w:shd w:fill="1F3B57" w:val="clear"/>
            <w:tcMar>
              <w:top w:type="dxa" w:w="80"/>
              <w:left w:type="dxa" w:w="100"/>
              <w:bottom w:type="dxa" w:w="80"/>
              <w:right w:type="dxa" w:w="100"/>
            </w:tcMar>
            <w:vAlign w:val="center"/>
          </w:tcPr>
          <w:p>
            <w:pPr>
              <w:jc w:val="left"/>
            </w:pPr>
            <w:r>
              <w:rPr>
                <w:b/>
                <w:bCs/>
                <w:color w:val="FFFFFF"/>
              </w:rPr>
              <w:t xml:space="preserve">Livrable</w:t>
            </w:r>
          </w:p>
        </w:tc>
      </w:tr>
      <w:tr>
        <w:tc>
          <w:tcPr>
            <w:tcW w:type="dxa" w:w="900"/>
            <w:shd w:fill="F7F9FC" w:val="clear"/>
            <w:tcMar>
              <w:top w:type="dxa" w:w="80"/>
              <w:left w:type="dxa" w:w="100"/>
              <w:bottom w:type="dxa" w:w="80"/>
              <w:right w:type="dxa" w:w="100"/>
            </w:tcMar>
            <w:vAlign w:val="center"/>
          </w:tcPr>
          <w:p>
            <w:pPr>
              <w:jc w:val="left"/>
            </w:pPr>
            <w:r>
              <w:rPr>
                <w:b w:val="false"/>
                <w:bCs w:val="false"/>
                <w:color w:val="000000"/>
              </w:rPr>
              <w:t xml:space="preserve">1</w:t>
            </w:r>
          </w:p>
        </w:tc>
        <w:tc>
          <w:tcPr>
            <w:tcW w:type="dxa" w:w="1750"/>
            <w:shd w:fill="F7F9FC" w:val="clear"/>
            <w:tcMar>
              <w:top w:type="dxa" w:w="80"/>
              <w:left w:type="dxa" w:w="100"/>
              <w:bottom w:type="dxa" w:w="80"/>
              <w:right w:type="dxa" w:w="100"/>
            </w:tcMar>
            <w:vAlign w:val="center"/>
          </w:tcPr>
          <w:p>
            <w:pPr>
              <w:jc w:val="left"/>
            </w:pPr>
            <w:r>
              <w:rPr>
                <w:b w:val="false"/>
                <w:bCs w:val="false"/>
                <w:color w:val="000000"/>
              </w:rPr>
              <w:t xml:space="preserve">Analyse</w:t>
            </w:r>
          </w:p>
        </w:tc>
        <w:tc>
          <w:tcPr>
            <w:tcW w:type="dxa" w:w="1100"/>
            <w:shd w:fill="F7F9FC" w:val="clear"/>
            <w:tcMar>
              <w:top w:type="dxa" w:w="80"/>
              <w:left w:type="dxa" w:w="100"/>
              <w:bottom w:type="dxa" w:w="80"/>
              <w:right w:type="dxa" w:w="100"/>
            </w:tcMar>
            <w:vAlign w:val="center"/>
          </w:tcPr>
          <w:p>
            <w:pPr>
              <w:jc w:val="left"/>
            </w:pPr>
            <w:r>
              <w:rPr>
                <w:b w:val="false"/>
                <w:bCs w:val="false"/>
                <w:color w:val="000000"/>
              </w:rPr>
              <w:t xml:space="preserve">2 semaines</w:t>
            </w:r>
          </w:p>
        </w:tc>
        <w:tc>
          <w:tcPr>
            <w:tcW w:type="dxa" w:w="3126"/>
            <w:shd w:fill="F7F9FC" w:val="clear"/>
            <w:tcMar>
              <w:top w:type="dxa" w:w="80"/>
              <w:left w:type="dxa" w:w="100"/>
              <w:bottom w:type="dxa" w:w="80"/>
              <w:right w:type="dxa" w:w="100"/>
            </w:tcMar>
            <w:vAlign w:val="center"/>
          </w:tcPr>
          <w:p>
            <w:pPr>
              <w:jc w:val="left"/>
            </w:pPr>
            <w:r>
              <w:rPr>
                <w:b w:val="false"/>
                <w:bCs w:val="false"/>
                <w:color w:val="000000"/>
              </w:rPr>
              <w:t xml:space="preserve">Recueil des besoins, définition des KPI, identification des sources de données, rédaction du cahier des charges</w:t>
            </w:r>
          </w:p>
        </w:tc>
        <w:tc>
          <w:tcPr>
            <w:tcW w:type="dxa" w:w="2150"/>
            <w:shd w:fill="F7F9FC" w:val="clear"/>
            <w:tcMar>
              <w:top w:type="dxa" w:w="80"/>
              <w:left w:type="dxa" w:w="100"/>
              <w:bottom w:type="dxa" w:w="80"/>
              <w:right w:type="dxa" w:w="100"/>
            </w:tcMar>
            <w:vAlign w:val="center"/>
          </w:tcPr>
          <w:p>
            <w:pPr>
              <w:jc w:val="left"/>
            </w:pPr>
            <w:r>
              <w:rPr>
                <w:b w:val="false"/>
                <w:bCs w:val="false"/>
                <w:color w:val="000000"/>
              </w:rPr>
              <w:t xml:space="preserve">Document de conception (le présent document)</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rPr>
              <w:t xml:space="preserve">2</w:t>
            </w:r>
          </w:p>
        </w:tc>
        <w:tc>
          <w:tcPr>
            <w:tcW w:type="dxa" w:w="1750"/>
            <w:shd w:fill="FFFFFF" w:val="clear"/>
            <w:tcMar>
              <w:top w:type="dxa" w:w="80"/>
              <w:left w:type="dxa" w:w="100"/>
              <w:bottom w:type="dxa" w:w="80"/>
              <w:right w:type="dxa" w:w="100"/>
            </w:tcMar>
            <w:vAlign w:val="center"/>
          </w:tcPr>
          <w:p>
            <w:pPr>
              <w:jc w:val="left"/>
            </w:pPr>
            <w:r>
              <w:rPr>
                <w:b w:val="false"/>
                <w:bCs w:val="false"/>
                <w:color w:val="000000"/>
              </w:rPr>
              <w:t xml:space="preserve">Collecte</w:t>
            </w:r>
          </w:p>
        </w:tc>
        <w:tc>
          <w:tcPr>
            <w:tcW w:type="dxa" w:w="1100"/>
            <w:shd w:fill="FFFFFF" w:val="clear"/>
            <w:tcMar>
              <w:top w:type="dxa" w:w="80"/>
              <w:left w:type="dxa" w:w="100"/>
              <w:bottom w:type="dxa" w:w="80"/>
              <w:right w:type="dxa" w:w="100"/>
            </w:tcMar>
            <w:vAlign w:val="center"/>
          </w:tcPr>
          <w:p>
            <w:pPr>
              <w:jc w:val="left"/>
            </w:pPr>
            <w:r>
              <w:rPr>
                <w:b w:val="false"/>
                <w:bCs w:val="false"/>
                <w:color w:val="000000"/>
              </w:rPr>
              <w:t xml:space="preserve">3 semaines</w:t>
            </w:r>
          </w:p>
        </w:tc>
        <w:tc>
          <w:tcPr>
            <w:tcW w:type="dxa" w:w="3126"/>
            <w:shd w:fill="FFFFFF" w:val="clear"/>
            <w:tcMar>
              <w:top w:type="dxa" w:w="80"/>
              <w:left w:type="dxa" w:w="100"/>
              <w:bottom w:type="dxa" w:w="80"/>
              <w:right w:type="dxa" w:w="100"/>
            </w:tcMar>
            <w:vAlign w:val="center"/>
          </w:tcPr>
          <w:p>
            <w:pPr>
              <w:jc w:val="left"/>
            </w:pPr>
            <w:r>
              <w:rPr>
                <w:b w:val="false"/>
                <w:bCs w:val="false"/>
                <w:color w:val="000000"/>
              </w:rPr>
              <w:t xml:space="preserve">Développement du module Python de téléchargement automatique, mise à jour et archivage des données</w:t>
            </w:r>
          </w:p>
        </w:tc>
        <w:tc>
          <w:tcPr>
            <w:tcW w:type="dxa" w:w="2150"/>
            <w:shd w:fill="FFFFFF" w:val="clear"/>
            <w:tcMar>
              <w:top w:type="dxa" w:w="80"/>
              <w:left w:type="dxa" w:w="100"/>
              <w:bottom w:type="dxa" w:w="80"/>
              <w:right w:type="dxa" w:w="100"/>
            </w:tcMar>
            <w:vAlign w:val="center"/>
          </w:tcPr>
          <w:p>
            <w:pPr>
              <w:jc w:val="left"/>
            </w:pPr>
            <w:r>
              <w:rPr>
                <w:b w:val="false"/>
                <w:bCs w:val="false"/>
                <w:color w:val="000000"/>
              </w:rPr>
              <w:t xml:space="preserve">Pipeline d'acquisition</w:t>
            </w:r>
          </w:p>
        </w:tc>
      </w:tr>
      <w:tr>
        <w:tc>
          <w:tcPr>
            <w:tcW w:type="dxa" w:w="900"/>
            <w:shd w:fill="F7F9FC" w:val="clear"/>
            <w:tcMar>
              <w:top w:type="dxa" w:w="80"/>
              <w:left w:type="dxa" w:w="100"/>
              <w:bottom w:type="dxa" w:w="80"/>
              <w:right w:type="dxa" w:w="100"/>
            </w:tcMar>
            <w:vAlign w:val="center"/>
          </w:tcPr>
          <w:p>
            <w:pPr>
              <w:jc w:val="left"/>
            </w:pPr>
            <w:r>
              <w:rPr>
                <w:b w:val="false"/>
                <w:bCs w:val="false"/>
                <w:color w:val="000000"/>
              </w:rPr>
              <w:t xml:space="preserve">3</w:t>
            </w:r>
          </w:p>
        </w:tc>
        <w:tc>
          <w:tcPr>
            <w:tcW w:type="dxa" w:w="1750"/>
            <w:shd w:fill="F7F9FC" w:val="clear"/>
            <w:tcMar>
              <w:top w:type="dxa" w:w="80"/>
              <w:left w:type="dxa" w:w="100"/>
              <w:bottom w:type="dxa" w:w="80"/>
              <w:right w:type="dxa" w:w="100"/>
            </w:tcMar>
            <w:vAlign w:val="center"/>
          </w:tcPr>
          <w:p>
            <w:pPr>
              <w:jc w:val="left"/>
            </w:pPr>
            <w:r>
              <w:rPr>
                <w:b w:val="false"/>
                <w:bCs w:val="false"/>
                <w:color w:val="000000"/>
              </w:rPr>
              <w:t xml:space="preserve">Préparation</w:t>
            </w:r>
          </w:p>
        </w:tc>
        <w:tc>
          <w:tcPr>
            <w:tcW w:type="dxa" w:w="1100"/>
            <w:shd w:fill="F7F9FC" w:val="clear"/>
            <w:tcMar>
              <w:top w:type="dxa" w:w="80"/>
              <w:left w:type="dxa" w:w="100"/>
              <w:bottom w:type="dxa" w:w="80"/>
              <w:right w:type="dxa" w:w="100"/>
            </w:tcMar>
            <w:vAlign w:val="center"/>
          </w:tcPr>
          <w:p>
            <w:pPr>
              <w:jc w:val="left"/>
            </w:pPr>
            <w:r>
              <w:rPr>
                <w:b w:val="false"/>
                <w:bCs w:val="false"/>
                <w:color w:val="000000"/>
              </w:rPr>
              <w:t xml:space="preserve">3 semaines</w:t>
            </w:r>
          </w:p>
        </w:tc>
        <w:tc>
          <w:tcPr>
            <w:tcW w:type="dxa" w:w="3126"/>
            <w:shd w:fill="F7F9FC" w:val="clear"/>
            <w:tcMar>
              <w:top w:type="dxa" w:w="80"/>
              <w:left w:type="dxa" w:w="100"/>
              <w:bottom w:type="dxa" w:w="80"/>
              <w:right w:type="dxa" w:w="100"/>
            </w:tcMar>
            <w:vAlign w:val="center"/>
          </w:tcPr>
          <w:p>
            <w:pPr>
              <w:jc w:val="left"/>
            </w:pPr>
            <w:r>
              <w:rPr>
                <w:b w:val="false"/>
                <w:bCs w:val="false"/>
                <w:color w:val="000000"/>
              </w:rPr>
              <w:t xml:space="preserve">Nettoyage, fusion, normalisation, contrôle qualité, détection des anomalies</w:t>
            </w:r>
          </w:p>
        </w:tc>
        <w:tc>
          <w:tcPr>
            <w:tcW w:type="dxa" w:w="2150"/>
            <w:shd w:fill="F7F9FC" w:val="clear"/>
            <w:tcMar>
              <w:top w:type="dxa" w:w="80"/>
              <w:left w:type="dxa" w:w="100"/>
              <w:bottom w:type="dxa" w:w="80"/>
              <w:right w:type="dxa" w:w="100"/>
            </w:tcMar>
            <w:vAlign w:val="center"/>
          </w:tcPr>
          <w:p>
            <w:pPr>
              <w:jc w:val="left"/>
            </w:pPr>
            <w:r>
              <w:rPr>
                <w:b w:val="false"/>
                <w:bCs w:val="false"/>
                <w:color w:val="000000"/>
              </w:rPr>
              <w:t xml:space="preserve">Pipeline ETL</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rPr>
              <w:t xml:space="preserve">4</w:t>
            </w:r>
          </w:p>
        </w:tc>
        <w:tc>
          <w:tcPr>
            <w:tcW w:type="dxa" w:w="1750"/>
            <w:shd w:fill="FFFFFF" w:val="clear"/>
            <w:tcMar>
              <w:top w:type="dxa" w:w="80"/>
              <w:left w:type="dxa" w:w="100"/>
              <w:bottom w:type="dxa" w:w="80"/>
              <w:right w:type="dxa" w:w="100"/>
            </w:tcMar>
            <w:vAlign w:val="center"/>
          </w:tcPr>
          <w:p>
            <w:pPr>
              <w:jc w:val="left"/>
            </w:pPr>
            <w:r>
              <w:rPr>
                <w:b w:val="false"/>
                <w:bCs w:val="false"/>
                <w:color w:val="000000"/>
              </w:rPr>
              <w:t xml:space="preserve">Base de données</w:t>
            </w:r>
          </w:p>
        </w:tc>
        <w:tc>
          <w:tcPr>
            <w:tcW w:type="dxa" w:w="1100"/>
            <w:shd w:fill="FFFFFF" w:val="clear"/>
            <w:tcMar>
              <w:top w:type="dxa" w:w="80"/>
              <w:left w:type="dxa" w:w="100"/>
              <w:bottom w:type="dxa" w:w="80"/>
              <w:right w:type="dxa" w:w="100"/>
            </w:tcMar>
            <w:vAlign w:val="center"/>
          </w:tcPr>
          <w:p>
            <w:pPr>
              <w:jc w:val="left"/>
            </w:pPr>
            <w:r>
              <w:rPr>
                <w:b w:val="false"/>
                <w:bCs w:val="false"/>
                <w:color w:val="000000"/>
              </w:rPr>
              <w:t xml:space="preserve">2 semaines</w:t>
            </w:r>
          </w:p>
        </w:tc>
        <w:tc>
          <w:tcPr>
            <w:tcW w:type="dxa" w:w="3126"/>
            <w:shd w:fill="FFFFFF" w:val="clear"/>
            <w:tcMar>
              <w:top w:type="dxa" w:w="80"/>
              <w:left w:type="dxa" w:w="100"/>
              <w:bottom w:type="dxa" w:w="80"/>
              <w:right w:type="dxa" w:w="100"/>
            </w:tcMar>
            <w:vAlign w:val="center"/>
          </w:tcPr>
          <w:p>
            <w:pPr>
              <w:jc w:val="left"/>
            </w:pPr>
            <w:r>
              <w:rPr>
                <w:b w:val="false"/>
                <w:bCs w:val="false"/>
                <w:color w:val="000000"/>
              </w:rPr>
              <w:t xml:space="preserve">Conception du schéma PostgreSQL, création des tables, index et vues, mini entrepôt de données</w:t>
            </w:r>
          </w:p>
        </w:tc>
        <w:tc>
          <w:tcPr>
            <w:tcW w:type="dxa" w:w="2150"/>
            <w:shd w:fill="FFFFFF" w:val="clear"/>
            <w:tcMar>
              <w:top w:type="dxa" w:w="80"/>
              <w:left w:type="dxa" w:w="100"/>
              <w:bottom w:type="dxa" w:w="80"/>
              <w:right w:type="dxa" w:w="100"/>
            </w:tcMar>
            <w:vAlign w:val="center"/>
          </w:tcPr>
          <w:p>
            <w:pPr>
              <w:jc w:val="left"/>
            </w:pPr>
            <w:r>
              <w:rPr>
                <w:b w:val="false"/>
                <w:bCs w:val="false"/>
                <w:color w:val="000000"/>
              </w:rPr>
              <w:t xml:space="preserve">Base PostgreSQL opérationnelle</w:t>
            </w:r>
          </w:p>
        </w:tc>
      </w:tr>
      <w:tr>
        <w:tc>
          <w:tcPr>
            <w:tcW w:type="dxa" w:w="900"/>
            <w:shd w:fill="F7F9FC" w:val="clear"/>
            <w:tcMar>
              <w:top w:type="dxa" w:w="80"/>
              <w:left w:type="dxa" w:w="100"/>
              <w:bottom w:type="dxa" w:w="80"/>
              <w:right w:type="dxa" w:w="100"/>
            </w:tcMar>
            <w:vAlign w:val="center"/>
          </w:tcPr>
          <w:p>
            <w:pPr>
              <w:jc w:val="left"/>
            </w:pPr>
            <w:r>
              <w:rPr>
                <w:b w:val="false"/>
                <w:bCs w:val="false"/>
                <w:color w:val="000000"/>
              </w:rPr>
              <w:t xml:space="preserve">5</w:t>
            </w:r>
          </w:p>
        </w:tc>
        <w:tc>
          <w:tcPr>
            <w:tcW w:type="dxa" w:w="1750"/>
            <w:shd w:fill="F7F9FC" w:val="clear"/>
            <w:tcMar>
              <w:top w:type="dxa" w:w="80"/>
              <w:left w:type="dxa" w:w="100"/>
              <w:bottom w:type="dxa" w:w="80"/>
              <w:right w:type="dxa" w:w="100"/>
            </w:tcMar>
            <w:vAlign w:val="center"/>
          </w:tcPr>
          <w:p>
            <w:pPr>
              <w:jc w:val="left"/>
            </w:pPr>
            <w:r>
              <w:rPr>
                <w:b w:val="false"/>
                <w:bCs w:val="false"/>
                <w:color w:val="000000"/>
              </w:rPr>
              <w:t xml:space="preserve">Indicateurs SQL</w:t>
            </w:r>
          </w:p>
        </w:tc>
        <w:tc>
          <w:tcPr>
            <w:tcW w:type="dxa" w:w="1100"/>
            <w:shd w:fill="F7F9FC" w:val="clear"/>
            <w:tcMar>
              <w:top w:type="dxa" w:w="80"/>
              <w:left w:type="dxa" w:w="100"/>
              <w:bottom w:type="dxa" w:w="80"/>
              <w:right w:type="dxa" w:w="100"/>
            </w:tcMar>
            <w:vAlign w:val="center"/>
          </w:tcPr>
          <w:p>
            <w:pPr>
              <w:jc w:val="left"/>
            </w:pPr>
            <w:r>
              <w:rPr>
                <w:b w:val="false"/>
                <w:bCs w:val="false"/>
                <w:color w:val="000000"/>
              </w:rPr>
              <w:t xml:space="preserve">2 semaines</w:t>
            </w:r>
          </w:p>
        </w:tc>
        <w:tc>
          <w:tcPr>
            <w:tcW w:type="dxa" w:w="3126"/>
            <w:shd w:fill="F7F9FC" w:val="clear"/>
            <w:tcMar>
              <w:top w:type="dxa" w:w="80"/>
              <w:left w:type="dxa" w:w="100"/>
              <w:bottom w:type="dxa" w:w="80"/>
              <w:right w:type="dxa" w:w="100"/>
            </w:tcMar>
            <w:vAlign w:val="center"/>
          </w:tcPr>
          <w:p>
            <w:pPr>
              <w:jc w:val="left"/>
            </w:pPr>
            <w:r>
              <w:rPr>
                <w:b w:val="false"/>
                <w:bCs w:val="false"/>
                <w:color w:val="000000"/>
              </w:rPr>
              <w:t xml:space="preserve">Développement des vues, procédures, agrégations et KPI en SQL</w:t>
            </w:r>
          </w:p>
        </w:tc>
        <w:tc>
          <w:tcPr>
            <w:tcW w:type="dxa" w:w="2150"/>
            <w:shd w:fill="F7F9FC" w:val="clear"/>
            <w:tcMar>
              <w:top w:type="dxa" w:w="80"/>
              <w:left w:type="dxa" w:w="100"/>
              <w:bottom w:type="dxa" w:w="80"/>
              <w:right w:type="dxa" w:w="100"/>
            </w:tcMar>
            <w:vAlign w:val="center"/>
          </w:tcPr>
          <w:p>
            <w:pPr>
              <w:jc w:val="left"/>
            </w:pPr>
            <w:r>
              <w:rPr>
                <w:b w:val="false"/>
                <w:bCs w:val="false"/>
                <w:color w:val="000000"/>
              </w:rPr>
              <w:t xml:space="preserve">Bibliothèque de requêtes KPI</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rPr>
              <w:t xml:space="preserve">6</w:t>
            </w:r>
          </w:p>
        </w:tc>
        <w:tc>
          <w:tcPr>
            <w:tcW w:type="dxa" w:w="1750"/>
            <w:shd w:fill="FFFFFF" w:val="clear"/>
            <w:tcMar>
              <w:top w:type="dxa" w:w="80"/>
              <w:left w:type="dxa" w:w="100"/>
              <w:bottom w:type="dxa" w:w="80"/>
              <w:right w:type="dxa" w:w="100"/>
            </w:tcMar>
            <w:vAlign w:val="center"/>
          </w:tcPr>
          <w:p>
            <w:pPr>
              <w:jc w:val="left"/>
            </w:pPr>
            <w:r>
              <w:rPr>
                <w:b w:val="false"/>
                <w:bCs w:val="false"/>
                <w:color w:val="000000"/>
              </w:rPr>
              <w:t xml:space="preserve">Restitution Power BI</w:t>
            </w:r>
          </w:p>
        </w:tc>
        <w:tc>
          <w:tcPr>
            <w:tcW w:type="dxa" w:w="1100"/>
            <w:shd w:fill="FFFFFF" w:val="clear"/>
            <w:tcMar>
              <w:top w:type="dxa" w:w="80"/>
              <w:left w:type="dxa" w:w="100"/>
              <w:bottom w:type="dxa" w:w="80"/>
              <w:right w:type="dxa" w:w="100"/>
            </w:tcMar>
            <w:vAlign w:val="center"/>
          </w:tcPr>
          <w:p>
            <w:pPr>
              <w:jc w:val="left"/>
            </w:pPr>
            <w:r>
              <w:rPr>
                <w:b w:val="false"/>
                <w:bCs w:val="false"/>
                <w:color w:val="000000"/>
              </w:rPr>
              <w:t xml:space="preserve">2 semaines</w:t>
            </w:r>
          </w:p>
        </w:tc>
        <w:tc>
          <w:tcPr>
            <w:tcW w:type="dxa" w:w="3126"/>
            <w:shd w:fill="FFFFFF" w:val="clear"/>
            <w:tcMar>
              <w:top w:type="dxa" w:w="80"/>
              <w:left w:type="dxa" w:w="100"/>
              <w:bottom w:type="dxa" w:w="80"/>
              <w:right w:type="dxa" w:w="100"/>
            </w:tcMar>
            <w:vAlign w:val="center"/>
          </w:tcPr>
          <w:p>
            <w:pPr>
              <w:jc w:val="left"/>
            </w:pPr>
            <w:r>
              <w:rPr>
                <w:b w:val="false"/>
                <w:bCs w:val="false"/>
                <w:color w:val="000000"/>
              </w:rPr>
              <w:t xml:space="preserve">Conception des tableaux de bord (Direction, Marchés, Producteurs, Météo, Qualité)</w:t>
            </w:r>
          </w:p>
        </w:tc>
        <w:tc>
          <w:tcPr>
            <w:tcW w:type="dxa" w:w="2150"/>
            <w:shd w:fill="FFFFFF" w:val="clear"/>
            <w:tcMar>
              <w:top w:type="dxa" w:w="80"/>
              <w:left w:type="dxa" w:w="100"/>
              <w:bottom w:type="dxa" w:w="80"/>
              <w:right w:type="dxa" w:w="100"/>
            </w:tcMar>
            <w:vAlign w:val="center"/>
          </w:tcPr>
          <w:p>
            <w:pPr>
              <w:jc w:val="left"/>
            </w:pPr>
            <w:r>
              <w:rPr>
                <w:b w:val="false"/>
                <w:bCs w:val="false"/>
                <w:color w:val="000000"/>
              </w:rPr>
              <w:t xml:space="preserve">Tableaux de bord Power BI</w:t>
            </w:r>
          </w:p>
        </w:tc>
      </w:tr>
      <w:tr>
        <w:tc>
          <w:tcPr>
            <w:tcW w:type="dxa" w:w="900"/>
            <w:shd w:fill="F7F9FC" w:val="clear"/>
            <w:tcMar>
              <w:top w:type="dxa" w:w="80"/>
              <w:left w:type="dxa" w:w="100"/>
              <w:bottom w:type="dxa" w:w="80"/>
              <w:right w:type="dxa" w:w="100"/>
            </w:tcMar>
            <w:vAlign w:val="center"/>
          </w:tcPr>
          <w:p>
            <w:pPr>
              <w:jc w:val="left"/>
            </w:pPr>
            <w:r>
              <w:rPr>
                <w:b w:val="false"/>
                <w:bCs w:val="false"/>
                <w:color w:val="000000"/>
              </w:rPr>
              <w:t xml:space="preserve">7</w:t>
            </w:r>
          </w:p>
        </w:tc>
        <w:tc>
          <w:tcPr>
            <w:tcW w:type="dxa" w:w="1750"/>
            <w:shd w:fill="F7F9FC" w:val="clear"/>
            <w:tcMar>
              <w:top w:type="dxa" w:w="80"/>
              <w:left w:type="dxa" w:w="100"/>
              <w:bottom w:type="dxa" w:w="80"/>
              <w:right w:type="dxa" w:w="100"/>
            </w:tcMar>
            <w:vAlign w:val="center"/>
          </w:tcPr>
          <w:p>
            <w:pPr>
              <w:jc w:val="left"/>
            </w:pPr>
            <w:r>
              <w:rPr>
                <w:b w:val="false"/>
                <w:bCs w:val="false"/>
                <w:color w:val="000000"/>
              </w:rPr>
              <w:t xml:space="preserve">Documentation</w:t>
            </w:r>
          </w:p>
        </w:tc>
        <w:tc>
          <w:tcPr>
            <w:tcW w:type="dxa" w:w="1100"/>
            <w:shd w:fill="F7F9FC" w:val="clear"/>
            <w:tcMar>
              <w:top w:type="dxa" w:w="80"/>
              <w:left w:type="dxa" w:w="100"/>
              <w:bottom w:type="dxa" w:w="80"/>
              <w:right w:type="dxa" w:w="100"/>
            </w:tcMar>
            <w:vAlign w:val="center"/>
          </w:tcPr>
          <w:p>
            <w:pPr>
              <w:jc w:val="left"/>
            </w:pPr>
            <w:r>
              <w:rPr>
                <w:b w:val="false"/>
                <w:bCs w:val="false"/>
                <w:color w:val="000000"/>
              </w:rPr>
              <w:t xml:space="preserve">2 semaines</w:t>
            </w:r>
          </w:p>
        </w:tc>
        <w:tc>
          <w:tcPr>
            <w:tcW w:type="dxa" w:w="3126"/>
            <w:shd w:fill="F7F9FC" w:val="clear"/>
            <w:tcMar>
              <w:top w:type="dxa" w:w="80"/>
              <w:left w:type="dxa" w:w="100"/>
              <w:bottom w:type="dxa" w:w="80"/>
              <w:right w:type="dxa" w:w="100"/>
            </w:tcMar>
            <w:vAlign w:val="center"/>
          </w:tcPr>
          <w:p>
            <w:pPr>
              <w:jc w:val="left"/>
            </w:pPr>
            <w:r>
              <w:rPr>
                <w:b w:val="false"/>
                <w:bCs w:val="false"/>
                <w:color w:val="000000"/>
              </w:rPr>
              <w:t xml:space="preserve">Rédaction du dictionnaire de données, de la documentation technique et du guide utilisateur</w:t>
            </w:r>
          </w:p>
        </w:tc>
        <w:tc>
          <w:tcPr>
            <w:tcW w:type="dxa" w:w="2150"/>
            <w:shd w:fill="F7F9FC" w:val="clear"/>
            <w:tcMar>
              <w:top w:type="dxa" w:w="80"/>
              <w:left w:type="dxa" w:w="100"/>
              <w:bottom w:type="dxa" w:w="80"/>
              <w:right w:type="dxa" w:w="100"/>
            </w:tcMar>
            <w:vAlign w:val="center"/>
          </w:tcPr>
          <w:p>
            <w:pPr>
              <w:jc w:val="left"/>
            </w:pPr>
            <w:r>
              <w:rPr>
                <w:b w:val="false"/>
                <w:bCs w:val="false"/>
                <w:color w:val="000000"/>
              </w:rPr>
              <w:t xml:space="preserve">Documentation complète</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rPr>
              <w:t xml:space="preserve">8</w:t>
            </w:r>
          </w:p>
        </w:tc>
        <w:tc>
          <w:tcPr>
            <w:tcW w:type="dxa" w:w="1750"/>
            <w:shd w:fill="FFFFFF" w:val="clear"/>
            <w:tcMar>
              <w:top w:type="dxa" w:w="80"/>
              <w:left w:type="dxa" w:w="100"/>
              <w:bottom w:type="dxa" w:w="80"/>
              <w:right w:type="dxa" w:w="100"/>
            </w:tcMar>
            <w:vAlign w:val="center"/>
          </w:tcPr>
          <w:p>
            <w:pPr>
              <w:jc w:val="left"/>
            </w:pPr>
            <w:r>
              <w:rPr>
                <w:b w:val="false"/>
                <w:bCs w:val="false"/>
                <w:color w:val="000000"/>
              </w:rPr>
              <w:t xml:space="preserve">Analyse &amp; recommandations</w:t>
            </w:r>
          </w:p>
        </w:tc>
        <w:tc>
          <w:tcPr>
            <w:tcW w:type="dxa" w:w="1100"/>
            <w:shd w:fill="FFFFFF" w:val="clear"/>
            <w:tcMar>
              <w:top w:type="dxa" w:w="80"/>
              <w:left w:type="dxa" w:w="100"/>
              <w:bottom w:type="dxa" w:w="80"/>
              <w:right w:type="dxa" w:w="100"/>
            </w:tcMar>
            <w:vAlign w:val="center"/>
          </w:tcPr>
          <w:p>
            <w:pPr>
              <w:jc w:val="left"/>
            </w:pPr>
            <w:r>
              <w:rPr>
                <w:b w:val="false"/>
                <w:bCs w:val="false"/>
                <w:color w:val="000000"/>
              </w:rPr>
              <w:t xml:space="preserve">1 à 2 semaines</w:t>
            </w:r>
          </w:p>
        </w:tc>
        <w:tc>
          <w:tcPr>
            <w:tcW w:type="dxa" w:w="3126"/>
            <w:shd w:fill="FFFFFF" w:val="clear"/>
            <w:tcMar>
              <w:top w:type="dxa" w:w="80"/>
              <w:left w:type="dxa" w:w="100"/>
              <w:bottom w:type="dxa" w:w="80"/>
              <w:right w:type="dxa" w:w="100"/>
            </w:tcMar>
            <w:vAlign w:val="center"/>
          </w:tcPr>
          <w:p>
            <w:pPr>
              <w:jc w:val="left"/>
            </w:pPr>
            <w:r>
              <w:rPr>
                <w:b w:val="false"/>
                <w:bCs w:val="false"/>
                <w:color w:val="000000"/>
              </w:rPr>
              <w:t xml:space="preserve">Analyse des résultats, rédaction des recommandations et des perspectives</w:t>
            </w:r>
          </w:p>
        </w:tc>
        <w:tc>
          <w:tcPr>
            <w:tcW w:type="dxa" w:w="2150"/>
            <w:shd w:fill="FFFFFF" w:val="clear"/>
            <w:tcMar>
              <w:top w:type="dxa" w:w="80"/>
              <w:left w:type="dxa" w:w="100"/>
              <w:bottom w:type="dxa" w:w="80"/>
              <w:right w:type="dxa" w:w="100"/>
            </w:tcMar>
            <w:vAlign w:val="center"/>
          </w:tcPr>
          <w:p>
            <w:pPr>
              <w:jc w:val="left"/>
            </w:pPr>
            <w:r>
              <w:rPr>
                <w:b w:val="false"/>
                <w:bCs w:val="false"/>
                <w:color w:val="000000"/>
              </w:rPr>
              <w:t xml:space="preserve">Rapport d'analyse final</w:t>
            </w:r>
          </w:p>
        </w:tc>
      </w:tr>
    </w:tbl>
    <w:p>
      <w:pPr>
        <w:spacing w:before="200"/>
      </w:pPr>
    </w:p>
    <w:p>
      <w:pPr>
        <w:pStyle w:val="Heading1"/>
        <w:spacing w:after="200" w:before="400"/>
      </w:pPr>
      <w:r>
        <w:rPr>
          <w:color w:val="1F3B57"/>
        </w:rPr>
        <w:t xml:space="preserve">10. Livrables attendus</w:t>
      </w:r>
    </w:p>
    <w:p>
      <w:pPr>
        <w:pStyle w:val="ListParagraph"/>
        <w:numPr>
          <w:ilvl w:val="0"/>
          <w:numId w:val="2"/>
        </w:numPr>
        <w:spacing w:after="80"/>
      </w:pPr>
      <w:r>
        <w:t xml:space="preserve">Document de conception / cahier des charges (le présent document)</w:t>
      </w:r>
    </w:p>
    <w:p>
      <w:pPr>
        <w:pStyle w:val="ListParagraph"/>
        <w:numPr>
          <w:ilvl w:val="0"/>
          <w:numId w:val="2"/>
        </w:numPr>
        <w:spacing w:after="80"/>
      </w:pPr>
      <w:r>
        <w:t xml:space="preserve">Scripts Python de collecte, de contrôle qualité et de transformation des données</w:t>
      </w:r>
    </w:p>
    <w:p>
      <w:pPr>
        <w:pStyle w:val="ListParagraph"/>
        <w:numPr>
          <w:ilvl w:val="0"/>
          <w:numId w:val="2"/>
        </w:numPr>
        <w:spacing w:after="80"/>
      </w:pPr>
      <w:r>
        <w:t xml:space="preserve">Base de données PostgreSQL structurée (schéma, tables, vues, index)</w:t>
      </w:r>
    </w:p>
    <w:p>
      <w:pPr>
        <w:pStyle w:val="ListParagraph"/>
        <w:numPr>
          <w:ilvl w:val="0"/>
          <w:numId w:val="2"/>
        </w:numPr>
        <w:spacing w:after="80"/>
      </w:pPr>
      <w:r>
        <w:t xml:space="preserve">Bibliothèque de requêtes SQL calculant les indicateurs décisionnels</w:t>
      </w:r>
    </w:p>
    <w:p>
      <w:pPr>
        <w:pStyle w:val="ListParagraph"/>
        <w:numPr>
          <w:ilvl w:val="0"/>
          <w:numId w:val="2"/>
        </w:numPr>
        <w:spacing w:after="80"/>
      </w:pPr>
      <w:r>
        <w:t xml:space="preserve">Tableaux de bord Power BI (au minimum : Direction, Marchés, Producteurs)</w:t>
      </w:r>
    </w:p>
    <w:p>
      <w:pPr>
        <w:pStyle w:val="ListParagraph"/>
        <w:numPr>
          <w:ilvl w:val="0"/>
          <w:numId w:val="2"/>
        </w:numPr>
        <w:spacing w:after="80"/>
      </w:pPr>
      <w:r>
        <w:t xml:space="preserve">Dictionnaire de données et documentation des KPI</w:t>
      </w:r>
    </w:p>
    <w:p>
      <w:pPr>
        <w:pStyle w:val="ListParagraph"/>
        <w:numPr>
          <w:ilvl w:val="0"/>
          <w:numId w:val="2"/>
        </w:numPr>
        <w:spacing w:after="80"/>
      </w:pPr>
      <w:r>
        <w:t xml:space="preserve">Guide utilisateur des tableaux de bord</w:t>
      </w:r>
    </w:p>
    <w:p>
      <w:pPr>
        <w:pStyle w:val="ListParagraph"/>
        <w:numPr>
          <w:ilvl w:val="0"/>
          <w:numId w:val="2"/>
        </w:numPr>
        <w:spacing w:after="80"/>
      </w:pPr>
      <w:r>
        <w:t xml:space="preserve">Rapport d'analyse final avec recommandations</w:t>
      </w:r>
    </w:p>
    <w:p>
      <w:pPr>
        <w:pStyle w:val="Heading1"/>
        <w:spacing w:after="200" w:before="400"/>
      </w:pPr>
      <w:r>
        <w:rPr>
          <w:color w:val="1F3B57"/>
        </w:rPr>
        <w:t xml:space="preserve">11. Environnement technique et outils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1F3B57" w:val="clear"/>
            <w:tcMar>
              <w:top w:type="dxa" w:w="80"/>
              <w:left w:type="dxa" w:w="100"/>
              <w:bottom w:type="dxa" w:w="80"/>
              <w:right w:type="dxa" w:w="100"/>
            </w:tcMar>
            <w:vAlign w:val="center"/>
          </w:tcPr>
          <w:p>
            <w:pPr>
              <w:jc w:val="left"/>
            </w:pPr>
            <w:r>
              <w:rPr>
                <w:b/>
                <w:bCs/>
                <w:color w:val="FFFFFF"/>
              </w:rPr>
              <w:t xml:space="preserve">Domaine</w:t>
            </w:r>
          </w:p>
        </w:tc>
        <w:tc>
          <w:tcPr>
            <w:tcW w:type="dxa" w:w="6526"/>
            <w:shd w:fill="1F3B57" w:val="clear"/>
            <w:tcMar>
              <w:top w:type="dxa" w:w="80"/>
              <w:left w:type="dxa" w:w="100"/>
              <w:bottom w:type="dxa" w:w="80"/>
              <w:right w:type="dxa" w:w="100"/>
            </w:tcMar>
            <w:vAlign w:val="center"/>
          </w:tcPr>
          <w:p>
            <w:pPr>
              <w:jc w:val="left"/>
            </w:pPr>
            <w:r>
              <w:rPr>
                <w:b/>
                <w:bCs/>
                <w:color w:val="FFFFFF"/>
              </w:rPr>
              <w:t xml:space="preserve">Outils envisagés</w:t>
            </w:r>
          </w:p>
        </w:tc>
      </w:tr>
      <w:tr>
        <w:tc>
          <w:tcPr>
            <w:tcW w:type="dxa" w:w="2500"/>
            <w:shd w:fill="F7F9FC" w:val="clear"/>
            <w:tcMar>
              <w:top w:type="dxa" w:w="80"/>
              <w:left w:type="dxa" w:w="100"/>
              <w:bottom w:type="dxa" w:w="80"/>
              <w:right w:type="dxa" w:w="100"/>
            </w:tcMar>
            <w:vAlign w:val="center"/>
          </w:tcPr>
          <w:p>
            <w:pPr>
              <w:jc w:val="left"/>
            </w:pPr>
            <w:r>
              <w:rPr>
                <w:b w:val="false"/>
                <w:bCs w:val="false"/>
                <w:color w:val="000000"/>
              </w:rPr>
              <w:t xml:space="preserve">Langage / traitement de données</w:t>
            </w:r>
          </w:p>
        </w:tc>
        <w:tc>
          <w:tcPr>
            <w:tcW w:type="dxa" w:w="6526"/>
            <w:shd w:fill="F7F9FC" w:val="clear"/>
            <w:tcMar>
              <w:top w:type="dxa" w:w="80"/>
              <w:left w:type="dxa" w:w="100"/>
              <w:bottom w:type="dxa" w:w="80"/>
              <w:right w:type="dxa" w:w="100"/>
            </w:tcMar>
            <w:vAlign w:val="center"/>
          </w:tcPr>
          <w:p>
            <w:pPr>
              <w:jc w:val="left"/>
            </w:pPr>
            <w:r>
              <w:rPr>
                <w:b w:val="false"/>
                <w:bCs w:val="false"/>
                <w:color w:val="000000"/>
              </w:rPr>
              <w:t xml:space="preserve">Python (pandas, requests, SQLAlchemy)</w:t>
            </w:r>
          </w:p>
        </w:tc>
      </w:tr>
      <w:tr>
        <w:tc>
          <w:tcPr>
            <w:tcW w:type="dxa" w:w="2500"/>
            <w:shd w:fill="FFFFFF" w:val="clear"/>
            <w:tcMar>
              <w:top w:type="dxa" w:w="80"/>
              <w:left w:type="dxa" w:w="100"/>
              <w:bottom w:type="dxa" w:w="80"/>
              <w:right w:type="dxa" w:w="100"/>
            </w:tcMar>
            <w:vAlign w:val="center"/>
          </w:tcPr>
          <w:p>
            <w:pPr>
              <w:jc w:val="left"/>
            </w:pPr>
            <w:r>
              <w:rPr>
                <w:b w:val="false"/>
                <w:bCs w:val="false"/>
                <w:color w:val="000000"/>
              </w:rPr>
              <w:t xml:space="preserve">Base de données</w:t>
            </w:r>
          </w:p>
        </w:tc>
        <w:tc>
          <w:tcPr>
            <w:tcW w:type="dxa" w:w="6526"/>
            <w:shd w:fill="FFFFFF" w:val="clear"/>
            <w:tcMar>
              <w:top w:type="dxa" w:w="80"/>
              <w:left w:type="dxa" w:w="100"/>
              <w:bottom w:type="dxa" w:w="80"/>
              <w:right w:type="dxa" w:w="100"/>
            </w:tcMar>
            <w:vAlign w:val="center"/>
          </w:tcPr>
          <w:p>
            <w:pPr>
              <w:jc w:val="left"/>
            </w:pPr>
            <w:r>
              <w:rPr>
                <w:b w:val="false"/>
                <w:bCs w:val="false"/>
                <w:color w:val="000000"/>
              </w:rPr>
              <w:t xml:space="preserve">PostgreSQL</w:t>
            </w:r>
          </w:p>
        </w:tc>
      </w:tr>
      <w:tr>
        <w:tc>
          <w:tcPr>
            <w:tcW w:type="dxa" w:w="2500"/>
            <w:shd w:fill="F7F9FC" w:val="clear"/>
            <w:tcMar>
              <w:top w:type="dxa" w:w="80"/>
              <w:left w:type="dxa" w:w="100"/>
              <w:bottom w:type="dxa" w:w="80"/>
              <w:right w:type="dxa" w:w="100"/>
            </w:tcMar>
            <w:vAlign w:val="center"/>
          </w:tcPr>
          <w:p>
            <w:pPr>
              <w:jc w:val="left"/>
            </w:pPr>
            <w:r>
              <w:rPr>
                <w:b w:val="false"/>
                <w:bCs w:val="false"/>
                <w:color w:val="000000"/>
              </w:rPr>
              <w:t xml:space="preserve">Restitution</w:t>
            </w:r>
          </w:p>
        </w:tc>
        <w:tc>
          <w:tcPr>
            <w:tcW w:type="dxa" w:w="6526"/>
            <w:shd w:fill="F7F9FC" w:val="clear"/>
            <w:tcMar>
              <w:top w:type="dxa" w:w="80"/>
              <w:left w:type="dxa" w:w="100"/>
              <w:bottom w:type="dxa" w:w="80"/>
              <w:right w:type="dxa" w:w="100"/>
            </w:tcMar>
            <w:vAlign w:val="center"/>
          </w:tcPr>
          <w:p>
            <w:pPr>
              <w:jc w:val="left"/>
            </w:pPr>
            <w:r>
              <w:rPr>
                <w:b w:val="false"/>
                <w:bCs w:val="false"/>
                <w:color w:val="000000"/>
              </w:rPr>
              <w:t xml:space="preserve">Power BI Desktop</w:t>
            </w:r>
          </w:p>
        </w:tc>
      </w:tr>
      <w:tr>
        <w:tc>
          <w:tcPr>
            <w:tcW w:type="dxa" w:w="2500"/>
            <w:shd w:fill="FFFFFF" w:val="clear"/>
            <w:tcMar>
              <w:top w:type="dxa" w:w="80"/>
              <w:left w:type="dxa" w:w="100"/>
              <w:bottom w:type="dxa" w:w="80"/>
              <w:right w:type="dxa" w:w="100"/>
            </w:tcMar>
            <w:vAlign w:val="center"/>
          </w:tcPr>
          <w:p>
            <w:pPr>
              <w:jc w:val="left"/>
            </w:pPr>
            <w:r>
              <w:rPr>
                <w:b w:val="false"/>
                <w:bCs w:val="false"/>
                <w:color w:val="000000"/>
              </w:rPr>
              <w:t xml:space="preserve">Gestion de version</w:t>
            </w:r>
          </w:p>
        </w:tc>
        <w:tc>
          <w:tcPr>
            <w:tcW w:type="dxa" w:w="6526"/>
            <w:shd w:fill="FFFFFF" w:val="clear"/>
            <w:tcMar>
              <w:top w:type="dxa" w:w="80"/>
              <w:left w:type="dxa" w:w="100"/>
              <w:bottom w:type="dxa" w:w="80"/>
              <w:right w:type="dxa" w:w="100"/>
            </w:tcMar>
            <w:vAlign w:val="center"/>
          </w:tcPr>
          <w:p>
            <w:pPr>
              <w:jc w:val="left"/>
            </w:pPr>
            <w:r>
              <w:rPr>
                <w:b w:val="false"/>
                <w:bCs w:val="false"/>
                <w:color w:val="000000"/>
              </w:rPr>
              <w:t xml:space="preserve">Git / dépôt versionné pour les scripts</w:t>
            </w:r>
          </w:p>
        </w:tc>
      </w:tr>
      <w:tr>
        <w:tc>
          <w:tcPr>
            <w:tcW w:type="dxa" w:w="2500"/>
            <w:shd w:fill="F7F9FC" w:val="clear"/>
            <w:tcMar>
              <w:top w:type="dxa" w:w="80"/>
              <w:left w:type="dxa" w:w="100"/>
              <w:bottom w:type="dxa" w:w="80"/>
              <w:right w:type="dxa" w:w="100"/>
            </w:tcMar>
            <w:vAlign w:val="center"/>
          </w:tcPr>
          <w:p>
            <w:pPr>
              <w:jc w:val="left"/>
            </w:pPr>
            <w:r>
              <w:rPr>
                <w:b w:val="false"/>
                <w:bCs w:val="false"/>
                <w:color w:val="000000"/>
              </w:rPr>
              <w:t xml:space="preserve">Automatisation (optionnel)</w:t>
            </w:r>
          </w:p>
        </w:tc>
        <w:tc>
          <w:tcPr>
            <w:tcW w:type="dxa" w:w="6526"/>
            <w:shd w:fill="F7F9FC" w:val="clear"/>
            <w:tcMar>
              <w:top w:type="dxa" w:w="80"/>
              <w:left w:type="dxa" w:w="100"/>
              <w:bottom w:type="dxa" w:w="80"/>
              <w:right w:type="dxa" w:w="100"/>
            </w:tcMar>
            <w:vAlign w:val="center"/>
          </w:tcPr>
          <w:p>
            <w:pPr>
              <w:jc w:val="left"/>
            </w:pPr>
            <w:r>
              <w:rPr>
                <w:b w:val="false"/>
                <w:bCs w:val="false"/>
                <w:color w:val="000000"/>
              </w:rPr>
              <w:t xml:space="preserve">Tâches planifiées pour la mise à jour périodique des données</w:t>
            </w:r>
          </w:p>
        </w:tc>
      </w:tr>
      <w:tr>
        <w:tc>
          <w:tcPr>
            <w:tcW w:type="dxa" w:w="2500"/>
            <w:shd w:fill="FFFFFF" w:val="clear"/>
            <w:tcMar>
              <w:top w:type="dxa" w:w="80"/>
              <w:left w:type="dxa" w:w="100"/>
              <w:bottom w:type="dxa" w:w="80"/>
              <w:right w:type="dxa" w:w="100"/>
            </w:tcMar>
            <w:vAlign w:val="center"/>
          </w:tcPr>
          <w:p>
            <w:pPr>
              <w:jc w:val="left"/>
            </w:pPr>
            <w:r>
              <w:rPr>
                <w:b w:val="false"/>
                <w:bCs w:val="false"/>
                <w:color w:val="000000"/>
              </w:rPr>
              <w:t xml:space="preserve">Documentation</w:t>
            </w:r>
          </w:p>
        </w:tc>
        <w:tc>
          <w:tcPr>
            <w:tcW w:type="dxa" w:w="6526"/>
            <w:shd w:fill="FFFFFF" w:val="clear"/>
            <w:tcMar>
              <w:top w:type="dxa" w:w="80"/>
              <w:left w:type="dxa" w:w="100"/>
              <w:bottom w:type="dxa" w:w="80"/>
              <w:right w:type="dxa" w:w="100"/>
            </w:tcMar>
            <w:vAlign w:val="center"/>
          </w:tcPr>
          <w:p>
            <w:pPr>
              <w:jc w:val="left"/>
            </w:pPr>
            <w:r>
              <w:rPr>
                <w:b w:val="false"/>
                <w:bCs w:val="false"/>
                <w:color w:val="000000"/>
              </w:rPr>
              <w:t xml:space="preserve">Markdown / Word pour le dictionnaire de données et les guides</w:t>
            </w:r>
          </w:p>
        </w:tc>
      </w:tr>
    </w:tbl>
    <w:p>
      <w:pPr>
        <w:spacing w:before="200"/>
      </w:pPr>
    </w:p>
    <w:p>
      <w:pPr>
        <w:pStyle w:val="Heading1"/>
        <w:spacing w:after="200" w:before="400"/>
      </w:pPr>
      <w:r>
        <w:rPr>
          <w:color w:val="1F3B57"/>
        </w:rPr>
        <w:t xml:space="preserve">12. Risques et points de vigilance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shd w:fill="1F3B57" w:val="clear"/>
            <w:tcMar>
              <w:top w:type="dxa" w:w="80"/>
              <w:left w:type="dxa" w:w="100"/>
              <w:bottom w:type="dxa" w:w="80"/>
              <w:right w:type="dxa" w:w="100"/>
            </w:tcMar>
            <w:vAlign w:val="center"/>
          </w:tcPr>
          <w:p>
            <w:pPr>
              <w:jc w:val="left"/>
            </w:pPr>
            <w:r>
              <w:rPr>
                <w:b/>
                <w:bCs/>
                <w:color w:val="FFFFFF"/>
              </w:rPr>
              <w:t xml:space="preserve">Risque</w:t>
            </w:r>
          </w:p>
        </w:tc>
        <w:tc>
          <w:tcPr>
            <w:tcW w:type="dxa" w:w="3400"/>
            <w:shd w:fill="1F3B57" w:val="clear"/>
            <w:tcMar>
              <w:top w:type="dxa" w:w="80"/>
              <w:left w:type="dxa" w:w="100"/>
              <w:bottom w:type="dxa" w:w="80"/>
              <w:right w:type="dxa" w:w="100"/>
            </w:tcMar>
            <w:vAlign w:val="center"/>
          </w:tcPr>
          <w:p>
            <w:pPr>
              <w:jc w:val="left"/>
            </w:pPr>
            <w:r>
              <w:rPr>
                <w:b/>
                <w:bCs/>
                <w:color w:val="FFFFFF"/>
              </w:rPr>
              <w:t xml:space="preserve">Impact</w:t>
            </w:r>
          </w:p>
        </w:tc>
        <w:tc>
          <w:tcPr>
            <w:tcW w:type="dxa" w:w="3026"/>
            <w:shd w:fill="1F3B57" w:val="clear"/>
            <w:tcMar>
              <w:top w:type="dxa" w:w="80"/>
              <w:left w:type="dxa" w:w="100"/>
              <w:bottom w:type="dxa" w:w="80"/>
              <w:right w:type="dxa" w:w="100"/>
            </w:tcMar>
            <w:vAlign w:val="center"/>
          </w:tcPr>
          <w:p>
            <w:pPr>
              <w:jc w:val="left"/>
            </w:pPr>
            <w:r>
              <w:rPr>
                <w:b/>
                <w:bCs/>
                <w:color w:val="FFFFFF"/>
              </w:rPr>
              <w:t xml:space="preserve">Mesure de mitigation</w:t>
            </w:r>
          </w:p>
        </w:tc>
      </w:tr>
      <w:tr>
        <w:tc>
          <w:tcPr>
            <w:tcW w:type="dxa" w:w="2600"/>
            <w:shd w:fill="F7F9FC" w:val="clear"/>
            <w:tcMar>
              <w:top w:type="dxa" w:w="80"/>
              <w:left w:type="dxa" w:w="100"/>
              <w:bottom w:type="dxa" w:w="80"/>
              <w:right w:type="dxa" w:w="100"/>
            </w:tcMar>
            <w:vAlign w:val="center"/>
          </w:tcPr>
          <w:p>
            <w:pPr>
              <w:jc w:val="left"/>
            </w:pPr>
            <w:r>
              <w:rPr>
                <w:b w:val="false"/>
                <w:bCs w:val="false"/>
                <w:color w:val="000000"/>
              </w:rPr>
              <w:t xml:space="preserve">Indisponibilité ou incomplétude d'une source (ex. portail Bénin)</w:t>
            </w:r>
          </w:p>
        </w:tc>
        <w:tc>
          <w:tcPr>
            <w:tcW w:type="dxa" w:w="3400"/>
            <w:shd w:fill="F7F9FC" w:val="clear"/>
            <w:tcMar>
              <w:top w:type="dxa" w:w="80"/>
              <w:left w:type="dxa" w:w="100"/>
              <w:bottom w:type="dxa" w:w="80"/>
              <w:right w:type="dxa" w:w="100"/>
            </w:tcMar>
            <w:vAlign w:val="center"/>
          </w:tcPr>
          <w:p>
            <w:pPr>
              <w:jc w:val="left"/>
            </w:pPr>
            <w:r>
              <w:rPr>
                <w:b w:val="false"/>
                <w:bCs w:val="false"/>
                <w:color w:val="000000"/>
              </w:rPr>
              <w:t xml:space="preserve">KPI incomplets ou incohérents sur certaines zones géographiques</w:t>
            </w:r>
          </w:p>
        </w:tc>
        <w:tc>
          <w:tcPr>
            <w:tcW w:type="dxa" w:w="3026"/>
            <w:shd w:fill="F7F9FC" w:val="clear"/>
            <w:tcMar>
              <w:top w:type="dxa" w:w="80"/>
              <w:left w:type="dxa" w:w="100"/>
              <w:bottom w:type="dxa" w:w="80"/>
              <w:right w:type="dxa" w:w="100"/>
            </w:tcMar>
            <w:vAlign w:val="center"/>
          </w:tcPr>
          <w:p>
            <w:pPr>
              <w:jc w:val="left"/>
            </w:pPr>
            <w:r>
              <w:rPr>
                <w:b w:val="false"/>
                <w:bCs w:val="false"/>
                <w:color w:val="000000"/>
              </w:rPr>
              <w:t xml:space="preserve">Vérification des sources dès la phase 1 ; sources de repli identifiées (FAOSTAT, Banque mondiale)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Hétérogénéité des formats et granularités entre sources</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Effort de transformation plus important que prévu</w:t>
            </w:r>
          </w:p>
        </w:tc>
        <w:tc>
          <w:tcPr>
            <w:tcW w:type="dxa" w:w="3026"/>
            <w:shd w:fill="FFFFFF" w:val="clear"/>
            <w:tcMar>
              <w:top w:type="dxa" w:w="80"/>
              <w:left w:type="dxa" w:w="100"/>
              <w:bottom w:type="dxa" w:w="80"/>
              <w:right w:type="dxa" w:w="100"/>
            </w:tcMar>
            <w:vAlign w:val="center"/>
          </w:tcPr>
          <w:p>
            <w:pPr>
              <w:jc w:val="left"/>
            </w:pPr>
            <w:r>
              <w:rPr>
                <w:b w:val="false"/>
                <w:bCs w:val="false"/>
                <w:color w:val="000000"/>
              </w:rPr>
              <w:t xml:space="preserve">Modèle de données pivot défini tôt (phase 1) ; tests de cohérence en phase 3</w:t>
            </w:r>
          </w:p>
        </w:tc>
      </w:tr>
      <w:tr>
        <w:tc>
          <w:tcPr>
            <w:tcW w:type="dxa" w:w="2600"/>
            <w:shd w:fill="F7F9FC" w:val="clear"/>
            <w:tcMar>
              <w:top w:type="dxa" w:w="80"/>
              <w:left w:type="dxa" w:w="100"/>
              <w:bottom w:type="dxa" w:w="80"/>
              <w:right w:type="dxa" w:w="100"/>
            </w:tcMar>
            <w:vAlign w:val="center"/>
          </w:tcPr>
          <w:p>
            <w:pPr>
              <w:jc w:val="left"/>
            </w:pPr>
            <w:r>
              <w:rPr>
                <w:b w:val="false"/>
                <w:bCs w:val="false"/>
                <w:color w:val="000000"/>
              </w:rPr>
              <w:t xml:space="preserve">Volumétrie importante (potentiellement plusieurs millions de lignes)</w:t>
            </w:r>
          </w:p>
        </w:tc>
        <w:tc>
          <w:tcPr>
            <w:tcW w:type="dxa" w:w="3400"/>
            <w:shd w:fill="F7F9FC" w:val="clear"/>
            <w:tcMar>
              <w:top w:type="dxa" w:w="80"/>
              <w:left w:type="dxa" w:w="100"/>
              <w:bottom w:type="dxa" w:w="80"/>
              <w:right w:type="dxa" w:w="100"/>
            </w:tcMar>
            <w:vAlign w:val="center"/>
          </w:tcPr>
          <w:p>
            <w:pPr>
              <w:jc w:val="left"/>
            </w:pPr>
            <w:r>
              <w:rPr>
                <w:b w:val="false"/>
                <w:bCs w:val="false"/>
                <w:color w:val="000000"/>
              </w:rPr>
              <w:t xml:space="preserve">Temps de traitement et de chargement allongés</w:t>
            </w:r>
          </w:p>
        </w:tc>
        <w:tc>
          <w:tcPr>
            <w:tcW w:type="dxa" w:w="3026"/>
            <w:shd w:fill="F7F9FC" w:val="clear"/>
            <w:tcMar>
              <w:top w:type="dxa" w:w="80"/>
              <w:left w:type="dxa" w:w="100"/>
              <w:bottom w:type="dxa" w:w="80"/>
              <w:right w:type="dxa" w:w="100"/>
            </w:tcMar>
            <w:vAlign w:val="center"/>
          </w:tcPr>
          <w:p>
            <w:pPr>
              <w:jc w:val="left"/>
            </w:pPr>
            <w:r>
              <w:rPr>
                <w:b w:val="false"/>
                <w:bCs w:val="false"/>
                <w:color w:val="000000"/>
              </w:rPr>
              <w:t xml:space="preserve">Indexation de la base, traitement par lots, limitation du périmètre géographique/temporel si nécessaire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Ambiguïté possible sur l'origine des données auprès du jury</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Risque de crédibilité si mal présenté</w:t>
            </w:r>
          </w:p>
        </w:tc>
        <w:tc>
          <w:tcPr>
            <w:tcW w:type="dxa" w:w="3026"/>
            <w:shd w:fill="FFFFFF" w:val="clear"/>
            <w:tcMar>
              <w:top w:type="dxa" w:w="80"/>
              <w:left w:type="dxa" w:w="100"/>
              <w:bottom w:type="dxa" w:w="80"/>
              <w:right w:type="dxa" w:w="100"/>
            </w:tcMar>
            <w:vAlign w:val="center"/>
          </w:tcPr>
          <w:p>
            <w:pPr>
              <w:jc w:val="left"/>
            </w:pPr>
            <w:r>
              <w:rPr>
                <w:b w:val="false"/>
                <w:bCs w:val="false"/>
                <w:color w:val="000000"/>
              </w:rPr>
              <w:t xml:space="preserve">Positionnement PoC assumé et explicite dans le rapport et la soutenance (cf. section 4)</w:t>
            </w:r>
          </w:p>
        </w:tc>
      </w:tr>
      <w:tr>
        <w:tc>
          <w:tcPr>
            <w:tcW w:type="dxa" w:w="2600"/>
            <w:shd w:fill="F7F9FC" w:val="clear"/>
            <w:tcMar>
              <w:top w:type="dxa" w:w="80"/>
              <w:left w:type="dxa" w:w="100"/>
              <w:bottom w:type="dxa" w:w="80"/>
              <w:right w:type="dxa" w:w="100"/>
            </w:tcMar>
            <w:vAlign w:val="center"/>
          </w:tcPr>
          <w:p>
            <w:pPr>
              <w:jc w:val="left"/>
            </w:pPr>
            <w:r>
              <w:rPr>
                <w:b w:val="false"/>
                <w:bCs w:val="false"/>
                <w:color w:val="000000"/>
              </w:rPr>
              <w:t xml:space="preserve">Périmètre trop ambitieux pour la durée du stage</w:t>
            </w:r>
          </w:p>
        </w:tc>
        <w:tc>
          <w:tcPr>
            <w:tcW w:type="dxa" w:w="3400"/>
            <w:shd w:fill="F7F9FC" w:val="clear"/>
            <w:tcMar>
              <w:top w:type="dxa" w:w="80"/>
              <w:left w:type="dxa" w:w="100"/>
              <w:bottom w:type="dxa" w:w="80"/>
              <w:right w:type="dxa" w:w="100"/>
            </w:tcMar>
            <w:vAlign w:val="center"/>
          </w:tcPr>
          <w:p>
            <w:pPr>
              <w:jc w:val="left"/>
            </w:pPr>
            <w:r>
              <w:rPr>
                <w:b w:val="false"/>
                <w:bCs w:val="false"/>
                <w:color w:val="000000"/>
              </w:rPr>
              <w:t xml:space="preserve">Retard ou livrables incomplets</w:t>
            </w:r>
          </w:p>
        </w:tc>
        <w:tc>
          <w:tcPr>
            <w:tcW w:type="dxa" w:w="3026"/>
            <w:shd w:fill="F7F9FC" w:val="clear"/>
            <w:tcMar>
              <w:top w:type="dxa" w:w="80"/>
              <w:left w:type="dxa" w:w="100"/>
              <w:bottom w:type="dxa" w:w="80"/>
              <w:right w:type="dxa" w:w="100"/>
            </w:tcMar>
            <w:vAlign w:val="center"/>
          </w:tcPr>
          <w:p>
            <w:pPr>
              <w:jc w:val="left"/>
            </w:pPr>
            <w:r>
              <w:rPr>
                <w:b w:val="false"/>
                <w:bCs w:val="false"/>
                <w:color w:val="000000"/>
              </w:rPr>
              <w:t xml:space="preserve">Priorisation des modules 1 à 5 (cœur du projet) ; modules 6-7 et extensions IA traités si le temps le permet</w:t>
            </w:r>
          </w:p>
        </w:tc>
      </w:tr>
    </w:tbl>
    <w:p>
      <w:pPr>
        <w:spacing w:before="200"/>
      </w:pPr>
    </w:p>
    <w:p>
      <w:pPr>
        <w:pStyle w:val="Heading1"/>
        <w:spacing w:after="200" w:before="400"/>
      </w:pPr>
      <w:r>
        <w:rPr>
          <w:color w:val="1F3B57"/>
        </w:rPr>
        <w:t xml:space="preserve">13. Critères de réussite</w:t>
      </w:r>
    </w:p>
    <w:p>
      <w:pPr>
        <w:pStyle w:val="ListParagraph"/>
        <w:numPr>
          <w:ilvl w:val="0"/>
          <w:numId w:val="2"/>
        </w:numPr>
        <w:spacing w:after="80"/>
      </w:pPr>
      <w:r>
        <w:t xml:space="preserve">Le pipeline de collecte s'exécute automatiquement et met à jour la base sans intervention manuelle.</w:t>
      </w:r>
    </w:p>
    <w:p>
      <w:pPr>
        <w:pStyle w:val="ListParagraph"/>
        <w:numPr>
          <w:ilvl w:val="0"/>
          <w:numId w:val="2"/>
        </w:numPr>
        <w:spacing w:after="80"/>
      </w:pPr>
      <w:r>
        <w:t xml:space="preserve">Le rapport de qualité des données est généré et interprétable.</w:t>
      </w:r>
    </w:p>
    <w:p>
      <w:pPr>
        <w:pStyle w:val="ListParagraph"/>
        <w:numPr>
          <w:ilvl w:val="0"/>
          <w:numId w:val="2"/>
        </w:numPr>
        <w:spacing w:after="80"/>
      </w:pPr>
      <w:r>
        <w:t xml:space="preserve">Au moins 10 indicateurs décisionnels sont calculés et documentés.</w:t>
      </w:r>
    </w:p>
    <w:p>
      <w:pPr>
        <w:pStyle w:val="ListParagraph"/>
        <w:numPr>
          <w:ilvl w:val="0"/>
          <w:numId w:val="2"/>
        </w:numPr>
        <w:spacing w:after="80"/>
      </w:pPr>
      <w:r>
        <w:t xml:space="preserve">Au moins 3 tableaux de bord Power BI sont fonctionnels et lisibles par un utilisateur non technique.</w:t>
      </w:r>
    </w:p>
    <w:p>
      <w:pPr>
        <w:pStyle w:val="ListParagraph"/>
        <w:numPr>
          <w:ilvl w:val="0"/>
          <w:numId w:val="2"/>
        </w:numPr>
        <w:spacing w:after="80"/>
      </w:pPr>
      <w:r>
        <w:t xml:space="preserve">La documentation permet à une tierce personne de comprendre et de réutiliser la solution.</w:t>
      </w:r>
    </w:p>
    <w:p>
      <w:pPr>
        <w:pStyle w:val="ListParagraph"/>
        <w:numPr>
          <w:ilvl w:val="0"/>
          <w:numId w:val="2"/>
        </w:numPr>
        <w:spacing w:after="80"/>
      </w:pPr>
      <w:r>
        <w:t xml:space="preserve">Le rapport final formule des recommandations concrètes et argumentées à partir des données.</w:t>
      </w:r>
    </w:p>
    <w:p>
      <w:pPr>
        <w:pStyle w:val="Heading1"/>
        <w:spacing w:after="200" w:before="400"/>
      </w:pPr>
      <w:r>
        <w:rPr>
          <w:color w:val="1F3B57"/>
        </w:rPr>
        <w:t xml:space="preserve">14.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B57" w:val="clear"/>
            <w:tcMar>
              <w:top w:type="dxa" w:w="80"/>
              <w:left w:type="dxa" w:w="100"/>
              <w:bottom w:type="dxa" w:w="80"/>
              <w:right w:type="dxa" w:w="100"/>
            </w:tcMar>
            <w:vAlign w:val="center"/>
          </w:tcPr>
          <w:p>
            <w:pPr>
              <w:jc w:val="left"/>
            </w:pPr>
            <w:r>
              <w:rPr>
                <w:b/>
                <w:bCs/>
                <w:color w:val="FFFFFF"/>
              </w:rPr>
              <w:t xml:space="preserve">Terme</w:t>
            </w:r>
          </w:p>
        </w:tc>
        <w:tc>
          <w:tcPr>
            <w:tcW w:type="dxa" w:w="6826"/>
            <w:shd w:fill="1F3B57" w:val="clear"/>
            <w:tcMar>
              <w:top w:type="dxa" w:w="80"/>
              <w:left w:type="dxa" w:w="100"/>
              <w:bottom w:type="dxa" w:w="80"/>
              <w:right w:type="dxa" w:w="100"/>
            </w:tcMar>
            <w:vAlign w:val="center"/>
          </w:tcPr>
          <w:p>
            <w:pPr>
              <w:jc w:val="left"/>
            </w:pPr>
            <w:r>
              <w:rPr>
                <w:b/>
                <w:bCs/>
                <w:color w:val="FFFFFF"/>
              </w:rPr>
              <w:t xml:space="preserve">Définition</w:t>
            </w:r>
          </w:p>
        </w:tc>
      </w:tr>
      <w:tr>
        <w:tc>
          <w:tcPr>
            <w:tcW w:type="dxa" w:w="2200"/>
            <w:shd w:fill="F7F9FC" w:val="clear"/>
            <w:tcMar>
              <w:top w:type="dxa" w:w="80"/>
              <w:left w:type="dxa" w:w="100"/>
              <w:bottom w:type="dxa" w:w="80"/>
              <w:right w:type="dxa" w:w="100"/>
            </w:tcMar>
            <w:vAlign w:val="center"/>
          </w:tcPr>
          <w:p>
            <w:pPr>
              <w:jc w:val="left"/>
            </w:pPr>
            <w:r>
              <w:rPr>
                <w:b w:val="false"/>
                <w:bCs w:val="false"/>
                <w:color w:val="000000"/>
              </w:rPr>
              <w:t xml:space="preserve">Open Data (données ouvertes)</w:t>
            </w:r>
          </w:p>
        </w:tc>
        <w:tc>
          <w:tcPr>
            <w:tcW w:type="dxa" w:w="6826"/>
            <w:shd w:fill="F7F9FC" w:val="clear"/>
            <w:tcMar>
              <w:top w:type="dxa" w:w="80"/>
              <w:left w:type="dxa" w:w="100"/>
              <w:bottom w:type="dxa" w:w="80"/>
              <w:right w:type="dxa" w:w="100"/>
            </w:tcMar>
            <w:vAlign w:val="center"/>
          </w:tcPr>
          <w:p>
            <w:pPr>
              <w:jc w:val="left"/>
            </w:pPr>
            <w:r>
              <w:rPr>
                <w:b w:val="false"/>
                <w:bCs w:val="false"/>
                <w:color w:val="000000"/>
              </w:rPr>
              <w:t xml:space="preserve">Données publiques, librement accessibles, réutilisables et souvent gratuites, mises à disposition par des organismes publics ou internationaux</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PoC (Proof of Concept)</w:t>
            </w:r>
          </w:p>
        </w:tc>
        <w:tc>
          <w:tcPr>
            <w:tcW w:type="dxa" w:w="6826"/>
            <w:shd w:fill="FFFFFF" w:val="clear"/>
            <w:tcMar>
              <w:top w:type="dxa" w:w="80"/>
              <w:left w:type="dxa" w:w="100"/>
              <w:bottom w:type="dxa" w:w="80"/>
              <w:right w:type="dxa" w:w="100"/>
            </w:tcMar>
            <w:vAlign w:val="center"/>
          </w:tcPr>
          <w:p>
            <w:pPr>
              <w:jc w:val="left"/>
            </w:pPr>
            <w:r>
              <w:rPr>
                <w:b w:val="false"/>
                <w:bCs w:val="false"/>
                <w:color w:val="000000"/>
              </w:rPr>
              <w:t xml:space="preserve">Preuve de concept : prototype ou démonstration visant à valider la faisabilité technique d'une solution avant son déploiement</w:t>
            </w:r>
          </w:p>
        </w:tc>
      </w:tr>
      <w:tr>
        <w:tc>
          <w:tcPr>
            <w:tcW w:type="dxa" w:w="2200"/>
            <w:shd w:fill="F7F9FC" w:val="clear"/>
            <w:tcMar>
              <w:top w:type="dxa" w:w="80"/>
              <w:left w:type="dxa" w:w="100"/>
              <w:bottom w:type="dxa" w:w="80"/>
              <w:right w:type="dxa" w:w="100"/>
            </w:tcMar>
            <w:vAlign w:val="center"/>
          </w:tcPr>
          <w:p>
            <w:pPr>
              <w:jc w:val="left"/>
            </w:pPr>
            <w:r>
              <w:rPr>
                <w:b w:val="false"/>
                <w:bCs w:val="false"/>
                <w:color w:val="000000"/>
              </w:rPr>
              <w:t xml:space="preserve">ETL (Extract, Transform, Load)</w:t>
            </w:r>
          </w:p>
        </w:tc>
        <w:tc>
          <w:tcPr>
            <w:tcW w:type="dxa" w:w="6826"/>
            <w:shd w:fill="F7F9FC" w:val="clear"/>
            <w:tcMar>
              <w:top w:type="dxa" w:w="80"/>
              <w:left w:type="dxa" w:w="100"/>
              <w:bottom w:type="dxa" w:w="80"/>
              <w:right w:type="dxa" w:w="100"/>
            </w:tcMar>
            <w:vAlign w:val="center"/>
          </w:tcPr>
          <w:p>
            <w:pPr>
              <w:jc w:val="left"/>
            </w:pPr>
            <w:r>
              <w:rPr>
                <w:b w:val="false"/>
                <w:bCs w:val="false"/>
                <w:color w:val="000000"/>
              </w:rPr>
              <w:t xml:space="preserve">Processus d'extraction, de transformation et de chargement des données dans un système cible</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Data Warehouse (entrepôt de données)</w:t>
            </w:r>
          </w:p>
        </w:tc>
        <w:tc>
          <w:tcPr>
            <w:tcW w:type="dxa" w:w="6826"/>
            <w:shd w:fill="FFFFFF" w:val="clear"/>
            <w:tcMar>
              <w:top w:type="dxa" w:w="80"/>
              <w:left w:type="dxa" w:w="100"/>
              <w:bottom w:type="dxa" w:w="80"/>
              <w:right w:type="dxa" w:w="100"/>
            </w:tcMar>
            <w:vAlign w:val="center"/>
          </w:tcPr>
          <w:p>
            <w:pPr>
              <w:jc w:val="left"/>
            </w:pPr>
            <w:r>
              <w:rPr>
                <w:b w:val="false"/>
                <w:bCs w:val="false"/>
                <w:color w:val="000000"/>
              </w:rPr>
              <w:t xml:space="preserve">Base de données structurée pour l'analyse décisionnelle, organisée en tables de faits et de dimensions</w:t>
            </w:r>
          </w:p>
        </w:tc>
      </w:tr>
      <w:tr>
        <w:tc>
          <w:tcPr>
            <w:tcW w:type="dxa" w:w="2200"/>
            <w:shd w:fill="F7F9FC" w:val="clear"/>
            <w:tcMar>
              <w:top w:type="dxa" w:w="80"/>
              <w:left w:type="dxa" w:w="100"/>
              <w:bottom w:type="dxa" w:w="80"/>
              <w:right w:type="dxa" w:w="100"/>
            </w:tcMar>
            <w:vAlign w:val="center"/>
          </w:tcPr>
          <w:p>
            <w:pPr>
              <w:jc w:val="left"/>
            </w:pPr>
            <w:r>
              <w:rPr>
                <w:b w:val="false"/>
                <w:bCs w:val="false"/>
                <w:color w:val="000000"/>
              </w:rPr>
              <w:t xml:space="preserve">KPI (Key Performance Indicator)</w:t>
            </w:r>
          </w:p>
        </w:tc>
        <w:tc>
          <w:tcPr>
            <w:tcW w:type="dxa" w:w="6826"/>
            <w:shd w:fill="F7F9FC" w:val="clear"/>
            <w:tcMar>
              <w:top w:type="dxa" w:w="80"/>
              <w:left w:type="dxa" w:w="100"/>
              <w:bottom w:type="dxa" w:w="80"/>
              <w:right w:type="dxa" w:w="100"/>
            </w:tcMar>
            <w:vAlign w:val="center"/>
          </w:tcPr>
          <w:p>
            <w:pPr>
              <w:jc w:val="left"/>
            </w:pPr>
            <w:r>
              <w:rPr>
                <w:b w:val="false"/>
                <w:bCs w:val="false"/>
                <w:color w:val="000000"/>
              </w:rPr>
              <w:t xml:space="preserve">Indicateur clé de performance utilisé pour objectiver une décision ou mesurer une évolution</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Modèle en étoile</w:t>
            </w:r>
          </w:p>
        </w:tc>
        <w:tc>
          <w:tcPr>
            <w:tcW w:type="dxa" w:w="6826"/>
            <w:shd w:fill="FFFFFF" w:val="clear"/>
            <w:tcMar>
              <w:top w:type="dxa" w:w="80"/>
              <w:left w:type="dxa" w:w="100"/>
              <w:bottom w:type="dxa" w:w="80"/>
              <w:right w:type="dxa" w:w="100"/>
            </w:tcMar>
            <w:vAlign w:val="center"/>
          </w:tcPr>
          <w:p>
            <w:pPr>
              <w:jc w:val="left"/>
            </w:pPr>
            <w:r>
              <w:rPr>
                <w:b w:val="false"/>
                <w:bCs w:val="false"/>
                <w:color w:val="000000"/>
              </w:rPr>
              <w:t xml:space="preserve">Modélisation de base de données décisionnelle organisant les données autour d'une table de faits centrale reliée à des tables de dimensions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6"/>
        <w:szCs w:val="16"/>
      </w:rPr>
      <w:t xml:space="preserve">NSENGO — Cahier des charges — Veille des marchés agricoles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jc w:val="center"/>
    </w:pPr>
    <w:rPr>
      <w:rFonts w:ascii="Calibri" w:cs="Calibri" w:eastAsia="Calibri" w:hAnsi="Calibri"/>
      <w:b/>
      <w:bCs/>
      <w:color w:val="1F3B57"/>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8fe4374a8cfb807bb4dc24b33774f7e750de0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2026-08-07T14:13:49.986Z</dcterms:created>
  <dcterms:modified xsi:type="dcterms:W3CDTF">2026-08-07T14:13:49.986Z</dcterms:modified>
</cp:coreProperties>
</file>

<file path=docProps/custom.xml><?xml version="1.0" encoding="utf-8"?>
<Properties xmlns="http://schemas.openxmlformats.org/officeDocument/2006/custom-properties" xmlns:vt="http://schemas.openxmlformats.org/officeDocument/2006/docPropsVTypes"/>
</file>