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LUNA16 PBIP-Lite 肺结节候选分类</w:t>
      </w:r>
    </w:p>
    <w:p>
      <w:pPr>
        <w:jc w:val="center"/>
      </w:pPr>
      <w:r>
        <w:rPr>
          <w:color w:val="4472C4"/>
          <w:sz w:val="28"/>
        </w:rPr>
        <w:t>增量实验成果报告</w:t>
      </w:r>
    </w:p>
    <w:p/>
    <w:p/>
    <w:p>
      <w:pPr>
        <w:pStyle w:val="Heading1"/>
      </w:pPr>
      <w:r>
        <w:t>任务总览</w:t>
      </w:r>
    </w:p>
    <w:p>
      <w:pPr>
        <w:pStyle w:val="ListNumber"/>
      </w:pPr>
      <w:r>
        <w:t>任务 1：结果汇总 + K 值补充实验</w:t>
      </w:r>
    </w:p>
    <w:p>
      <w:pPr>
        <w:pStyle w:val="ListNumber"/>
      </w:pPr>
      <w:r>
        <w:t>任务 2：消融实验（组件 / K 值 / β 值）</w:t>
      </w:r>
    </w:p>
    <w:p>
      <w:pPr>
        <w:pStyle w:val="ListNumber"/>
      </w:pPr>
      <w:r>
        <w:t>任务 3：图像退化算子实现</w:t>
      </w:r>
    </w:p>
    <w:p>
      <w:pPr>
        <w:pStyle w:val="ListNumber"/>
      </w:pPr>
      <w:r>
        <w:t>任务 4：退化鲁棒性评估</w:t>
      </w:r>
    </w:p>
    <w:p>
      <w:pPr>
        <w:pStyle w:val="ListNumber"/>
      </w:pPr>
      <w:r>
        <w:t>任务 5：Robust-PBIP 训练</w:t>
      </w:r>
    </w:p>
    <w:p>
      <w:pPr>
        <w:pStyle w:val="ListNumber"/>
      </w:pPr>
      <w:r>
        <w:t>任务 6：Grad-CAM + 四类样本可视化</w:t>
      </w:r>
    </w:p>
    <w:p>
      <w:pPr>
        <w:pStyle w:val="ListNumber"/>
      </w:pPr>
      <w:r>
        <w:t>任务 7：Top-3 相似病例检索</w:t>
      </w:r>
    </w:p>
    <w:p>
      <w:pPr>
        <w:pStyle w:val="ListNumber"/>
      </w:pPr>
      <w:r>
        <w:t>任务 8：LIDC-IDRI 外部验证可行性分析</w:t>
      </w:r>
    </w:p>
    <w:p>
      <w:r>
        <w:br w:type="page"/>
      </w:r>
    </w:p>
    <w:p>
      <w:pPr>
        <w:pStyle w:val="Heading1"/>
      </w:pPr>
      <w:r>
        <w:t>任务 1　结果汇总 + K 值补充实验</w:t>
      </w:r>
    </w:p>
    <w:p>
      <w:r>
        <w:t>统一汇总 4 种方法（ResNet18 基线 / ResNet18 增强 / PBIP-Lite 无对比损失 / PBIP-Lite 完整）在 seed 0/1/2 下的 AUC、PR-AUC、F1。F1 阈值仅从干净验证集选取，测试集不参与调参。补充了 K=1、K=3、K=5 三组原型数量对照实验。</w:t>
      </w:r>
    </w:p>
    <w:p>
      <w:pPr>
        <w:pStyle w:val="Heading2"/>
      </w:pPr>
      <w:r>
        <w:t>成果 1.1　主结果表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AUC（均值±标准差）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PR-AUC（均值±标准差）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F1（均值±标准差）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ResNet18 无增强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0.9849 ± 0.0032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0.9636 ± 0.0037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0.8922 ± 0.0182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ResNet18 强增强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0.9963 ± 0.0012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0.9881 ± 0.0024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0.9237 ± 0.0107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PBIP-Lite (β=0)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0.9950 ± 0.0001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0.9865 ± 0.0012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0.9357 ± 0.0212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PBIP-Contrast (β=0.05)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0.9950 ± 0.0004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0.9866 ± 0.0015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0.9318 ± 0.0105</w:t>
            </w:r>
          </w:p>
        </w:tc>
      </w:tr>
    </w:tbl>
    <w:p>
      <w:r>
        <w:t>数据来源：runs/summary_v3/main_results_summary.csv</w:t>
      </w:r>
    </w:p>
    <w:p>
      <w:pPr>
        <w:pStyle w:val="Heading2"/>
      </w:pPr>
      <w:r>
        <w:t>成果 1.2　指标对比图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5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metric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1　四种方法 AUC / PR-AUC / F1 指标对比柱状图</w:t>
      </w:r>
    </w:p>
    <w:p>
      <w:pPr>
        <w:pStyle w:val="Heading2"/>
      </w:pPr>
      <w:r>
        <w:t>成果 1.3　K 值结果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K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AUC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PR-AUC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F1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Recall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0.9877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0.9424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0.9677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0.9184</w:t>
            </w:r>
          </w:p>
        </w:tc>
      </w:tr>
      <w:tr>
        <w:tc>
          <w:tcPr>
            <w:tcW w:type="dxa" w:w="1440"/>
            <w:shd w:val="clear" w:color="auto" w:fill="D9E2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0.9954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0.9883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0.9430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0.9579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0.9286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0.9495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0.9400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0.9592</w:t>
            </w:r>
          </w:p>
        </w:tc>
      </w:tr>
    </w:tbl>
    <w:p>
      <w:r>
        <w:t>数据来源：runs/ablations/k_ablation_results.csv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ablation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2　K=1/3/5 消融指标折线图</w:t>
      </w:r>
    </w:p>
    <w:p>
      <w:pPr>
        <w:pStyle w:val="Heading2"/>
      </w:pPr>
      <w:r>
        <w:t>成果 1.4　方法结论</w:t>
      </w:r>
    </w:p>
    <w:p>
      <w:r>
        <w:t>• 平均 AUC 最佳方法为 ResNet18 强增强：0.99625 ± 0.00125。</w:t>
        <w:br/>
        <w:t>• 平均 PR-AUC 最佳方法为 ResNet18 强增强：0.98814 ± 0.00244。</w:t>
        <w:br/>
        <w:t>• 平均 F1 最佳方法为 PBIP-Lite：0.93569 ± 0.02123。</w:t>
        <w:br/>
        <w:t>• K=5 时测试 F1 达到 0.9495，高于 K=1（0.9424）和 K=3（0.9430）。</w:t>
        <w:br/>
        <w:t>• 应同时讨论 PBIP 的平均性能与跨 seed 方差，不能只引用单个 seed。</w:t>
        <w:br/>
        <w:t>• 本表基于 1:3 负采样后的候选分类；FROC/CPM 不能表述为官方全候选 LUNA16 结果。</w:t>
      </w:r>
    </w:p>
    <w:p>
      <w:r>
        <w:t>完整结论模板：runs/summary_v3/conclusion_template.md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主结果表 → runs/summary_v3/main_results_summary.csv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指标对比图 → paper_figs/main_metrics_comparison.png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K 值结果 → runs/ablations/k_ablation_results.csv + paper_figs/k_ablation_curve.png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方法结论 → runs/summary_v3/conclusion_template.md</w:t>
      </w:r>
    </w:p>
    <w:p>
      <w:r>
        <w:br w:type="page"/>
      </w:r>
    </w:p>
    <w:p>
      <w:pPr>
        <w:pStyle w:val="Heading1"/>
      </w:pPr>
      <w:r>
        <w:t>任务 2　消融实验</w:t>
      </w:r>
    </w:p>
    <w:p>
      <w:r>
        <w:t>完成四组消融，每组独立配置 + 训练 + 评估：</w:t>
        <w:br/>
        <w:t>① 去掉原型 logits（仅保留对比损失辅助，α=0）</w:t>
        <w:br/>
        <w:t>② 去掉对比损失（仅保留原型融合 logits，β=0）</w:t>
        <w:br/>
        <w:t>③ 不同 K 值：K=1 / 3 / 5</w:t>
        <w:br/>
        <w:t>④ 不同 β 值：β=0.01 / 0.05 / 0.1 / 0.2</w:t>
      </w:r>
    </w:p>
    <w:p>
      <w:pPr>
        <w:pStyle w:val="Heading2"/>
      </w:pPr>
      <w:r>
        <w:t>成果 2.1　消融结果表</w:t>
      </w:r>
    </w:p>
    <w:p>
      <w:pPr>
        <w:pStyle w:val="IntenseQuote"/>
      </w:pPr>
      <w:r>
        <w:t>组件消融：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消融配置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AUC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PR-AUC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 PBIP-Contrast（基准）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0.9954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0.9883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0.9430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去掉原型 logits (α=0)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0.9947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0.9874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0.9375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去掉对比损失 (β=0)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0.9876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0.9179</w:t>
            </w:r>
          </w:p>
        </w:tc>
      </w:tr>
    </w:tbl>
    <w:p/>
    <w:p>
      <w:pPr>
        <w:pStyle w:val="IntenseQuote"/>
      </w:pPr>
      <w:r>
        <w:t>β 值消融：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β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 AUC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 AUC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 PR-AUC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 F1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0.9949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0.9862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0.9314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0.05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0.9914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0.9954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0.9883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0.9430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0.9914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0.9958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0.9885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0.9381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0.20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0.9930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0.9946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0.9863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0.9307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a_ablation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3　β 值消融指标曲线</w:t>
      </w:r>
    </w:p>
    <w:p>
      <w:r>
        <w:t>完整消融结果：runs/ablations/ablation_results.csv</w:t>
      </w:r>
    </w:p>
    <w:p>
      <w:pPr>
        <w:pStyle w:val="Heading2"/>
      </w:pPr>
      <w:r>
        <w:t>成果 2.2　配置文件</w:t>
      </w:r>
    </w:p>
    <w:p>
      <w:r>
        <w:t>统一消融配置：src/configs/ablation.yaml，包含 K 值列表、β 值列表、组件开关和基准实验路径映射。</w:t>
      </w:r>
    </w:p>
    <w:p>
      <w:pPr>
        <w:pStyle w:val="Heading2"/>
      </w:pPr>
      <w:r>
        <w:t>成果 2.3　训练日志</w:t>
      </w:r>
    </w:p>
    <w:p>
      <w:r>
        <w:t>每组消融的完整训练日志保存在 runs/ablations/logs/ 下，包括：</w:t>
        <w:br/>
        <w:t>• no_prototype_logits.log — 去掉原型 logits 的 20 epoch 训练日志</w:t>
        <w:br/>
        <w:t>• k1.log / k5.log — K=1 和 K=5 的训练日志</w:t>
        <w:br/>
        <w:t>• build_bank_k1.log / build_bank_k5.log — 原型库构建日志</w:t>
        <w:br/>
        <w:t>• beta_0.01.log / beta_0.2.log — 新增 β 值训练日志</w:t>
        <w:br/>
        <w:t>• 每组配套 training_curve.csv 和 training_curves.png 训练曲线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消融结果表 → runs/ablations/ablation_results.csv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配置文件 → src/configs/ablation.yaml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训练日志 → runs/ablations/logs/*.log + 各组 training_curve.csv</w:t>
      </w:r>
    </w:p>
    <w:p>
      <w:r>
        <w:br w:type="page"/>
      </w:r>
    </w:p>
    <w:p>
      <w:pPr>
        <w:pStyle w:val="Heading1"/>
      </w:pPr>
      <w:r>
        <w:t>任务 3　图像退化算子</w:t>
      </w:r>
    </w:p>
    <w:p>
      <w:r>
        <w:t>针对 CT patch 实现 6 种退化，均支持 1-5 档强度参数化。输入输出保持 C×H×W 和 [0,1] 范围，兼容 NumPy 和 Tensor。</w:t>
      </w:r>
    </w:p>
    <w:p>
      <w:pPr>
        <w:pStyle w:val="Heading2"/>
      </w:pPr>
      <w:r>
        <w:t>成果 3.1　退化脚本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退化类型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参数说明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低对比度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缩放因子 0.90→0.30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以每通道均值为中心线性缩放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高斯噪声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σ = 0.01→0.10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逐像素加性高斯噪声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高斯模糊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核大小 3→9，σ=0.5→2.0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OpenCV GaussianBlur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窗宽窗位偏移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WW +100→+700；WL +25→+250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由原肺窗反归一化后重加窗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JPEG 压缩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质量因子 90→15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OpenCV JPEG 编解码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下采样再上采样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缩放比例 0.85→0.25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区域下采样 + 双线性上采样</w:t>
            </w:r>
          </w:p>
        </w:tc>
      </w:tr>
    </w:tbl>
    <w:p>
      <w:r>
        <w:t>脚本位置：src/degradation.py（含 DegradationTransform 和 MixedDegradationTransform 两个类）</w:t>
      </w:r>
    </w:p>
    <w:p>
      <w:pPr>
        <w:pStyle w:val="Heading2"/>
      </w:pPr>
      <w:r>
        <w:t>成果 3.2　参数配置</w:t>
      </w:r>
    </w:p>
    <w:p>
      <w:r>
        <w:t>配置位置：src/configs/degradation.yaml，定义了每种退化在 Level 1-5 下的具体参数值。</w:t>
      </w:r>
    </w:p>
    <w:p>
      <w:pPr>
        <w:pStyle w:val="Heading2"/>
      </w:pPr>
      <w:r>
        <w:t>成果 3.3　样本网格图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39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gradation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39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4　6 种退化类型 × N 个测试样本（Level 3）网格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退化脚本 → src/degradation.py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参数配置 → src/configs/degradation.yaml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样本网格图 → paper_figs/degradation_grid.png</w:t>
      </w:r>
    </w:p>
    <w:p>
      <w:r>
        <w:br w:type="page"/>
      </w:r>
    </w:p>
    <w:p>
      <w:pPr>
        <w:pStyle w:val="Heading1"/>
      </w:pPr>
      <w:r>
        <w:t>任务 4　退化鲁棒性评估</w:t>
      </w:r>
    </w:p>
    <w:p>
      <w:r>
        <w:t>对 4 种方法分别在 5 档退化强度下测试 AUC / F1。每种方法从 seed 0/1/2 中按验证 AUC 选取代表模型；F1 阈值在干净验证集选择一次后固定。</w:t>
      </w:r>
    </w:p>
    <w:p>
      <w:pPr>
        <w:pStyle w:val="Heading2"/>
      </w:pPr>
      <w:r>
        <w:t>成果 4.1　鲁棒性结果表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Level 0（干净）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Level 1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Level 3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Level 5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Level 5 F1 下降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ResNet18 基线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AUC=0.987 F1=0.897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AUC=0.988 F1=0.893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AUC=0.985 F1=0.863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AUC=0.955 F1=0.739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▼ 0.158</w:t>
            </w:r>
          </w:p>
        </w:tc>
      </w:tr>
      <w:tr>
        <w:tc>
          <w:tcPr>
            <w:tcW w:type="dxa" w:w="1440"/>
            <w:shd w:val="clear" w:color="auto" w:fill="D9E2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ResNet18 强增强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AUC=0.995 F1=0.914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AUC=0.995 F1=0.916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AUC=0.995 F1=0.912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AUC=0.974 F1=0.846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▼ 0.069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PBIP-Lite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AUC=0.995 F1=0.930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AUC=0.995 F1=0.928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AUC=0.995 F1=0.929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AUC=0.973 F1=0.865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▼ 0.065</w:t>
            </w:r>
          </w:p>
        </w:tc>
      </w:tr>
      <w:tr>
        <w:tc>
          <w:tcPr>
            <w:tcW w:type="dxa" w:w="1440"/>
            <w:shd w:val="clear" w:color="auto" w:fill="D9E2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PBIP-Contrast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AUC=0.995 F1=0.930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AUC=0.996 F1=0.929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AUC=0.995 F1=0.930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AUC=0.973 F1=0.868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▼ 0.062</w:t>
            </w:r>
          </w:p>
        </w:tc>
      </w:tr>
    </w:tbl>
    <w:p>
      <w:r>
        <w:t>完整明细：runs/robustness/robustness_detailed.csv</w:t>
      </w:r>
    </w:p>
    <w:p>
      <w:r>
        <w:t>汇总统计：runs/robustness/robustness_summary.csv</w:t>
      </w:r>
    </w:p>
    <w:p>
      <w:pPr>
        <w:pStyle w:val="Heading2"/>
      </w:pPr>
      <w:r>
        <w:t>成果 4.2　退化曲线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8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auc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5　退化强度 – AUC 下降曲线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81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f1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6　退化强度 – F1 下降曲线</w:t>
      </w:r>
    </w:p>
    <w:p>
      <w:r>
        <w:t>观察结果：PBIP 系列方法在 Level 5 严重退化下 F1 下降 0.062-0.065，小于无增强 ResNet18 的 0.158，也略小于强增强 ResNet18 的 0.069。该结果支持 PBIP 在当前 sampled-candidate 测试集上具有较好的退化稳定性，但不能据此单独证明原型融合是性能差异的唯一原因。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鲁棒性结果表 → runs/robustness/robustness_detailed.csv + robustness_summary.csv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退化曲线 → paper_figs/robustness_auc_curves.png + robustness_f1_curves.png</w:t>
      </w:r>
    </w:p>
    <w:p>
      <w:r>
        <w:br w:type="page"/>
      </w:r>
    </w:p>
    <w:p>
      <w:pPr>
        <w:pStyle w:val="Heading1"/>
      </w:pPr>
      <w:r>
        <w:t>任务 5　Robust-PBIP 训练</w:t>
      </w:r>
    </w:p>
    <w:p>
      <w:r>
        <w:t>在 PBIP-Lite 基础上，训练集按 35% 概率保留干净样本、65% 概率随机施加 1-4 档退化。验证集始终保持干净。训练 20 epoch，最佳权重按验证 AUC 保存。</w:t>
      </w:r>
    </w:p>
    <w:p>
      <w:pPr>
        <w:pStyle w:val="Heading2"/>
      </w:pPr>
      <w:r>
        <w:t>成果 5.1　最佳权重</w:t>
      </w:r>
    </w:p>
    <w:p>
      <w:r>
        <w:t>位置：runs/robust_pbip/seed_0/best_model.pth（最佳验证 AUC 出现在 Epoch 17，val_auc = 0.9928）</w:t>
      </w:r>
    </w:p>
    <w:p>
      <w:pPr>
        <w:pStyle w:val="Heading2"/>
      </w:pPr>
      <w:r>
        <w:t>成果 5.2　训练日志</w:t>
      </w:r>
    </w:p>
    <w:p>
      <w:r>
        <w:t>训练曲线 CSV：runs/robust_pbip/seed_0/training_curve.csv</w:t>
      </w:r>
    </w:p>
    <w:p>
      <w:r>
        <w:t>训练配置：runs/robust_pbip/seed_0/config.json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323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32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7　Robust-PBIP 训练曲线</w:t>
      </w:r>
    </w:p>
    <w:p>
      <w:pPr>
        <w:pStyle w:val="Heading2"/>
      </w:pPr>
      <w:r>
        <w:t>成果 5.3　结果表（干净 vs 退化对比）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AUC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PR-AUC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PBIP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干净测试集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0.9954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0.9883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0.9430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PBIP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退化 Level 3（六类均值）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0.9938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0.9858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0.9412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Robust-PBIP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干净测试集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0.9957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0.9873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0.8879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Robust-PBIP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退化 Level 3（六类均值）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0.9955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0.9868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0.8956</w:t>
            </w:r>
          </w:p>
        </w:tc>
      </w:tr>
    </w:tbl>
    <w:p>
      <w:r>
        <w:t>完整对比：runs/robust_pbip/seed_0/clean_degraded_comparison.csv</w:t>
      </w:r>
    </w:p>
    <w:p>
      <w:r>
        <w:t>结果解释：Robust-PBIP 的退化宏平均 AUC 从普通 PBIP 的 0.9938 提升到 0.9955，但在验证集固定阈值下，退化宏平均 F1 从 0.9412 降至 0.8956。因此本实验只能表述为排序指标 AUC 的鲁棒性改善；F1 与概率校准仍需进一步优化。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最佳权重 → runs/robust_pbip/seed_0/best_model.pth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训练日志 → runs/robust_pbip/seed_0/training_curve.csv + training_curves.png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结果表 → runs/robust_pbip/seed_0/clean_degraded_comparison.csv</w:t>
      </w:r>
    </w:p>
    <w:p>
      <w:r>
        <w:br w:type="page"/>
      </w:r>
    </w:p>
    <w:p>
      <w:pPr>
        <w:pStyle w:val="Heading1"/>
      </w:pPr>
      <w:r>
        <w:t>任务 6　Grad-CAM + 四类样本可视化</w:t>
      </w:r>
    </w:p>
    <w:p>
      <w:r>
        <w:t>为 ResNet18（强增强）和 PBIP-Contrast 分别实现了适配 3 通道 2.5D 输入的 Grad-CAM。目标层为 ResNet18 的 layer4 最后一个 BasicBlock。从测试集自动筛选 TP / FP / FN / TN 典型样本，每类最多 3 个。</w:t>
      </w:r>
    </w:p>
    <w:p>
      <w:pPr>
        <w:pStyle w:val="Heading2"/>
      </w:pPr>
      <w:r>
        <w:t>成果 6.1　Grad-CAM 代码</w:t>
      </w:r>
    </w:p>
    <w:p>
      <w:r>
        <w:t>位置：src/gradcam.py（含 GradCAM 类、自动四类样本筛选、热图叠加绘制功能）</w:t>
      </w:r>
    </w:p>
    <w:p>
      <w:pPr>
        <w:pStyle w:val="Heading2"/>
      </w:pPr>
      <w:r>
        <w:t>成果 6.2　热图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595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cam_resnet18_augmented_four_categor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5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8　ResNet18（强增强）TP/FP/FN/TN 四类 Grad-CAM 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595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cam_pbip_full_four_categor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5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9　PBIP-Contrast TP/FP/FN/TN 四类 Grad-CAM 热力图</w:t>
      </w:r>
    </w:p>
    <w:p>
      <w:pPr>
        <w:pStyle w:val="Heading2"/>
      </w:pPr>
      <w:r>
        <w:t>成果 6.3　典型样例筛选记录</w:t>
      </w:r>
    </w:p>
    <w:p>
      <w:r>
        <w:t>ResNet18 筛选了 11 个典型样本（TP 3、FP 3、FN 2、TN 3），PBIP 筛选了 12 个典型样本（TP 3、FP 3、FN 3、TN 3）。</w:t>
        <w:br/>
        <w:t>筛选记录：runs/gradcam/gradcam_samples.csv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Grad-CAM 代码 → src/gradcam.py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热图 → paper_figs/gradcam_resnet18_augmented_four_categories.png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热图 → paper_figs/gradcam_pbip_full_four_categories.png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典型样例图筛选记录 → runs/gradcam/gradcam_samples.csv</w:t>
      </w:r>
    </w:p>
    <w:p>
      <w:r>
        <w:br w:type="page"/>
      </w:r>
    </w:p>
    <w:p>
      <w:pPr>
        <w:pStyle w:val="Heading1"/>
      </w:pPr>
      <w:r>
        <w:t>任务 7　Top-3 相似病例检索</w:t>
      </w:r>
    </w:p>
    <w:p>
      <w:r>
        <w:t>基于 PBIP-Contrast 的 backbone 提取 512 维特征向量，为训练集（3553 条）和测试集（497 条）构建序列化检索索引。查询时排除同一 CT（seriesuid）的样本，使用余弦相似度排序返回 Top-3。</w:t>
      </w:r>
    </w:p>
    <w:p>
      <w:pPr>
        <w:pStyle w:val="Heading2"/>
      </w:pPr>
      <w:r>
        <w:t>成果 7.1　检索代码</w:t>
      </w:r>
    </w:p>
    <w:p>
      <w:r>
        <w:t>位置：src/retrieval.py（含特征索引构建、Top-K 余弦检索、可视化展示功能）</w:t>
      </w:r>
    </w:p>
    <w:p>
      <w:pPr>
        <w:pStyle w:val="Heading2"/>
      </w:pPr>
      <w:r>
        <w:t>成果 7.2　特征索引</w:t>
      </w:r>
    </w:p>
    <w:p>
      <w:r>
        <w:t>训练集索引：runs/retrieval/pbip_full_train_index.npz（3553 条 × 512 维）</w:t>
        <w:br/>
        <w:t>测试集索引：runs/retrieval/pbip_full_test_index.npz（497 条 × 512 维）</w:t>
        <w:br/>
        <w:t>索引清单：runs/retrieval/pbip_full_index_manifest.json</w:t>
      </w:r>
    </w:p>
    <w:p>
      <w:pPr>
        <w:pStyle w:val="Heading2"/>
      </w:pPr>
      <w:r>
        <w:t>成果 7.3　病例展示图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真实标签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余弦相似度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模型预测概率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Top-1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阳性（结节）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0.9995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≈1.0000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Top-2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阳性（结节）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0.9994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≈1.0000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Top-3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阳性（结节）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0.9994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≈1.0000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109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_top3_examp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10　Top-3 相似病例检索展示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检索代码 → src/retrieval.py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特征索引 → runs/retrieval/pbip_full_train_index.npz + test_index.npz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病例展示图 → paper_figs/retrieval_top3_example.png</w:t>
      </w:r>
    </w:p>
    <w:p>
      <w:r>
        <w:br w:type="page"/>
      </w:r>
    </w:p>
    <w:p>
      <w:pPr>
        <w:pStyle w:val="Heading1"/>
      </w:pPr>
      <w:r>
        <w:t>任务 8　LIDC-IDRI 外部验证可行性分析</w:t>
      </w:r>
    </w:p>
    <w:p>
      <w:r>
        <w:t>编写了独立的 LIDC-IDRI 数据处理脚本（src/lidc_external.py），使用 SimpleITK/GDCM 读取 DICOM、标准库解析 XML 标注，无需额外安装 pydicom。</w:t>
      </w:r>
    </w:p>
    <w:p>
      <w:pPr>
        <w:pStyle w:val="Heading2"/>
      </w:pPr>
      <w:r>
        <w:t>成果 8.1　可行性报告</w:t>
      </w:r>
    </w:p>
    <w:p>
      <w:r>
        <w:t>报告位置：runs/external_validation/feasibility_report.md</w:t>
        <w:br/>
        <w:br/>
        <w:t>当前状态：DATA_NOT_PRESENT（外部数据尚未下载）。</w:t>
        <w:br/>
        <w:t>全部代码逻辑已通过轻量单元测试验证。</w:t>
        <w:br/>
        <w:br/>
        <w:t>正式外部验证前检查清单：</w:t>
        <w:br/>
        <w:t>• 下载并校验完整 LIDC-IDRI DICOM 与 XML</w:t>
        <w:br/>
        <w:t>• 确认非重叠病例清单不含任何 LUNA16 series</w:t>
        <w:br/>
        <w:t>• 冻结阅片医师共识到二分类标签的规则</w:t>
        <w:br/>
        <w:t>• 生成不依赖测试标签的外部负候选</w:t>
        <w:br/>
        <w:t>• 冻结模型与阈值后一次性执行外部评估</w:t>
      </w:r>
    </w:p>
    <w:p>
      <w:pPr>
        <w:pStyle w:val="Heading2"/>
      </w:pPr>
      <w:r>
        <w:t>成果 8.2　非重叠病例清单</w:t>
      </w:r>
    </w:p>
    <w:p>
      <w:r>
        <w:t>去重统计：runs/external_validation/deduplication_stats.json</w:t>
        <w:br/>
        <w:t>（LUNA16 共 888 个 seriesuid 用于精确匹配去重）</w:t>
        <w:br/>
        <w:t>非重叠病例清单：runs/external_validation/non_overlap_cases.csv</w:t>
        <w:br/>
        <w:t>由于当前未提供 LIDC-IDRI 数据，DICOM series、XML 和非重叠病例数均为 0；该 CSV 目前仅为结构化空清单，不能作为已完成真实去重的证据。</w:t>
      </w:r>
    </w:p>
    <w:p>
      <w:pPr>
        <w:pStyle w:val="Heading2"/>
      </w:pPr>
      <w:r>
        <w:t>成果 8.3　处理记录</w:t>
      </w:r>
    </w:p>
    <w:p>
      <w:r>
        <w:t>DICOM/XML 处理日志：</w:t>
        <w:br/>
        <w:t>• runs/external_validation/xml_processing_log.csv</w:t>
        <w:br/>
        <w:t>• runs/external_validation/patch_processing_log.csv</w:t>
        <w:br/>
        <w:t>• runs/external_validation/lidc_case_inventory.csv</w:t>
        <w:br/>
        <w:t>• runs/external_validation/lidc_annotations.csv</w:t>
        <w:br/>
        <w:t>当前 patch_processing_log.csv 状态为 NOT_RUN；脚本、坐标逻辑和 XML 解析测试已完成，真实外部 patch 提取需在数据下载后执行。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可行性报告 → runs/external_validation/feasibility_report.md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非重叠病例清单 → runs/external_validation/non_overlap_cases.csv</w:t>
      </w:r>
    </w:p>
    <w:p>
      <w:r>
        <w:rPr>
          <w:b/>
          <w:color w:val="008000"/>
          <w:sz w:val="20"/>
        </w:rPr>
        <w:t xml:space="preserve">✔  </w:t>
      </w:r>
      <w:r>
        <w:rPr>
          <w:sz w:val="20"/>
        </w:rPr>
        <w:t>处理记录 → runs/external_validation/xml_processing_log.csv 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