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F3864"/>
          <w:sz w:val="34"/>
          <w:szCs w:val="34"/>
        </w:rPr>
        <w:t xml:space="preserve">EdgeGuard: Real-Time Edge-AI Vision for Construction Site Safety</w:t>
      </w:r>
    </w:p>
    <w:p>
      <w:pPr>
        <w:spacing w:after="300"/>
        <w:jc w:val="center"/>
      </w:pPr>
      <w:r>
        <w:rPr>
          <w:rFonts w:ascii="Calibri" w:cs="Calibri" w:eastAsia="Calibri" w:hAnsi="Calibri"/>
          <w:b w:val="false"/>
          <w:bCs w:val="false"/>
          <w:i/>
          <w:iCs/>
          <w:color w:val="444444"/>
          <w:sz w:val="26"/>
          <w:szCs w:val="26"/>
        </w:rPr>
        <w:t xml:space="preserve">Phase 1: PPE Compliance Detection using YOLOv26n and a Fine-Tuned Vision Transformer</w:t>
      </w:r>
    </w:p>
    <w:p>
      <w:pPr>
        <w:pStyle w:val="Heading2"/>
        <w:spacing w:after="140" w:before="260"/>
      </w:pPr>
      <w:r>
        <w:rPr>
          <w:rFonts w:ascii="Calibri" w:cs="Calibri" w:eastAsia="Calibri" w:hAnsi="Calibri"/>
          <w:b/>
          <w:bCs/>
          <w:color w:val="2E5395"/>
          <w:sz w:val="26"/>
          <w:szCs w:val="26"/>
        </w:rPr>
        <w:t xml:space="preserve">Abstract</w:t>
      </w:r>
    </w:p>
    <w:p>
      <w:pPr>
        <w:spacing w:after="160"/>
        <w:jc w:val="both"/>
      </w:pPr>
      <w:r>
        <w:rPr>
          <w:rFonts w:ascii="Calibri" w:cs="Calibri" w:eastAsia="Calibri" w:hAnsi="Calibri"/>
          <w:b w:val="false"/>
          <w:bCs w:val="false"/>
          <w:i w:val="false"/>
          <w:iCs w:val="false"/>
          <w:sz w:val="22"/>
          <w:szCs w:val="22"/>
        </w:rPr>
        <w:t xml:space="preserve">Construction sites carry elevated risk of injury from missing personal protective equipment (PPE), worker falls, and falling objects. This paper presents the first phase of EdgeGuard, an edge-deployable computer vision system for real-time construction site safety monitoring. This phase addresses automated PPE compliance detection - specifically the presence or absence of a helmet, hi-visibility vest, gloves, boots, and face mask on each worker in view - using a two-stage pipeline: a fine-tuned YOLOv26n model performs person detection and multi-object tracking, and a fine-tuned Vision Transformer (ViT-Base) classifies PPE presence on each tracked worker's image crop as a multi-label problem. Both models are trained on a merged dataset built from two public sources (a Roboflow Construction-PPE dataset and the SH17 dataset), unified into a shared 6-class detection schema and a 5-label classification schema respectively. We report per-class detection metrics for the YOLOv26n detector (overall mAP50 = 0.72) and per-label classification metrics for the ViT classifier, and document a concrete failure mode uncovered during development: a severe class imbalance in the training data for the "mask" label produced a classifier with perfect precision but only 0.35 recall for that label. We address this with a per-label class-weighted loss term and targeted data augmentation, raising the mask label's F1 score from 0.522 to 0.800 (macro-averaged F1 across all five labels improving from 0.821 to 0.866), while documenting and partially correcting a secondary regression this introduced in helmet detection accuracy. The system is designed for edge deployment: both models run locally without a cloud dependency, and the pipeline includes CPU-only fallback paths (an OpenCV HOG detector and a colour/geometry heuristic classifier) for environments without a compatible GPU or the required deep learning libraries installed. Worker fall detection and falling-object detection, present in the system's design but not yet backed by trained models, are discussed as the subject of a planned second phase.</w:t>
      </w:r>
    </w:p>
    <w:p>
      <w:pPr>
        <w:spacing w:after="300"/>
      </w:pPr>
      <w:r>
        <w:rPr>
          <w:rFonts w:ascii="Calibri" w:cs="Calibri" w:eastAsia="Calibri" w:hAnsi="Calibri"/>
          <w:b/>
          <w:bCs/>
          <w:sz w:val="22"/>
          <w:szCs w:val="22"/>
        </w:rPr>
        <w:t xml:space="preserve">Keywords: </w:t>
      </w:r>
      <w:r>
        <w:rPr>
          <w:rFonts w:ascii="Calibri" w:cs="Calibri" w:eastAsia="Calibri" w:hAnsi="Calibri"/>
          <w:i/>
          <w:iCs/>
          <w:sz w:val="22"/>
          <w:szCs w:val="22"/>
        </w:rPr>
        <w:t xml:space="preserve">construction safety, PPE detection, edge computing, YOLO, Vision Transformer, class imbalance, multi-label classification</w:t>
      </w:r>
    </w:p>
    <w:p>
      <w:pPr>
        <w:pStyle w:val="Heading1"/>
        <w:spacing w:after="200" w:before="360"/>
      </w:pPr>
      <w:r>
        <w:rPr>
          <w:rFonts w:ascii="Calibri" w:cs="Calibri" w:eastAsia="Calibri" w:hAnsi="Calibri"/>
          <w:b/>
          <w:bCs/>
          <w:color w:val="1F3864"/>
          <w:sz w:val="30"/>
          <w:szCs w:val="30"/>
        </w:rPr>
        <w:t xml:space="preserve">1. Introduction</w:t>
      </w:r>
    </w:p>
    <w:p>
      <w:pPr>
        <w:spacing w:after="160"/>
        <w:jc w:val="both"/>
      </w:pPr>
      <w:r>
        <w:rPr>
          <w:rFonts w:ascii="Calibri" w:cs="Calibri" w:eastAsia="Calibri" w:hAnsi="Calibri"/>
          <w:b w:val="false"/>
          <w:bCs w:val="false"/>
          <w:i w:val="false"/>
          <w:iCs w:val="false"/>
          <w:sz w:val="22"/>
          <w:szCs w:val="22"/>
        </w:rPr>
        <w:t xml:space="preserve">Non-compliance with personal protective equipment (PPE) requirements remains one of the leading contributing factors in construction site injuries and fatalities worldwide. Manual compliance monitoring by site supervisors is labour-intensive, intermittent, and does not scale to sites with large workforces or multiple simultaneous work areas. Automated, camera-based monitoring offers a scalable alternative, but deploying such systems in practice raises two distinct engineering problems beyond model accuracy alone: (1) the system must run where the cameras are, often without reliable connectivity to a cloud inference service, and (2) the underlying models must be trained on data that realistically reflects site conditions, which is rarely available in the quantity a single public dataset provides.</w:t>
      </w:r>
    </w:p>
    <w:p>
      <w:pPr>
        <w:spacing w:after="160"/>
        <w:jc w:val="both"/>
      </w:pPr>
      <w:r>
        <w:rPr>
          <w:rFonts w:ascii="Calibri" w:cs="Calibri" w:eastAsia="Calibri" w:hAnsi="Calibri"/>
          <w:b w:val="false"/>
          <w:bCs w:val="false"/>
          <w:i w:val="false"/>
          <w:iCs w:val="false"/>
          <w:sz w:val="22"/>
          <w:szCs w:val="22"/>
        </w:rPr>
        <w:t xml:space="preserve">This paper describes the first phase of EdgeGuard, a system designed around both constraints. Architecturally, EdgeGuard runs its full inference pipeline - person detection, tracking, and per-worker PPE classification - locally on the deployment device, rather than streaming video to a remote service. This is an edge-computing design in the literal sense: inference happens at the edge of the network, close to the camera, reducing latency and removing a hard dependency on internet connectivity. The system further degrades gracefully in the absence of GPU acceleration or even the deep-learning libraries themselves, falling back to classical computer vision techniques (a HOG-based person detector and a colour/geometry-based PPE heuristic) so that a partial system remains operational on constrained hardware.</w:t>
      </w:r>
    </w:p>
    <w:p>
      <w:pPr>
        <w:spacing w:after="160"/>
        <w:jc w:val="both"/>
      </w:pPr>
      <w:r>
        <w:rPr>
          <w:rFonts w:ascii="Calibri" w:cs="Calibri" w:eastAsia="Calibri" w:hAnsi="Calibri"/>
          <w:b w:val="false"/>
          <w:bCs w:val="false"/>
          <w:i w:val="false"/>
          <w:iCs w:val="false"/>
          <w:sz w:val="22"/>
          <w:szCs w:val="22"/>
        </w:rPr>
        <w:t xml:space="preserve">On the data side, this phase combines two public PPE-annotated datasets into unified training sets for both the detection and classification models, and documents a real class-imbalance failure this combination produced for the least-represented PPE item (face masks), along with the concrete fix applied and its measured effect and side-effects. We view this as a useful contribution in its own right: multi-label PPE classifiers trained on merged, heterogeneous public datasets are likely to exhibit label-specific imbalance that a single aggregate accuracy or F1 score will not surface, and we report per-label metrics throughout for exactly this reason.</w:t>
      </w:r>
    </w:p>
    <w:p>
      <w:pPr>
        <w:spacing w:after="160"/>
        <w:jc w:val="both"/>
      </w:pPr>
      <w:r>
        <w:rPr>
          <w:rFonts w:ascii="Calibri" w:cs="Calibri" w:eastAsia="Calibri" w:hAnsi="Calibri"/>
          <w:b w:val="false"/>
          <w:bCs w:val="false"/>
          <w:i w:val="false"/>
          <w:iCs w:val="false"/>
          <w:sz w:val="22"/>
          <w:szCs w:val="22"/>
        </w:rPr>
        <w:t xml:space="preserve">The remainder of this paper is organised as follows. Section 2 reviews related work in PPE detection and edge-deployed vision transformers. Section 3 describes the system architecture and dataset construction. Section 4 presents the training procedure for both models, including the class-imbalance correction. Section 5 reports experimental results. Section 6 discusses limitations and outlines the planned second phase (fall and falling-object detection). Section 7 concludes.</w:t>
      </w:r>
    </w:p>
    <w:p>
      <w:pPr>
        <w:pStyle w:val="Heading1"/>
        <w:spacing w:after="200" w:before="360"/>
      </w:pPr>
      <w:r>
        <w:rPr>
          <w:rFonts w:ascii="Calibri" w:cs="Calibri" w:eastAsia="Calibri" w:hAnsi="Calibri"/>
          <w:b/>
          <w:bCs/>
          <w:color w:val="1F3864"/>
          <w:sz w:val="30"/>
          <w:szCs w:val="30"/>
        </w:rPr>
        <w:t xml:space="preserve">2. Related Work</w:t>
      </w:r>
    </w:p>
    <w:p>
      <w:pPr>
        <w:spacing w:after="160"/>
        <w:jc w:val="both"/>
      </w:pPr>
      <w:r>
        <w:rPr>
          <w:rFonts w:ascii="Calibri" w:cs="Calibri" w:eastAsia="Calibri" w:hAnsi="Calibri"/>
          <w:b w:val="false"/>
          <w:bCs w:val="false"/>
          <w:i w:val="false"/>
          <w:iCs w:val="false"/>
          <w:sz w:val="22"/>
          <w:szCs w:val="22"/>
        </w:rPr>
        <w:t xml:space="preserve">Object detection architectures in the YOLO family have been widely adopted for PPE detection tasks due to their favourable accuracy-speed trade-off for real-time video applications [1]. Recent releases in this family have introduced attention-based architectural components intended to improve accuracy; however, Ultralytics' own release documentation for YOLOv12 notes that these attention-centric blocks trade some inference throughput and training stability, particularly on non-CUDA accelerators, for accuracy gains that are most pronounced at larger model scales - a trade-off this work encountered directly and discusses in Section 4.1.</w:t>
      </w:r>
    </w:p>
    <w:p>
      <w:pPr>
        <w:spacing w:after="160"/>
        <w:jc w:val="both"/>
      </w:pPr>
      <w:r>
        <w:rPr>
          <w:rFonts w:ascii="Calibri" w:cs="Calibri" w:eastAsia="Calibri" w:hAnsi="Calibri"/>
          <w:b w:val="false"/>
          <w:bCs w:val="false"/>
          <w:i w:val="false"/>
          <w:iCs w:val="false"/>
          <w:sz w:val="22"/>
          <w:szCs w:val="22"/>
        </w:rPr>
        <w:t xml:space="preserve">Vision Transformers (ViT) [2] have been shown to transfer effectively to downstream image classification tasks via fine-tuning of an ImageNet-pretrained backbone, and are used here as a per-worker multi-label classifier operating on a cropped detection region rather than as a detector in their own right. Multi-object tracking is handled via ByteTrack [3], associating detections across frames by both high- and low-confidence detection boxes, as shipped with the Ultralytics detection framework used for the person detector in this work.</w:t>
      </w:r>
    </w:p>
    <w:p>
      <w:pPr>
        <w:spacing w:after="160"/>
        <w:jc w:val="both"/>
      </w:pPr>
      <w:r>
        <w:rPr>
          <w:rFonts w:ascii="Calibri" w:cs="Calibri" w:eastAsia="Calibri" w:hAnsi="Calibri"/>
          <w:b w:val="false"/>
          <w:bCs w:val="false"/>
          <w:i w:val="false"/>
          <w:iCs w:val="false"/>
          <w:sz w:val="22"/>
          <w:szCs w:val="22"/>
        </w:rPr>
        <w:t xml:space="preserve">Prior PPE-detection work has generally trained and evaluated on a single source dataset. This work instead merges two independently-collected public datasets - a Roboflow Construction-PPE dataset and the SH17 dataset [4] - into unified detection and classification schemas, a practical necessity when no single available dataset covers every PPE item of interest, but one that introduces cross-dataset label-coverage and class-balance issues not present when training on one homogeneous source; Section 4 documents how this was handled.</w:t>
      </w:r>
    </w:p>
    <w:p>
      <w:pPr>
        <w:pStyle w:val="Heading1"/>
        <w:spacing w:after="200" w:before="360"/>
      </w:pPr>
      <w:r>
        <w:rPr>
          <w:rFonts w:ascii="Calibri" w:cs="Calibri" w:eastAsia="Calibri" w:hAnsi="Calibri"/>
          <w:b/>
          <w:bCs/>
          <w:color w:val="1F3864"/>
          <w:sz w:val="30"/>
          <w:szCs w:val="30"/>
        </w:rPr>
        <w:t xml:space="preserve">3. System Architecture and Dataset Construction</w:t>
      </w:r>
    </w:p>
    <w:p>
      <w:pPr>
        <w:pStyle w:val="Heading2"/>
        <w:spacing w:after="140" w:before="260"/>
      </w:pPr>
      <w:r>
        <w:rPr>
          <w:rFonts w:ascii="Calibri" w:cs="Calibri" w:eastAsia="Calibri" w:hAnsi="Calibri"/>
          <w:b/>
          <w:bCs/>
          <w:color w:val="2E5395"/>
          <w:sz w:val="26"/>
          <w:szCs w:val="26"/>
        </w:rPr>
        <w:t xml:space="preserve">3.1 Pipeline Overview</w:t>
      </w:r>
    </w:p>
    <w:p>
      <w:pPr>
        <w:spacing w:after="160"/>
        <w:jc w:val="both"/>
      </w:pPr>
      <w:r>
        <w:rPr>
          <w:rFonts w:ascii="Calibri" w:cs="Calibri" w:eastAsia="Calibri" w:hAnsi="Calibri"/>
          <w:b w:val="false"/>
          <w:bCs w:val="false"/>
          <w:i w:val="false"/>
          <w:iCs w:val="false"/>
          <w:sz w:val="22"/>
          <w:szCs w:val="22"/>
        </w:rPr>
        <w:t xml:space="preserve">EdgeGuard's PPE-monitoring pipeline operates in two stages per video frame. First, a fine-tuned YOLOv26n model detects and tracks people (and, architecturally, is trained with additional PPE-item classes as detailed below) using an integrated ByteTrack tracker, assigning a persistent identity to each worker across frames. Second, for each tracked worker, the corresponding image region is cropped from the frame and passed to a separately fine-tuned Vision Transformer, which produces five independent sigmoid outputs - one per PPE item (helmet, vest, gloves, boots, mask) - each thresholded at 0.5 by default to a present/absent decision. A worker is flagged as non-compliant if any of the site's designated mandatory PPE items are predicted absent.</w:t>
      </w:r>
    </w:p>
    <w:p>
      <w:pPr>
        <w:spacing w:after="160"/>
        <w:jc w:val="both"/>
      </w:pPr>
      <w:r>
        <w:rPr>
          <w:rFonts w:ascii="Calibri" w:cs="Calibri" w:eastAsia="Calibri" w:hAnsi="Calibri"/>
          <w:b w:val="false"/>
          <w:bCs w:val="false"/>
          <w:i w:val="false"/>
          <w:iCs w:val="false"/>
          <w:sz w:val="22"/>
          <w:szCs w:val="22"/>
        </w:rPr>
        <w:t xml:space="preserve">This two-stage design deliberately separates "where is a person, and what class of object is this" (a detection problem, well-suited to YOLO's box-regression formulation) from "what is present on this specific worker's body" (a per-instance multi-label classification problem, for which a transformer operating on a normalised crop is a natural fit). We also maintain the PPE classifier and a worker-state (fallen / not fallen) classifier as two separate model checkpoints rather than one shared model: PPE presence depends on colour and local texture cues, while fall state depends on overall body pose and aspect ratio - visually different enough tasks that a shared model risks one dragging down the other's accuracy, and separating them lets each be diagnosed and retrained independently.</w:t>
      </w:r>
    </w:p>
    <w:p>
      <w:pPr>
        <w:pStyle w:val="Heading2"/>
        <w:spacing w:after="140" w:before="260"/>
      </w:pPr>
      <w:r>
        <w:rPr>
          <w:rFonts w:ascii="Calibri" w:cs="Calibri" w:eastAsia="Calibri" w:hAnsi="Calibri"/>
          <w:b/>
          <w:bCs/>
          <w:color w:val="2E5395"/>
          <w:sz w:val="26"/>
          <w:szCs w:val="26"/>
        </w:rPr>
        <w:t xml:space="preserve">3.2 Edge Deployment Design</w:t>
      </w:r>
    </w:p>
    <w:p>
      <w:pPr>
        <w:spacing w:after="160"/>
        <w:jc w:val="both"/>
      </w:pPr>
      <w:r>
        <w:rPr>
          <w:rFonts w:ascii="Calibri" w:cs="Calibri" w:eastAsia="Calibri" w:hAnsi="Calibri"/>
          <w:b w:val="false"/>
          <w:bCs w:val="false"/>
          <w:i w:val="false"/>
          <w:iCs w:val="false"/>
          <w:sz w:val="22"/>
          <w:szCs w:val="22"/>
        </w:rPr>
        <w:t xml:space="preserve">Both models load through a device-selection routine that prefers a CUDA GPU, then an Intel XPU (Level-Zero/oneAPI) device where available, and falls back to CPU otherwise, so the same code path runs unmodified across the range of hardware likely to be found at a deployment site or in a development environment. Where the required deep-learning libraries (PyTorch, Ultralytics, Transformers) are not installed at all, or a fine-tuned checkpoint has not yet been produced, the system falls back respectively to an OpenCV HOG person detector and a colour- and geometry-based heuristic PPE classifier, so that a reduced-functionality system remains operational rather than failing outright. This fallback behaviour, together with local-only inference, is what we mean concretely by an "edge-ready" design: the system is not merely capable of running outside a datacentre, it is engineered to continue operating, in a degraded but non-zero capacity, on hardware that does not match its primary target configuration.</w:t>
      </w:r>
    </w:p>
    <w:p>
      <w:pPr>
        <w:pStyle w:val="Heading2"/>
        <w:spacing w:after="140" w:before="260"/>
      </w:pPr>
      <w:r>
        <w:rPr>
          <w:rFonts w:ascii="Calibri" w:cs="Calibri" w:eastAsia="Calibri" w:hAnsi="Calibri"/>
          <w:b/>
          <w:bCs/>
          <w:color w:val="2E5395"/>
          <w:sz w:val="26"/>
          <w:szCs w:val="26"/>
        </w:rPr>
        <w:t xml:space="preserve">3.3 Dataset Construction</w:t>
      </w:r>
    </w:p>
    <w:p>
      <w:pPr>
        <w:spacing w:after="160"/>
        <w:jc w:val="both"/>
      </w:pPr>
      <w:r>
        <w:rPr>
          <w:rFonts w:ascii="Calibri" w:cs="Calibri" w:eastAsia="Calibri" w:hAnsi="Calibri"/>
          <w:b w:val="false"/>
          <w:bCs w:val="false"/>
          <w:i w:val="false"/>
          <w:iCs w:val="false"/>
          <w:sz w:val="22"/>
          <w:szCs w:val="22"/>
        </w:rPr>
        <w:t xml:space="preserve">No single public dataset available to this project annotated all five target PPE items with sufficient examples of each. We therefore merged two sources: a Roboflow-distributed Construction-PPE dataset (helmet, gloves, vest, boots, person, plus "absence" classes not used here) and the SH17 dataset (which additionally covers face masks, among other classes not relevant to this task). Two independent conversion pipelines were built for the two model types:</w:t>
      </w:r>
    </w:p>
    <w:p>
      <w:pPr>
        <w:pStyle w:val="ListParagraph"/>
        <w:numPr>
          <w:ilvl w:val="0"/>
          <w:numId w:val="2"/>
        </w:numPr>
        <w:spacing w:after="100"/>
      </w:pPr>
      <w:r>
        <w:rPr>
          <w:rFonts w:ascii="Calibri" w:cs="Calibri" w:eastAsia="Calibri" w:hAnsi="Calibri"/>
          <w:sz w:val="22"/>
          <w:szCs w:val="22"/>
        </w:rPr>
        <w:t xml:space="preserve">Detection dataset (for YOLOv26n): each source dataset's class names were remapped into one shared six-class schema (person, helmet, vest, gloves, boots, mask); classes with no equivalent in the target schema (e.g. goggles, generic "absence" classes, or unrelated SH17 classes such as tools) were dropped rather than guessed. Images exceeding 1280px on the long side were downscaled to keep the merged dataset a practical size, since bounding-box coordinates are stored normalised and are unaffected by this resize.</w:t>
      </w:r>
    </w:p>
    <w:p>
      <w:pPr>
        <w:pStyle w:val="ListParagraph"/>
        <w:numPr>
          <w:ilvl w:val="0"/>
          <w:numId w:val="2"/>
        </w:numPr>
        <w:spacing w:after="100"/>
      </w:pPr>
      <w:r>
        <w:rPr>
          <w:rFonts w:ascii="Calibri" w:cs="Calibri" w:eastAsia="Calibri" w:hAnsi="Calibri"/>
          <w:sz w:val="22"/>
          <w:szCs w:val="22"/>
        </w:rPr>
        <w:t xml:space="preserve">Classification dataset (for the ViT classifier): for each annotated person box, an image crop was produced, and each of the five PPE-item labels for that crop was set to present, absent, or left blank if the source dataset that particular image came from does not annotate that item at all (the Construction-PPE source, for example, has no mask class). Blank labels are excluded from the loss and from evaluation metrics for that specific label and row, rather than being treated as a negative example - a distinction the training and evaluation code enforces throughout via an explicit label mask, so that a source dataset's lack of coverage for one item never teaches the model to guess that item is always absent.</w:t>
      </w:r>
    </w:p>
    <w:p>
      <w:pPr>
        <w:spacing w:after="160"/>
        <w:jc w:val="both"/>
      </w:pPr>
      <w:r>
        <w:rPr>
          <w:rFonts w:ascii="Calibri" w:cs="Calibri" w:eastAsia="Calibri" w:hAnsi="Calibri"/>
          <w:b w:val="false"/>
          <w:bCs w:val="false"/>
          <w:i w:val="false"/>
          <w:iCs w:val="false"/>
          <w:sz w:val="22"/>
          <w:szCs w:val="22"/>
        </w:rPr>
        <w:t xml:space="preserve">The resulting merged datasets are summarised in Table 1.</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600"/>
        <w:gridCol w:w="1400"/>
        <w:gridCol w:w="1400"/>
      </w:tblGrid>
      <w:tr>
        <w:trPr>
          <w:tblHeader/>
        </w:trPr>
        <w:tc>
          <w:tcPr>
            <w:tcW w:type="dxa" w:w="26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Dataset</w:t>
            </w:r>
          </w:p>
        </w:tc>
        <w:tc>
          <w:tcPr>
            <w:tcW w:type="dxa" w:w="32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Purpose</w:t>
            </w:r>
          </w:p>
        </w:tc>
        <w:tc>
          <w:tcPr>
            <w:tcW w:type="dxa" w:w="16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Total images</w:t>
            </w:r>
          </w:p>
        </w:tc>
        <w:tc>
          <w:tcPr>
            <w:tcW w:type="dxa" w:w="14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Train</w:t>
            </w:r>
          </w:p>
        </w:tc>
        <w:tc>
          <w:tcPr>
            <w:tcW w:type="dxa" w:w="14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Validation</w:t>
            </w:r>
          </w:p>
        </w:tc>
      </w:tr>
      <w:tr>
        <w:tc>
          <w:tcPr>
            <w:tcW w:type="dxa" w:w="26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Merged detection set</w:t>
            </w:r>
          </w:p>
        </w:tc>
        <w:tc>
          <w:tcPr>
            <w:tcW w:type="dxa" w:w="32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Person + PPE-item box detection (YOLOv26n)</w:t>
            </w:r>
          </w:p>
        </w:tc>
        <w:tc>
          <w:tcPr>
            <w:tcW w:type="dxa" w:w="16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9,515</w:t>
            </w:r>
          </w:p>
        </w:tc>
        <w:tc>
          <w:tcPr>
            <w:tcW w:type="dxa" w:w="14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7,611</w:t>
            </w:r>
          </w:p>
        </w:tc>
        <w:tc>
          <w:tcPr>
            <w:tcW w:type="dxa" w:w="14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1,904</w:t>
            </w:r>
          </w:p>
        </w:tc>
      </w:tr>
      <w:tr>
        <w:tc>
          <w:tcPr>
            <w:tcW w:type="dxa" w:w="26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Merged classification set</w:t>
            </w:r>
          </w:p>
        </w:tc>
        <w:tc>
          <w:tcPr>
            <w:tcW w:type="dxa" w:w="32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Per-worker PPE-item presence (ViT)</w:t>
            </w:r>
          </w:p>
        </w:tc>
        <w:tc>
          <w:tcPr>
            <w:tcW w:type="dxa" w:w="16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16,025</w:t>
            </w:r>
          </w:p>
        </w:tc>
        <w:tc>
          <w:tcPr>
            <w:tcW w:type="dxa" w:w="14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13,622</w:t>
            </w:r>
          </w:p>
        </w:tc>
        <w:tc>
          <w:tcPr>
            <w:tcW w:type="dxa" w:w="14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2,403</w:t>
            </w:r>
          </w:p>
        </w:tc>
      </w:tr>
    </w:tbl>
    <w:p>
      <w:pPr>
        <w:spacing w:after="260" w:before="60"/>
        <w:jc w:val="center"/>
      </w:pPr>
      <w:r>
        <w:rPr>
          <w:rFonts w:ascii="Calibri" w:cs="Calibri" w:eastAsia="Calibri" w:hAnsi="Calibri"/>
          <w:i/>
          <w:iCs/>
          <w:color w:val="444444"/>
          <w:sz w:val="20"/>
          <w:szCs w:val="20"/>
        </w:rPr>
        <w:t xml:space="preserve">Table 1. Size of the merged training and validation sets for each model.</w:t>
      </w:r>
    </w:p>
    <w:p>
      <w:pPr>
        <w:pStyle w:val="Heading1"/>
        <w:spacing w:after="200" w:before="360"/>
      </w:pPr>
      <w:r>
        <w:rPr>
          <w:rFonts w:ascii="Calibri" w:cs="Calibri" w:eastAsia="Calibri" w:hAnsi="Calibri"/>
          <w:b/>
          <w:bCs/>
          <w:color w:val="1F3864"/>
          <w:sz w:val="30"/>
          <w:szCs w:val="30"/>
        </w:rPr>
        <w:t xml:space="preserve">4. Training Procedure</w:t>
      </w:r>
    </w:p>
    <w:p>
      <w:pPr>
        <w:pStyle w:val="Heading2"/>
        <w:spacing w:after="140" w:before="260"/>
      </w:pPr>
      <w:r>
        <w:rPr>
          <w:rFonts w:ascii="Calibri" w:cs="Calibri" w:eastAsia="Calibri" w:hAnsi="Calibri"/>
          <w:b/>
          <w:bCs/>
          <w:color w:val="2E5395"/>
          <w:sz w:val="26"/>
          <w:szCs w:val="26"/>
        </w:rPr>
        <w:t xml:space="preserve">4.1 YOLOv26n Person and PPE-Item Detector</w:t>
      </w:r>
    </w:p>
    <w:p>
      <w:pPr>
        <w:spacing w:after="160"/>
        <w:jc w:val="both"/>
      </w:pPr>
      <w:r>
        <w:rPr>
          <w:rFonts w:ascii="Calibri" w:cs="Calibri" w:eastAsia="Calibri" w:hAnsi="Calibri"/>
          <w:b w:val="false"/>
          <w:bCs w:val="false"/>
          <w:i w:val="false"/>
          <w:iCs w:val="false"/>
          <w:sz w:val="22"/>
          <w:szCs w:val="22"/>
        </w:rPr>
        <w:t xml:space="preserve">The detector was fine-tuned from COCO-pretrained YOLOv26n weights at 640×640 input resolution with a batch size of 32. YOLOv26n was selected in preference to YOLOv12n, an alternative nano-scale model in the same family, for two concrete reasons observed during this work rather than architectural preference alone. First, Ultralytics' own documentation for YOLOv12 notes that its attention-centric blocks trade CPU throughput and training stability for accuracy gains that are less pronounced at nano scale, relative to YOLOv11 or YOLOv26. Second, this was directly confirmed empirically: an attempt to train YOLOv12n on this project's development hardware (an Intel Arc GPU via the XPU/Level-Zero backend) produced a reproducible driver-level crash (a device-lost error) during the training step's target-assignment computation, on the very first training batch, across repeated attempts and configuration changes (disabling mixed precision, disabling validation). YOLOv26n, trained under identical data and hyperparameters, produced no such instability, training to completion without incident.</w:t>
      </w:r>
    </w:p>
    <w:p>
      <w:pPr>
        <w:spacing w:after="160"/>
        <w:jc w:val="both"/>
      </w:pPr>
      <w:r>
        <w:rPr>
          <w:rFonts w:ascii="Calibri" w:cs="Calibri" w:eastAsia="Calibri" w:hAnsi="Calibri"/>
          <w:b w:val="false"/>
          <w:bCs w:val="false"/>
          <w:i w:val="false"/>
          <w:iCs w:val="false"/>
          <w:sz w:val="22"/>
          <w:szCs w:val="22"/>
        </w:rPr>
        <w:t xml:space="preserve">Training used early stopping with a patience of 20 epochs (no improvement in validation performance), reaching its best checkpoint at epoch 72 out of a maximum of 100, with training halted at epoch 92 once the patience criterion was met.</w:t>
      </w:r>
    </w:p>
    <w:p>
      <w:pPr>
        <w:pStyle w:val="Heading2"/>
        <w:spacing w:after="140" w:before="260"/>
      </w:pPr>
      <w:r>
        <w:rPr>
          <w:rFonts w:ascii="Calibri" w:cs="Calibri" w:eastAsia="Calibri" w:hAnsi="Calibri"/>
          <w:b/>
          <w:bCs/>
          <w:color w:val="2E5395"/>
          <w:sz w:val="26"/>
          <w:szCs w:val="26"/>
        </w:rPr>
        <w:t xml:space="preserve">4.2 ViT PPE Classifier</w:t>
      </w:r>
    </w:p>
    <w:p>
      <w:pPr>
        <w:spacing w:after="160"/>
        <w:jc w:val="both"/>
      </w:pPr>
      <w:r>
        <w:rPr>
          <w:rFonts w:ascii="Calibri" w:cs="Calibri" w:eastAsia="Calibri" w:hAnsi="Calibri"/>
          <w:b w:val="false"/>
          <w:bCs w:val="false"/>
          <w:i w:val="false"/>
          <w:iCs w:val="false"/>
          <w:sz w:val="22"/>
          <w:szCs w:val="22"/>
        </w:rPr>
        <w:t xml:space="preserve">The classifier was initialised from the google/vit-base-patch16-224-in21k checkpoint and fine-tuned with a five-unit sigmoid output head (multi-label classification), using AdamW (learning rate 3×10⁻⁵) and a batch size of 64. The loss function is a per-element binary cross-entropy, masked per the blank-label convention described in Section 3.3, so that unlabelled items for a given row contribute zero loss and zero gradient rather than being treated as confirmed negatives.</w:t>
      </w:r>
    </w:p>
    <w:p>
      <w:pPr>
        <w:pStyle w:val="Heading2"/>
        <w:spacing w:after="140" w:before="260"/>
      </w:pPr>
      <w:r>
        <w:rPr>
          <w:rFonts w:ascii="Calibri" w:cs="Calibri" w:eastAsia="Calibri" w:hAnsi="Calibri"/>
          <w:b/>
          <w:bCs/>
          <w:color w:val="2E5395"/>
          <w:sz w:val="26"/>
          <w:szCs w:val="26"/>
        </w:rPr>
        <w:t xml:space="preserve">4.3 Class Imbalance and the Mask Label</w:t>
      </w:r>
    </w:p>
    <w:p>
      <w:pPr>
        <w:spacing w:after="160"/>
        <w:jc w:val="both"/>
      </w:pPr>
      <w:r>
        <w:rPr>
          <w:rFonts w:ascii="Calibri" w:cs="Calibri" w:eastAsia="Calibri" w:hAnsi="Calibri"/>
          <w:b w:val="false"/>
          <w:bCs w:val="false"/>
          <w:i w:val="false"/>
          <w:iCs w:val="false"/>
          <w:sz w:val="22"/>
          <w:szCs w:val="22"/>
        </w:rPr>
        <w:t xml:space="preserve">An initial fine-tuning run produced a classifier with a strong aggregate validation F1 score, but a per-label breakdown - computed after the fact specifically because the aggregate score, dominated by the more common labels, did not surface this - revealed a stark asymmetry for the mask label: precision of 1.0 with recall of only 0.35. That is, whenever the model predicted "mask present" it was always correct, but it failed to identify roughly two-thirds of workers who genuinely wore one. This is the textbook signature of a classifier trained on a severely imbalanced positive class defaulting to the safe, low-loss strategy of predicting absence by default. Examining the training data confirmed the cause: of 13,622 training rows with a non-blank mask label, only 105 were positive (mask present), a ratio of roughly 1:110, driven by the fact that one of the two merged source datasets does not annotate masks at all and the other covers them only sparsely.</w:t>
      </w:r>
    </w:p>
    <w:p>
      <w:pPr>
        <w:spacing w:after="160"/>
        <w:jc w:val="both"/>
      </w:pPr>
      <w:r>
        <w:rPr>
          <w:rFonts w:ascii="Calibri" w:cs="Calibri" w:eastAsia="Calibri" w:hAnsi="Calibri"/>
          <w:b w:val="false"/>
          <w:bCs w:val="false"/>
          <w:i w:val="false"/>
          <w:iCs w:val="false"/>
          <w:sz w:val="22"/>
          <w:szCs w:val="22"/>
        </w:rPr>
        <w:t xml:space="preserve">This was addressed by computing a per-label positive-class weight - the ratio of negative to positive examples for that label among its annotated rows, capped at 10× to preserve training stability - and supplying it to the binary cross-entropy loss as a per-label multiplier on the loss contribution of missed positive examples. The resulting weights, computed automatically from the training data at the start of each run, are shown in Table 2.</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400"/>
        <w:gridCol w:w="2600"/>
      </w:tblGrid>
      <w:tr>
        <w:trPr>
          <w:tblHeader/>
        </w:trPr>
        <w:tc>
          <w:tcPr>
            <w:tcW w:type="dxa" w:w="18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Label</w:t>
            </w:r>
          </w:p>
        </w:tc>
        <w:tc>
          <w:tcPr>
            <w:tcW w:type="dxa" w:w="24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Positive examples</w:t>
            </w:r>
          </w:p>
        </w:tc>
        <w:tc>
          <w:tcPr>
            <w:tcW w:type="dxa" w:w="24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Negative examples</w:t>
            </w:r>
          </w:p>
        </w:tc>
        <w:tc>
          <w:tcPr>
            <w:tcW w:type="dxa" w:w="26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Applied pos_weight</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Helmet</w:t>
            </w:r>
          </w:p>
        </w:tc>
        <w:tc>
          <w:tcPr>
            <w:tcW w:type="dxa" w:w="24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3,438</w:t>
            </w:r>
          </w:p>
        </w:tc>
        <w:tc>
          <w:tcPr>
            <w:tcW w:type="dxa" w:w="24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10,184</w:t>
            </w:r>
          </w:p>
        </w:tc>
        <w:tc>
          <w:tcPr>
            <w:tcW w:type="dxa" w:w="26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2.96</w:t>
            </w:r>
          </w:p>
        </w:tc>
      </w:tr>
      <w:tr>
        <w:tc>
          <w:tcPr>
            <w:tcW w:type="dxa" w:w="18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Vest</w:t>
            </w:r>
          </w:p>
        </w:tc>
        <w:tc>
          <w:tcPr>
            <w:tcW w:type="dxa" w:w="24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11,051</w:t>
            </w:r>
          </w:p>
        </w:tc>
        <w:tc>
          <w:tcPr>
            <w:tcW w:type="dxa" w:w="24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2,571</w:t>
            </w:r>
          </w:p>
        </w:tc>
        <w:tc>
          <w:tcPr>
            <w:tcW w:type="dxa" w:w="26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0.23</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Gloves</w:t>
            </w:r>
          </w:p>
        </w:tc>
        <w:tc>
          <w:tcPr>
            <w:tcW w:type="dxa" w:w="24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2,087</w:t>
            </w:r>
          </w:p>
        </w:tc>
        <w:tc>
          <w:tcPr>
            <w:tcW w:type="dxa" w:w="24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11,535</w:t>
            </w:r>
          </w:p>
        </w:tc>
        <w:tc>
          <w:tcPr>
            <w:tcW w:type="dxa" w:w="26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5.53</w:t>
            </w:r>
          </w:p>
        </w:tc>
      </w:tr>
      <w:tr>
        <w:tc>
          <w:tcPr>
            <w:tcW w:type="dxa" w:w="18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Boots</w:t>
            </w:r>
          </w:p>
        </w:tc>
        <w:tc>
          <w:tcPr>
            <w:tcW w:type="dxa" w:w="24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8,717</w:t>
            </w:r>
          </w:p>
        </w:tc>
        <w:tc>
          <w:tcPr>
            <w:tcW w:type="dxa" w:w="24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4,905</w:t>
            </w:r>
          </w:p>
        </w:tc>
        <w:tc>
          <w:tcPr>
            <w:tcW w:type="dxa" w:w="26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0.56</w:t>
            </w:r>
          </w:p>
        </w:tc>
      </w:tr>
      <w:tr>
        <w:tc>
          <w:tcPr>
            <w:tcW w:type="dxa" w:w="18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Mask</w:t>
            </w:r>
          </w:p>
        </w:tc>
        <w:tc>
          <w:tcPr>
            <w:tcW w:type="dxa" w:w="24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105</w:t>
            </w:r>
          </w:p>
        </w:tc>
        <w:tc>
          <w:tcPr>
            <w:tcW w:type="dxa" w:w="24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11,609</w:t>
            </w:r>
          </w:p>
        </w:tc>
        <w:tc>
          <w:tcPr>
            <w:tcW w:type="dxa" w:w="26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10.00 (capped)</w:t>
            </w:r>
          </w:p>
        </w:tc>
      </w:tr>
    </w:tbl>
    <w:p>
      <w:pPr>
        <w:spacing w:after="260" w:before="60"/>
        <w:jc w:val="center"/>
      </w:pPr>
      <w:r>
        <w:rPr>
          <w:rFonts w:ascii="Calibri" w:cs="Calibri" w:eastAsia="Calibri" w:hAnsi="Calibri"/>
          <w:i/>
          <w:iCs/>
          <w:color w:val="444444"/>
          <w:sz w:val="20"/>
          <w:szCs w:val="20"/>
        </w:rPr>
        <w:t xml:space="preserve">Table 2. Per-label training-set class balance and the resulting loss weighting.</w:t>
      </w:r>
    </w:p>
    <w:p>
      <w:pPr>
        <w:spacing w:after="160"/>
        <w:jc w:val="both"/>
      </w:pPr>
      <w:r>
        <w:rPr>
          <w:rFonts w:ascii="Calibri" w:cs="Calibri" w:eastAsia="Calibri" w:hAnsi="Calibri"/>
          <w:b w:val="false"/>
          <w:bCs w:val="false"/>
          <w:i w:val="false"/>
          <w:iCs w:val="false"/>
          <w:sz w:val="22"/>
          <w:szCs w:val="22"/>
        </w:rPr>
        <w:t xml:space="preserve">Alongside the loss re-weighting, training-time data augmentation was introduced - random-resized cropping, colour jitter, occasional Gaussian blur, and small-angle rotation - applied only to training images, never to validation images, to avoid inflating reported accuracy. The intent was twofold: to further help the under-represented mask label by presenting more visual variation per epoch, and to improve robustness to the kind of real-world imaging conditions (indoor lighting, off-angle framing, consumer webcam quality) that a curated public dataset of stock-style photographs does not represent well - a gap directly observed when a worker wearing a visible helmet was misclassified as not wearing one during informal testing on a consumer webcam, despite a strong validation-set score for that label.</w:t>
      </w:r>
    </w:p>
    <w:p>
      <w:pPr>
        <w:pStyle w:val="Heading2"/>
        <w:spacing w:after="140" w:before="260"/>
      </w:pPr>
      <w:r>
        <w:rPr>
          <w:rFonts w:ascii="Calibri" w:cs="Calibri" w:eastAsia="Calibri" w:hAnsi="Calibri"/>
          <w:b/>
          <w:bCs/>
          <w:color w:val="2E5395"/>
          <w:sz w:val="26"/>
          <w:szCs w:val="26"/>
        </w:rPr>
        <w:t xml:space="preserve">4.4 A Secondary Regression and Its Correction</w:t>
      </w:r>
    </w:p>
    <w:p>
      <w:pPr>
        <w:spacing w:after="160"/>
        <w:jc w:val="both"/>
      </w:pPr>
      <w:r>
        <w:rPr>
          <w:rFonts w:ascii="Calibri" w:cs="Calibri" w:eastAsia="Calibri" w:hAnsi="Calibri"/>
          <w:b w:val="false"/>
          <w:bCs w:val="false"/>
          <w:i w:val="false"/>
          <w:iCs w:val="false"/>
          <w:sz w:val="22"/>
          <w:szCs w:val="22"/>
        </w:rPr>
        <w:t xml:space="preserve">The initial augmentation configuration used a relatively aggressive random-resized crop (retaining 80-100% of the frame at an aspect ratio distorted by up to ±15%). Retraining with this configuration and the class-weighted loss for 20 epochs produced a substantial improvement in the mask label (discussed in Section 5) but a measurable regression in helmet accuracy. Our working hypothesis, based on the geometry of the crops involved, is that helmet - occupying only the uppermost region of a full-body worker crop - is disproportionately likely to be partially or fully excluded by an aggressive random crop, relative to items such as vest or boots that occupy more central or lower body regions and are correspondingly more robust to the same augmentation. Vest and boots showed negligible change under the same training run, consistent with this explanation. The crop augmentation was subsequently narrowed (retaining 92-100% of the frame at up to ±5% aspect distortion) to test this hypothesis directly; at the time of writing this refinement run had been initiated but not yet completed, and its outcome is reported as an open item in Section 6.</w:t>
      </w:r>
    </w:p>
    <w:p>
      <w:pPr>
        <w:pStyle w:val="Heading1"/>
        <w:spacing w:after="200" w:before="360"/>
      </w:pPr>
      <w:r>
        <w:rPr>
          <w:rFonts w:ascii="Calibri" w:cs="Calibri" w:eastAsia="Calibri" w:hAnsi="Calibri"/>
          <w:b/>
          <w:bCs/>
          <w:color w:val="1F3864"/>
          <w:sz w:val="30"/>
          <w:szCs w:val="30"/>
        </w:rPr>
        <w:t xml:space="preserve">5. Experimental Results</w:t>
      </w:r>
    </w:p>
    <w:p>
      <w:pPr>
        <w:pStyle w:val="Heading2"/>
        <w:spacing w:after="140" w:before="260"/>
      </w:pPr>
      <w:r>
        <w:rPr>
          <w:rFonts w:ascii="Calibri" w:cs="Calibri" w:eastAsia="Calibri" w:hAnsi="Calibri"/>
          <w:b/>
          <w:bCs/>
          <w:color w:val="2E5395"/>
          <w:sz w:val="26"/>
          <w:szCs w:val="26"/>
        </w:rPr>
        <w:t xml:space="preserve">5.1 Detection Performance (YOLOv26n)</w:t>
      </w:r>
    </w:p>
    <w:p>
      <w:pPr>
        <w:spacing w:after="160"/>
        <w:jc w:val="both"/>
      </w:pPr>
      <w:r>
        <w:rPr>
          <w:rFonts w:ascii="Calibri" w:cs="Calibri" w:eastAsia="Calibri" w:hAnsi="Calibri"/>
          <w:b w:val="false"/>
          <w:bCs w:val="false"/>
          <w:i w:val="false"/>
          <w:iCs w:val="false"/>
          <w:sz w:val="22"/>
          <w:szCs w:val="22"/>
        </w:rPr>
        <w:t xml:space="preserve">Table 3 reports precision, recall, and mean average precision (mAP) at an IoU threshold of 0.50, and averaged across IoU thresholds 0.50-0.95, for each of the six detected classes on the held-out validation set.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1800"/>
        <w:gridCol w:w="1800"/>
      </w:tblGrid>
      <w:tr>
        <w:trPr>
          <w:tblHeader/>
        </w:trPr>
        <w:tc>
          <w:tcPr>
            <w:tcW w:type="dxa" w:w="22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Class</w:t>
            </w:r>
          </w:p>
        </w:tc>
        <w:tc>
          <w:tcPr>
            <w:tcW w:type="dxa" w:w="18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Precision</w:t>
            </w:r>
          </w:p>
        </w:tc>
        <w:tc>
          <w:tcPr>
            <w:tcW w:type="dxa" w:w="18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Recall</w:t>
            </w:r>
          </w:p>
        </w:tc>
        <w:tc>
          <w:tcPr>
            <w:tcW w:type="dxa" w:w="18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mAP@50</w:t>
            </w:r>
          </w:p>
        </w:tc>
        <w:tc>
          <w:tcPr>
            <w:tcW w:type="dxa" w:w="18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mAP@50-95</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All (mean)</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0.79</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0.67</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0.72</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0.47</w:t>
            </w:r>
          </w:p>
        </w:tc>
      </w:tr>
      <w:tr>
        <w:tc>
          <w:tcPr>
            <w:tcW w:type="dxa" w:w="22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Person</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0.87</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0.85</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0.88</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0.68</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Vest</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0.88</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0.85</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0.88</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0.66</w:t>
            </w:r>
          </w:p>
        </w:tc>
      </w:tr>
      <w:tr>
        <w:tc>
          <w:tcPr>
            <w:tcW w:type="dxa" w:w="22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Boots</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0.77</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0.53</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Helmet</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0.76</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0.57</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0.63</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0.33</w:t>
            </w:r>
          </w:p>
        </w:tc>
      </w:tr>
      <w:tr>
        <w:tc>
          <w:tcPr>
            <w:tcW w:type="dxa" w:w="22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Gloves</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0.75</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0.57</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0.62</w:t>
            </w:r>
          </w:p>
        </w:tc>
        <w:tc>
          <w:tcPr>
            <w:tcW w:type="dxa" w:w="1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0.34</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Mask</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0.67</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0.42</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0.48</w:t>
            </w:r>
          </w:p>
        </w:tc>
        <w:tc>
          <w:tcPr>
            <w:tcW w:type="dxa" w:w="1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0.26</w:t>
            </w:r>
          </w:p>
        </w:tc>
      </w:tr>
    </w:tbl>
    <w:p>
      <w:pPr>
        <w:spacing w:after="260" w:before="60"/>
        <w:jc w:val="center"/>
      </w:pPr>
      <w:r>
        <w:rPr>
          <w:rFonts w:ascii="Calibri" w:cs="Calibri" w:eastAsia="Calibri" w:hAnsi="Calibri"/>
          <w:i/>
          <w:iCs/>
          <w:color w:val="444444"/>
          <w:sz w:val="20"/>
          <w:szCs w:val="20"/>
        </w:rPr>
        <w:t xml:space="preserve">Table 3. YOLOv26n per-class detection performance on the merged validation set (1,904 images, 11,760 annotated instances).</w:t>
      </w:r>
    </w:p>
    <w:p>
      <w:pPr>
        <w:spacing w:after="160"/>
        <w:jc w:val="both"/>
      </w:pPr>
      <w:r>
        <w:rPr>
          <w:rFonts w:ascii="Calibri" w:cs="Calibri" w:eastAsia="Calibri" w:hAnsi="Calibri"/>
          <w:b w:val="false"/>
          <w:bCs w:val="false"/>
          <w:i w:val="false"/>
          <w:iCs w:val="false"/>
          <w:sz w:val="22"/>
          <w:szCs w:val="22"/>
        </w:rPr>
        <w:t xml:space="preserve">Person detection is the strongest result (mAP@50 = 0.88), which is the metric most directly relevant to the tracking stage of the pipeline. Vest and boots detection are similarly strong. Helmet and gloves are moderate, and mask is the weakest class by a clear margin, consistent with its scarcity in the merged training data discussed in Section 4.3 - the same underlying data-coverage problem affects both the detector and the classifier, though the classifier's dedicated class-weighting correction (Section 4.3-4.4) was not applied to the detector in this phase.</w:t>
      </w:r>
    </w:p>
    <w:p>
      <w:pPr>
        <w:pStyle w:val="Heading2"/>
        <w:spacing w:after="140" w:before="260"/>
      </w:pPr>
      <w:r>
        <w:rPr>
          <w:rFonts w:ascii="Calibri" w:cs="Calibri" w:eastAsia="Calibri" w:hAnsi="Calibri"/>
          <w:b/>
          <w:bCs/>
          <w:color w:val="2E5395"/>
          <w:sz w:val="26"/>
          <w:szCs w:val="26"/>
        </w:rPr>
        <w:t xml:space="preserve">5.2 Classification Performance (ViT) and the Effect of Re-weighting</w:t>
      </w:r>
    </w:p>
    <w:p>
      <w:pPr>
        <w:spacing w:after="160"/>
        <w:jc w:val="both"/>
      </w:pPr>
      <w:r>
        <w:rPr>
          <w:rFonts w:ascii="Calibri" w:cs="Calibri" w:eastAsia="Calibri" w:hAnsi="Calibri"/>
          <w:b w:val="false"/>
          <w:bCs w:val="false"/>
          <w:i w:val="false"/>
          <w:iCs w:val="false"/>
          <w:sz w:val="22"/>
          <w:szCs w:val="22"/>
        </w:rPr>
        <w:t xml:space="preserve">Table 4 compares per-label F1 scores before and after the class-weighted loss and data augmentation described in Section 4.3, both measured on the same held-out validation set of 2,403 worker crops.</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200"/>
      </w:tblGrid>
      <w:tr>
        <w:trPr>
          <w:tblHeader/>
        </w:trPr>
        <w:tc>
          <w:tcPr>
            <w:tcW w:type="dxa" w:w="22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Label</w:t>
            </w:r>
          </w:p>
        </w:tc>
        <w:tc>
          <w:tcPr>
            <w:tcW w:type="dxa" w:w="22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F1 (baseline)</w:t>
            </w:r>
          </w:p>
        </w:tc>
        <w:tc>
          <w:tcPr>
            <w:tcW w:type="dxa" w:w="28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F1 (weighted + augmented)</w:t>
            </w:r>
          </w:p>
        </w:tc>
        <w:tc>
          <w:tcPr>
            <w:tcW w:type="dxa" w:w="2200"/>
            <w:shd w:fill="1F3864" w:val="clear"/>
            <w:tcMar>
              <w:top w:type="dxa" w:w="80"/>
              <w:left w:type="dxa" w:w="100"/>
              <w:bottom w:type="dxa" w:w="80"/>
              <w:right w:type="dxa" w:w="100"/>
            </w:tcMar>
          </w:tcPr>
          <w:p>
            <w:pPr>
              <w:jc w:val="center"/>
            </w:pPr>
            <w:r>
              <w:rPr>
                <w:rFonts w:ascii="Calibri" w:cs="Calibri" w:eastAsia="Calibri" w:hAnsi="Calibri"/>
                <w:b/>
                <w:bCs/>
                <w:color w:val="FFFFFF"/>
                <w:sz w:val="20"/>
                <w:szCs w:val="20"/>
              </w:rPr>
              <w:t xml:space="preserve">Change</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Helmet</w:t>
            </w:r>
          </w:p>
        </w:tc>
        <w:tc>
          <w:tcPr>
            <w:tcW w:type="dxa" w:w="22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0.883</w:t>
            </w:r>
          </w:p>
        </w:tc>
        <w:tc>
          <w:tcPr>
            <w:tcW w:type="dxa" w:w="2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0.829</w:t>
            </w:r>
          </w:p>
        </w:tc>
        <w:tc>
          <w:tcPr>
            <w:tcW w:type="dxa" w:w="22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−0.054</w:t>
            </w:r>
          </w:p>
        </w:tc>
      </w:tr>
      <w:tr>
        <w:tc>
          <w:tcPr>
            <w:tcW w:type="dxa" w:w="22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Vest</w:t>
            </w:r>
          </w:p>
        </w:tc>
        <w:tc>
          <w:tcPr>
            <w:tcW w:type="dxa" w:w="22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0.954</w:t>
            </w:r>
          </w:p>
        </w:tc>
        <w:tc>
          <w:tcPr>
            <w:tcW w:type="dxa" w:w="2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0.950</w:t>
            </w:r>
          </w:p>
        </w:tc>
        <w:tc>
          <w:tcPr>
            <w:tcW w:type="dxa" w:w="22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−0.004</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Gloves</w:t>
            </w:r>
          </w:p>
        </w:tc>
        <w:tc>
          <w:tcPr>
            <w:tcW w:type="dxa" w:w="22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0.819</w:t>
            </w:r>
          </w:p>
        </w:tc>
        <w:tc>
          <w:tcPr>
            <w:tcW w:type="dxa" w:w="2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0.826</w:t>
            </w:r>
          </w:p>
        </w:tc>
        <w:tc>
          <w:tcPr>
            <w:tcW w:type="dxa" w:w="22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+0.007</w:t>
            </w:r>
          </w:p>
        </w:tc>
      </w:tr>
      <w:tr>
        <w:tc>
          <w:tcPr>
            <w:tcW w:type="dxa" w:w="22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Boots</w:t>
            </w:r>
          </w:p>
        </w:tc>
        <w:tc>
          <w:tcPr>
            <w:tcW w:type="dxa" w:w="22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0.925</w:t>
            </w:r>
          </w:p>
        </w:tc>
        <w:tc>
          <w:tcPr>
            <w:tcW w:type="dxa" w:w="2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0.924</w:t>
            </w:r>
          </w:p>
        </w:tc>
        <w:tc>
          <w:tcPr>
            <w:tcW w:type="dxa" w:w="22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−0.001</w:t>
            </w:r>
          </w:p>
        </w:tc>
      </w:tr>
      <w:tr>
        <w:tc>
          <w:tcPr>
            <w:tcW w:type="dxa" w:w="2200"/>
            <w:shd w:fill="FFFFFF" w:val="clear"/>
            <w:tcMar>
              <w:top w:type="dxa" w:w="60"/>
              <w:left w:type="dxa" w:w="100"/>
              <w:bottom w:type="dxa" w:w="60"/>
              <w:right w:type="dxa" w:w="100"/>
            </w:tcMar>
          </w:tcPr>
          <w:p>
            <w:pPr>
              <w:jc w:val="left"/>
            </w:pPr>
            <w:r>
              <w:rPr>
                <w:rFonts w:ascii="Calibri" w:cs="Calibri" w:eastAsia="Calibri" w:hAnsi="Calibri"/>
                <w:b/>
                <w:bCs/>
                <w:sz w:val="20"/>
                <w:szCs w:val="20"/>
              </w:rPr>
              <w:t xml:space="preserve">Mask</w:t>
            </w:r>
          </w:p>
        </w:tc>
        <w:tc>
          <w:tcPr>
            <w:tcW w:type="dxa" w:w="22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0.522</w:t>
            </w:r>
          </w:p>
        </w:tc>
        <w:tc>
          <w:tcPr>
            <w:tcW w:type="dxa" w:w="28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0.800</w:t>
            </w:r>
          </w:p>
        </w:tc>
        <w:tc>
          <w:tcPr>
            <w:tcW w:type="dxa" w:w="2200"/>
            <w:shd w:fill="FFFFFF"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+0.278</w:t>
            </w:r>
          </w:p>
        </w:tc>
      </w:tr>
      <w:tr>
        <w:tc>
          <w:tcPr>
            <w:tcW w:type="dxa" w:w="2200"/>
            <w:shd w:fill="EEF2F9" w:val="clear"/>
            <w:tcMar>
              <w:top w:type="dxa" w:w="60"/>
              <w:left w:type="dxa" w:w="100"/>
              <w:bottom w:type="dxa" w:w="60"/>
              <w:right w:type="dxa" w:w="100"/>
            </w:tcMar>
          </w:tcPr>
          <w:p>
            <w:pPr>
              <w:jc w:val="left"/>
            </w:pPr>
            <w:r>
              <w:rPr>
                <w:rFonts w:ascii="Calibri" w:cs="Calibri" w:eastAsia="Calibri" w:hAnsi="Calibri"/>
                <w:b/>
                <w:bCs/>
                <w:sz w:val="20"/>
                <w:szCs w:val="20"/>
              </w:rPr>
              <w:t xml:space="preserve">Macro-average</w:t>
            </w:r>
          </w:p>
        </w:tc>
        <w:tc>
          <w:tcPr>
            <w:tcW w:type="dxa" w:w="22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0.821</w:t>
            </w:r>
          </w:p>
        </w:tc>
        <w:tc>
          <w:tcPr>
            <w:tcW w:type="dxa" w:w="28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0.866</w:t>
            </w:r>
          </w:p>
        </w:tc>
        <w:tc>
          <w:tcPr>
            <w:tcW w:type="dxa" w:w="2200"/>
            <w:shd w:fill="EEF2F9" w:val="clear"/>
            <w:tcMar>
              <w:top w:type="dxa" w:w="60"/>
              <w:left w:type="dxa" w:w="100"/>
              <w:bottom w:type="dxa" w:w="60"/>
              <w:right w:type="dxa" w:w="100"/>
            </w:tcMar>
          </w:tcPr>
          <w:p>
            <w:pPr>
              <w:jc w:val="center"/>
            </w:pPr>
            <w:r>
              <w:rPr>
                <w:rFonts w:ascii="Calibri" w:cs="Calibri" w:eastAsia="Calibri" w:hAnsi="Calibri"/>
                <w:b w:val="false"/>
                <w:bCs w:val="false"/>
                <w:sz w:val="20"/>
                <w:szCs w:val="20"/>
              </w:rPr>
              <w:t xml:space="preserve">+0.045</w:t>
            </w:r>
          </w:p>
        </w:tc>
      </w:tr>
    </w:tbl>
    <w:p>
      <w:pPr>
        <w:spacing w:after="260" w:before="60"/>
        <w:jc w:val="center"/>
      </w:pPr>
      <w:r>
        <w:rPr>
          <w:rFonts w:ascii="Calibri" w:cs="Calibri" w:eastAsia="Calibri" w:hAnsi="Calibri"/>
          <w:i/>
          <w:iCs/>
          <w:color w:val="444444"/>
          <w:sz w:val="20"/>
          <w:szCs w:val="20"/>
        </w:rPr>
        <w:t xml:space="preserve">Table 4. ViT classifier per-label F1 before and after class-weighted loss and augmentation (20 additional fine-tuning epochs).</w:t>
      </w:r>
    </w:p>
    <w:p>
      <w:pPr>
        <w:spacing w:after="160"/>
        <w:jc w:val="both"/>
      </w:pPr>
      <w:r>
        <w:rPr>
          <w:rFonts w:ascii="Calibri" w:cs="Calibri" w:eastAsia="Calibri" w:hAnsi="Calibri"/>
          <w:b w:val="false"/>
          <w:bCs w:val="false"/>
          <w:i w:val="false"/>
          <w:iCs w:val="false"/>
          <w:sz w:val="22"/>
          <w:szCs w:val="22"/>
        </w:rPr>
        <w:t xml:space="preserve">The mask label improved substantially (F1 0.522 → 0.800), directly addressing the recall failure described in Section 4.3, and confirming that the imbalance, not a lack of learnable signal, was the dominant cause of its earlier weakness. Gloves, vest, and boots were essentially unchanged (within ±0.01), and macro-averaged F1 across all five labels improved overall (0.821 → 0.866). Helmet regressed by a comparable margin to mask's gain (−0.054), for the reasons discussed in Section 4.4; because the training procedure selects its saved checkpoint by macro-averaged F1 across all labels rather than any single label, an epoch that most improves the weakest label is not guaranteed to be optimal for every other label simultaneously, and this trade-off is made visible only by reporting per-label metrics rather than the aggregate score alone.</w:t>
      </w:r>
    </w:p>
    <w:p>
      <w:pPr>
        <w:pStyle w:val="Heading1"/>
        <w:spacing w:after="200" w:before="360"/>
      </w:pPr>
      <w:r>
        <w:rPr>
          <w:rFonts w:ascii="Calibri" w:cs="Calibri" w:eastAsia="Calibri" w:hAnsi="Calibri"/>
          <w:b/>
          <w:bCs/>
          <w:color w:val="1F3864"/>
          <w:sz w:val="30"/>
          <w:szCs w:val="30"/>
        </w:rPr>
        <w:t xml:space="preserve">6. Limitations and Future Work</w:t>
      </w:r>
    </w:p>
    <w:p>
      <w:pPr>
        <w:pStyle w:val="ListParagraph"/>
        <w:numPr>
          <w:ilvl w:val="0"/>
          <w:numId w:val="2"/>
        </w:numPr>
        <w:spacing w:after="100"/>
      </w:pPr>
      <w:r>
        <w:rPr>
          <w:rFonts w:ascii="Calibri" w:cs="Calibri" w:eastAsia="Calibri" w:hAnsi="Calibri"/>
          <w:sz w:val="22"/>
          <w:szCs w:val="22"/>
        </w:rPr>
        <w:t xml:space="preserve">Helmet-recovery retraining in progress: the narrowed-augmentation retraining described in Section 4.4 was initiated to test whether helmet accuracy can be recovered without sacrificing the mask improvement, but had not completed at the time of writing. We expect to report its outcome as an addendum or in a follow-up phase.</w:t>
      </w:r>
    </w:p>
    <w:p>
      <w:pPr>
        <w:pStyle w:val="ListParagraph"/>
        <w:numPr>
          <w:ilvl w:val="0"/>
          <w:numId w:val="2"/>
        </w:numPr>
        <w:spacing w:after="100"/>
      </w:pPr>
      <w:r>
        <w:rPr>
          <w:rFonts w:ascii="Calibri" w:cs="Calibri" w:eastAsia="Calibri" w:hAnsi="Calibri"/>
          <w:sz w:val="22"/>
          <w:szCs w:val="22"/>
        </w:rPr>
        <w:t xml:space="preserve">Validation-set performance versus real-world performance: all metrics in Section 5 are computed on a held-out split of the same merged public datasets used for training, which share a broadly similar photographic style (stock/professional imagery). Informal testing against consumer webcam footage surfaced at least one clear failure case (a worn helmet misclassified as absent) not predicted by the validation metrics, underscoring that validation performance on a source-matched split is a necessary but not sufficient indicator of field performance. Evaluation against footage genuinely representative of the intended deployment site(s) is planned as follow-up work.</w:t>
      </w:r>
    </w:p>
    <w:p>
      <w:pPr>
        <w:pStyle w:val="ListParagraph"/>
        <w:numPr>
          <w:ilvl w:val="0"/>
          <w:numId w:val="2"/>
        </w:numPr>
        <w:spacing w:after="100"/>
      </w:pPr>
      <w:r>
        <w:rPr>
          <w:rFonts w:ascii="Calibri" w:cs="Calibri" w:eastAsia="Calibri" w:hAnsi="Calibri"/>
          <w:sz w:val="22"/>
          <w:szCs w:val="22"/>
        </w:rPr>
        <w:t xml:space="preserve">Mask detector coverage in the YOLOv26n stage: while the ViT classifier's mask weakness was directly addressed via loss re-weighting, the equivalent class-imbalance correction was not applied to the object-detection stage in this phase; the detector's mask performance (Table 3) remains the weakest of its six classes and would benefit from the same treatment, or from sourcing an additional mask-focused public dataset, in a subsequent iteration.</w:t>
      </w:r>
    </w:p>
    <w:p>
      <w:pPr>
        <w:pStyle w:val="ListParagraph"/>
        <w:numPr>
          <w:ilvl w:val="0"/>
          <w:numId w:val="2"/>
        </w:numPr>
        <w:spacing w:after="100"/>
      </w:pPr>
      <w:r>
        <w:rPr>
          <w:rFonts w:ascii="Calibri" w:cs="Calibri" w:eastAsia="Calibri" w:hAnsi="Calibri"/>
          <w:sz w:val="22"/>
          <w:szCs w:val="22"/>
        </w:rPr>
        <w:t xml:space="preserve">Fall and falling-object detection (Phase 2): the system's design accommodates a worker fall-state classifier (as a second, independently-trained head alongside the PPE classifier) and a physics-rule-based falling-object alert built on top of an additional tracked object class, but neither is backed by a trained model at the time of writing. Fall-state currently relies on a bounding-box aspect-ratio heuristic, which was observed during testing to produce false positives (e.g. a seated worker misclassified as fallen); falling-object detection is presently inert, as it requires a fine-tuned detector class for generic site objects that has not yet been trained. Candidate public datasets for fall/not-fallen classification have been identified and are intended as the basis of this project's second phase.</w:t>
      </w:r>
    </w:p>
    <w:p>
      <w:pPr>
        <w:pStyle w:val="ListParagraph"/>
        <w:numPr>
          <w:ilvl w:val="0"/>
          <w:numId w:val="2"/>
        </w:numPr>
        <w:spacing w:after="100"/>
      </w:pPr>
      <w:r>
        <w:rPr>
          <w:rFonts w:ascii="Calibri" w:cs="Calibri" w:eastAsia="Calibri" w:hAnsi="Calibri"/>
          <w:sz w:val="22"/>
          <w:szCs w:val="22"/>
        </w:rPr>
        <w:t xml:space="preserve">Single-site, single-hardware evaluation: all reported results were obtained on one development machine's hardware configuration; broader claims about edge-deployment performance across a range of target devices (e.g. dedicated single-board edge hardware such as an NVIDIA Jetson or Intel NUC) are architectural claims at this stage rather than measured ones.</w:t>
      </w:r>
    </w:p>
    <w:p>
      <w:pPr>
        <w:pStyle w:val="Heading1"/>
        <w:spacing w:after="200" w:before="360"/>
      </w:pPr>
      <w:r>
        <w:rPr>
          <w:rFonts w:ascii="Calibri" w:cs="Calibri" w:eastAsia="Calibri" w:hAnsi="Calibri"/>
          <w:b/>
          <w:bCs/>
          <w:color w:val="1F3864"/>
          <w:sz w:val="30"/>
          <w:szCs w:val="30"/>
        </w:rPr>
        <w:t xml:space="preserve">7. Conclusion</w:t>
      </w:r>
    </w:p>
    <w:p>
      <w:pPr>
        <w:spacing w:after="160"/>
        <w:jc w:val="both"/>
      </w:pPr>
      <w:r>
        <w:rPr>
          <w:rFonts w:ascii="Calibri" w:cs="Calibri" w:eastAsia="Calibri" w:hAnsi="Calibri"/>
          <w:b w:val="false"/>
          <w:bCs w:val="false"/>
          <w:i w:val="false"/>
          <w:iCs w:val="false"/>
          <w:sz w:val="22"/>
          <w:szCs w:val="22"/>
        </w:rPr>
        <w:t xml:space="preserve">This paper presented the first phase of EdgeGuard, an edge-deployable two-stage vision pipeline for automated construction-site PPE compliance monitoring, combining a fine-tuned YOLOv26n person/PPE detector with a fine-tuned Vision Transformer performing per-worker multi-label PPE classification. Beyond reporting baseline detection and classification performance on a merged public dataset, this work documents a concrete, diagnosable failure mode - severe per-label class imbalance producing a classifier with high precision but poor recall on the rarest PPE item - and the specific loss-reweighting and augmentation intervention used to correct it, including a secondary trade-off this intervention introduced and the targeted fix attempted in response. We view the emphasis on per-label rather than purely aggregate evaluation, and the transparent reporting of an incomplete/in-progress fix, as consistent with how this system is intended to be developed and deployed in practice: iteratively, against real per-item performance data, rather than a single headline accuracy figure. Fall detection and falling-object detection remain designed into the system's architecture and are the subject of an intended second phase of this project.</w:t>
      </w:r>
    </w:p>
    <w:p>
      <w:pPr>
        <w:pStyle w:val="Heading1"/>
        <w:spacing w:after="200" w:before="360"/>
      </w:pPr>
      <w:r>
        <w:rPr>
          <w:rFonts w:ascii="Calibri" w:cs="Calibri" w:eastAsia="Calibri" w:hAnsi="Calibri"/>
          <w:b/>
          <w:bCs/>
          <w:color w:val="1F3864"/>
          <w:sz w:val="30"/>
          <w:szCs w:val="30"/>
        </w:rPr>
        <w:t xml:space="preserve">References</w:t>
      </w:r>
    </w:p>
    <w:p>
      <w:pPr>
        <w:spacing w:after="160"/>
        <w:jc w:val="left"/>
      </w:pPr>
      <w:r>
        <w:rPr>
          <w:rFonts w:ascii="Calibri" w:cs="Calibri" w:eastAsia="Calibri" w:hAnsi="Calibri"/>
          <w:b w:val="false"/>
          <w:bCs w:val="false"/>
          <w:i w:val="false"/>
          <w:iCs w:val="false"/>
          <w:sz w:val="22"/>
          <w:szCs w:val="22"/>
        </w:rPr>
        <w:t xml:space="preserve">[1] Redmon, J., Divvala, S., Girshick, R., &amp; Farhadi, A. (2016). You Only Look Once: Unified, Real-Time Object Detection. Proceedings of the IEEE Conference on Computer Vision and Pattern Recognition (CVPR).</w:t>
      </w:r>
    </w:p>
    <w:p>
      <w:pPr>
        <w:spacing w:after="160"/>
        <w:jc w:val="left"/>
      </w:pPr>
      <w:r>
        <w:rPr>
          <w:rFonts w:ascii="Calibri" w:cs="Calibri" w:eastAsia="Calibri" w:hAnsi="Calibri"/>
          <w:b w:val="false"/>
          <w:bCs w:val="false"/>
          <w:i w:val="false"/>
          <w:iCs w:val="false"/>
          <w:sz w:val="22"/>
          <w:szCs w:val="22"/>
        </w:rPr>
        <w:t xml:space="preserve">[2] Dosovitskiy, A., Beyer, L., Kolesnikov, A., Weissenborn, D., Zhai, X., Unterthiner, T., Dehghani, M., Minderer, M., Heigold, G., Gelly, S., Uszkoreit, J., &amp; Houlsby, N. (2021). An Image is Worth 16x16 Words: Transformers for Image Recognition at Scale. International Conference on Learning Representations (ICLR).</w:t>
      </w:r>
    </w:p>
    <w:p>
      <w:pPr>
        <w:spacing w:after="160"/>
        <w:jc w:val="left"/>
      </w:pPr>
      <w:r>
        <w:rPr>
          <w:rFonts w:ascii="Calibri" w:cs="Calibri" w:eastAsia="Calibri" w:hAnsi="Calibri"/>
          <w:b w:val="false"/>
          <w:bCs w:val="false"/>
          <w:i w:val="false"/>
          <w:iCs w:val="false"/>
          <w:sz w:val="22"/>
          <w:szCs w:val="22"/>
        </w:rPr>
        <w:t xml:space="preserve">[3] Zhang, Y., Sun, P., Jiang, Y., Yu, D., Weng, F., Yuan, Z., Luo, P., Liu, W., &amp; Wang, X. (2022). ByteTrack: Multi-Object Tracking by Associating Every Detection Box. European Conference on Computer Vision (ECCV).</w:t>
      </w:r>
    </w:p>
    <w:p>
      <w:pPr>
        <w:spacing w:after="160"/>
        <w:jc w:val="left"/>
      </w:pPr>
      <w:r>
        <w:rPr>
          <w:rFonts w:ascii="Calibri" w:cs="Calibri" w:eastAsia="Calibri" w:hAnsi="Calibri"/>
          <w:b w:val="false"/>
          <w:bCs w:val="false"/>
          <w:i/>
          <w:iCs/>
          <w:sz w:val="22"/>
          <w:szCs w:val="22"/>
        </w:rPr>
        <w:t xml:space="preserve">[4] SH17 Dataset for human safety and PPE detection. (Please verify and complete this citation - author, venue, and year - from the dataset's original publication page before submission; this detail was not independently confirmed during drafting.)</w:t>
      </w:r>
    </w:p>
    <w:p>
      <w:pPr>
        <w:spacing w:after="160"/>
        <w:jc w:val="left"/>
      </w:pPr>
      <w:r>
        <w:rPr>
          <w:rFonts w:ascii="Calibri" w:cs="Calibri" w:eastAsia="Calibri" w:hAnsi="Calibri"/>
          <w:b w:val="false"/>
          <w:bCs w:val="false"/>
          <w:i/>
          <w:iCs/>
          <w:sz w:val="22"/>
          <w:szCs w:val="22"/>
        </w:rPr>
        <w:t xml:space="preserve">[5] Ultralytics. YOLO12 / YOLO26 model documentation. Ultralytics Docs, https://docs.ultralytics.com. (Software/documentation reference for the YOLOv12 vs. YOLOv26 trade-off discussed in Section 4.1; please confirm the exact access date and URL section per your venue's citation style.)</w:t>
      </w:r>
    </w:p>
    <w:p>
      <w:pPr>
        <w:spacing w:before="300"/>
      </w:pPr>
      <w:r>
        <w:rPr>
          <w:rFonts w:ascii="Calibri" w:cs="Calibri" w:eastAsia="Calibri" w:hAnsi="Calibri"/>
          <w:i/>
          <w:iCs/>
          <w:color w:val="AA3333"/>
          <w:sz w:val="18"/>
          <w:szCs w:val="18"/>
        </w:rPr>
        <w:t xml:space="preserve">Note: references [4] and [5] are flagged above because their exact bibliographic details (author names, publication venue, year, or access date) were not independently verified while drafting this document. Please confirm these against the original sources before submission - fabricating or guessing precise citation details would be worse than leaving them incomplete.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Page </w:t>
    </w:r>
    <w:r>
      <w:rPr>
        <w:rFonts w:ascii="Calibri" w:cs="Calibri" w:eastAsia="Calibri" w:hAnsi="Calibri"/>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88888"/>
        <w:sz w:val="16"/>
        <w:szCs w:val="16"/>
      </w:rPr>
      <w:t xml:space="preserve">EdgeGuard — Phase 1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2026-08-29T09:14:08.709Z</dcterms:created>
  <dcterms:modified xsi:type="dcterms:W3CDTF">2026-08-29T09:14:08.710Z</dcterms:modified>
</cp:coreProperties>
</file>

<file path=docProps/custom.xml><?xml version="1.0" encoding="utf-8"?>
<Properties xmlns="http://schemas.openxmlformats.org/officeDocument/2006/custom-properties" xmlns:vt="http://schemas.openxmlformats.org/officeDocument/2006/docPropsVTypes"/>
</file>