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66"/>
      </w:tblGrid>
      <w:tr>
        <w:tc>
          <w:tcPr>
            <w:tcW w:type="dxa" w:w="9866"/>
            <w:shd w:fill="1F4E79"/>
            <w:tcBorders>
              <w:left w:val="nil" w:sz="0" w:color="FFFFFF"/>
              <w:top w:val="nil" w:sz="0" w:color="FFFFFF"/>
              <w:right w:val="nil" w:sz="0" w:color="FFFFFF"/>
              <w:bottom w:val="nil" w:sz="0" w:color="FFFFFF"/>
            </w:tcBorders>
            <w:tcMar>
              <w:top w:w="180" w:type="dxa"/>
              <w:start w:w="160" w:type="dxa"/>
              <w:bottom w:w="180" w:type="dxa"/>
              <w:end w:w="160" w:type="dxa"/>
            </w:tcMar>
          </w:tcPr>
          <w:p>
            <w:pPr>
              <w:spacing w:before="0" w:after="120" w:line="252" w:lineRule="auto"/>
              <w:jc w:val="center"/>
            </w:pPr>
            <w:r>
              <w:rPr>
                <w:b/>
                <w:color w:val="FFFFFF"/>
                <w:sz w:val="42"/>
              </w:rPr>
              <w:t>compareX Pinpoint</w:t>
              <w:br/>
              <w:t>청구항 초안 및 변리사 전달용 정리본</w:t>
            </w:r>
          </w:p>
          <w:p>
            <w:pPr>
              <w:spacing w:before="0" w:after="0" w:line="252" w:lineRule="auto"/>
              <w:jc w:val="center"/>
            </w:pPr>
            <w:r>
              <w:rPr>
                <w:color w:val="D9E6F2"/>
                <w:sz w:val="23"/>
              </w:rPr>
              <w:t>image_multi_view main 브랜치 코드 팩트체크 반영본</w:t>
            </w:r>
          </w:p>
        </w:tc>
      </w:tr>
    </w:tbl>
    <w:p/>
    <w:tbl>
      <w:tblPr>
        <w:tblW w:type="auto" w:w="0"/>
        <w:jc w:val="center"/>
        <w:tblLayout w:type="fixed"/>
        <w:tblLook w:firstColumn="1" w:firstRow="1" w:lastColumn="0" w:lastRow="0" w:noHBand="0" w:noVBand="1" w:val="04A0"/>
      </w:tblPr>
      <w:tblGrid>
        <w:gridCol w:w="9866"/>
      </w:tblGrid>
      <w:tr>
        <w:tc>
          <w:tcPr>
            <w:tcW w:type="dxa" w:w="9360"/>
            <w:shd w:fill="F5F7FA"/>
            <w:tcBorders>
              <w:left w:val="single" w:sz="10" w:color="C8CFD8"/>
              <w:top w:val="single" w:sz="10" w:color="C8CFD8"/>
              <w:right w:val="single" w:sz="10" w:color="C8CFD8"/>
              <w:bottom w:val="single" w:sz="10" w:color="C8CFD8"/>
            </w:tcBorders>
            <w:tcMar>
              <w:top w:w="120" w:type="dxa"/>
              <w:start w:w="160" w:type="dxa"/>
              <w:bottom w:w="120" w:type="dxa"/>
              <w:end w:w="160" w:type="dxa"/>
            </w:tcMar>
          </w:tcPr>
          <w:p>
            <w:pPr>
              <w:spacing w:before="0" w:after="60" w:line="264" w:lineRule="auto"/>
            </w:pPr>
            <w:r>
              <w:rPr>
                <w:b/>
                <w:color w:val="4A5568"/>
                <w:sz w:val="23"/>
              </w:rPr>
              <w:t>문서 성격</w:t>
            </w:r>
          </w:p>
          <w:p>
            <w:pPr>
              <w:spacing w:before="0" w:after="0" w:line="300" w:lineRule="auto"/>
            </w:pPr>
            <w:r>
              <w:rPr>
                <w:color w:val="333333"/>
                <w:sz w:val="20"/>
              </w:rPr>
              <w:t>이 문서는 내부 검토용 청구항 초안입니다. 실제 출원용 명세서 및 청구범위 문안은 최종적으로 변리사 검토를 거쳐 조정되어야 합니다. 다만 본 초안은 기존 발명 정리서와 GitHub main 브랜치 코드 분석 결과를 함께 반영하여, 구현 근거가 강한 부분과 표현을 낮춰야 하는 부분을 구분해 두었습니다.</w:t>
            </w:r>
          </w:p>
        </w:tc>
      </w:tr>
    </w:tbl>
    <w:p/>
    <w:p>
      <w:pPr>
        <w:spacing w:before="0" w:after="200" w:line="300" w:lineRule="auto"/>
        <w:jc w:val="both"/>
      </w:pPr>
      <w:r>
        <w:rPr>
          <w:b/>
          <w:color w:val="1F4E79"/>
          <w:sz w:val="23"/>
        </w:rPr>
        <w:t xml:space="preserve">요점정리  </w:t>
      </w:r>
      <w:r>
        <w:rPr>
          <w:color w:val="333333"/>
          <w:sz w:val="21"/>
        </w:rPr>
        <w:t>이번 청구항 초안은 Pinpoint의 핵심을 자동 특징점 정렬이 아니라, 표시 슬롯별 기준 참조점(refPoint)과 복수 슬롯에 공통으로 적용되는 화면 기준 좌표(refScreenX/refScreenY), 그리고 개별/전역 scale·rotation을 결합한 정방향 배치 변환 및 동일 파라미터 집합에 기초한 역방향 좌표 환산으로 규정하였고, 여기에 fixed-slot 상태 보존 재배치(shift/swap)와 Pin/Pan 분리 입력 체계를 운영 시스템 축으로 결합하여 권리범위를 재정렬한 것입니다. 즉 이번 초안의 중심은 '사용자 주도형 기준점 고정 정합 엔진 + 상태 보존형 다중 슬롯 운영 시스템'이며, 코드로 직접 확인되지 않은 자동 registration류 표현은 배제하거나 낮추었습니다.</w:t>
      </w:r>
    </w:p>
    <w:tbl>
      <w:tblPr>
        <w:tblW w:type="auto" w:w="0"/>
        <w:jc w:val="center"/>
        <w:tblLayout w:type="fixed"/>
        <w:tblLook w:firstColumn="1" w:firstRow="1" w:lastColumn="0" w:lastRow="0" w:noHBand="0" w:noVBand="1" w:val="04A0"/>
      </w:tblPr>
      <w:tblGrid>
        <w:gridCol w:w="4933"/>
        <w:gridCol w:w="4933"/>
      </w:tblGrid>
      <w:tr>
        <w:tc>
          <w:tcPr>
            <w:tcW w:type="dxa" w:w="2268"/>
            <w:shd w:fill="EAF1FB"/>
            <w:tcBorders>
              <w:left w:val="single" w:sz="6" w:color="B7C7E6"/>
              <w:top w:val="single" w:sz="6" w:color="B7C7E6"/>
              <w:right w:val="single" w:sz="6" w:color="B7C7E6"/>
              <w:bottom w:val="single" w:sz="6" w:color="B7C7E6"/>
            </w:tcBorders>
            <w:tcMar>
              <w:top w:w="90" w:type="dxa"/>
              <w:start w:w="110" w:type="dxa"/>
              <w:bottom w:w="90" w:type="dxa"/>
              <w:end w:w="110" w:type="dxa"/>
            </w:tcMar>
            <w:vAlign w:val="center"/>
          </w:tcPr>
          <w:p>
            <w:pPr>
              <w:spacing w:before="0" w:after="0" w:line="269" w:lineRule="auto"/>
              <w:jc w:val="center"/>
            </w:pPr>
            <w:r>
              <w:rPr>
                <w:b/>
                <w:color w:val="1F3A60"/>
                <w:sz w:val="20"/>
              </w:rPr>
              <w:t>권리화 중심</w:t>
            </w:r>
          </w:p>
        </w:tc>
        <w:tc>
          <w:tcPr>
            <w:tcW w:type="dxa" w:w="6917"/>
            <w:shd w:fill="FFFFFF"/>
            <w:tcBorders>
              <w:left w:val="single" w:sz="6" w:color="B7C7E6"/>
              <w:top w:val="single" w:sz="6" w:color="B7C7E6"/>
              <w:right w:val="single" w:sz="6" w:color="B7C7E6"/>
              <w:bottom w:val="single" w:sz="6" w:color="B7C7E6"/>
            </w:tcBorders>
            <w:tcMar>
              <w:top w:w="90" w:type="dxa"/>
              <w:start w:w="110" w:type="dxa"/>
              <w:bottom w:w="90" w:type="dxa"/>
              <w:end w:w="110" w:type="dxa"/>
            </w:tcMar>
            <w:vAlign w:val="center"/>
          </w:tcPr>
          <w:p>
            <w:pPr>
              <w:spacing w:before="0" w:after="0" w:line="278" w:lineRule="auto"/>
            </w:pPr>
            <w:r>
              <w:rPr>
                <w:color w:val="333333"/>
                <w:sz w:val="19"/>
              </w:rPr>
              <w:t>A축: 좌표 정합 엔진 / B축: 운영 시스템 / C축: 비일시적 컴퓨터 판독가능 기록매체</w:t>
            </w:r>
          </w:p>
        </w:tc>
      </w:tr>
      <w:tr>
        <w:tc>
          <w:tcPr>
            <w:tcW w:type="dxa" w:w="2268"/>
            <w:shd w:fill="EAF1FB"/>
            <w:tcBorders>
              <w:left w:val="single" w:sz="6" w:color="B7C7E6"/>
              <w:top w:val="single" w:sz="6" w:color="B7C7E6"/>
              <w:right w:val="single" w:sz="6" w:color="B7C7E6"/>
              <w:bottom w:val="single" w:sz="6" w:color="B7C7E6"/>
            </w:tcBorders>
            <w:tcMar>
              <w:top w:w="90" w:type="dxa"/>
              <w:start w:w="110" w:type="dxa"/>
              <w:bottom w:w="90" w:type="dxa"/>
              <w:end w:w="110" w:type="dxa"/>
            </w:tcMar>
            <w:vAlign w:val="center"/>
          </w:tcPr>
          <w:p>
            <w:pPr>
              <w:spacing w:before="0" w:after="0" w:line="269" w:lineRule="auto"/>
              <w:jc w:val="center"/>
            </w:pPr>
            <w:r>
              <w:rPr>
                <w:b/>
                <w:color w:val="1F3A60"/>
                <w:sz w:val="20"/>
              </w:rPr>
              <w:t>핵심 확인 근거</w:t>
            </w:r>
          </w:p>
        </w:tc>
        <w:tc>
          <w:tcPr>
            <w:tcW w:type="dxa" w:w="6917"/>
            <w:shd w:fill="FFFFFF"/>
            <w:tcBorders>
              <w:left w:val="single" w:sz="6" w:color="B7C7E6"/>
              <w:top w:val="single" w:sz="6" w:color="B7C7E6"/>
              <w:right w:val="single" w:sz="6" w:color="B7C7E6"/>
              <w:bottom w:val="single" w:sz="6" w:color="B7C7E6"/>
            </w:tcBorders>
            <w:tcMar>
              <w:top w:w="90" w:type="dxa"/>
              <w:start w:w="110" w:type="dxa"/>
              <w:bottom w:w="90" w:type="dxa"/>
              <w:end w:w="110" w:type="dxa"/>
            </w:tcMar>
            <w:vAlign w:val="center"/>
          </w:tcPr>
          <w:p>
            <w:pPr>
              <w:spacing w:before="0" w:after="0" w:line="278" w:lineRule="auto"/>
            </w:pPr>
            <w:r>
              <w:rPr>
                <w:color w:val="333333"/>
                <w:sz w:val="19"/>
              </w:rPr>
              <w:t>PinpointMode의 refPoint/refScreen 갱신, ImageCanvas의 drawX/drawY 및 역변환, DraggableViewer의 Shift 드래그, Pinpoint 재배치 시 이미지·scale·rotation·filter 상태 이동</w:t>
            </w:r>
          </w:p>
        </w:tc>
      </w:tr>
      <w:tr>
        <w:tc>
          <w:tcPr>
            <w:tcW w:type="dxa" w:w="2268"/>
            <w:shd w:fill="EAF1FB"/>
            <w:tcBorders>
              <w:left w:val="single" w:sz="6" w:color="B7C7E6"/>
              <w:top w:val="single" w:sz="6" w:color="B7C7E6"/>
              <w:right w:val="single" w:sz="6" w:color="B7C7E6"/>
              <w:bottom w:val="single" w:sz="6" w:color="B7C7E6"/>
            </w:tcBorders>
            <w:tcMar>
              <w:top w:w="90" w:type="dxa"/>
              <w:start w:w="110" w:type="dxa"/>
              <w:bottom w:w="90" w:type="dxa"/>
              <w:end w:w="110" w:type="dxa"/>
            </w:tcMar>
            <w:vAlign w:val="center"/>
          </w:tcPr>
          <w:p>
            <w:pPr>
              <w:spacing w:before="0" w:after="0" w:line="269" w:lineRule="auto"/>
              <w:jc w:val="center"/>
            </w:pPr>
            <w:r>
              <w:rPr>
                <w:b/>
                <w:color w:val="1F3A60"/>
                <w:sz w:val="20"/>
              </w:rPr>
              <w:t>표현 주의</w:t>
            </w:r>
          </w:p>
        </w:tc>
        <w:tc>
          <w:tcPr>
            <w:tcW w:type="dxa" w:w="6917"/>
            <w:shd w:fill="FFFFFF"/>
            <w:tcBorders>
              <w:left w:val="single" w:sz="6" w:color="B7C7E6"/>
              <w:top w:val="single" w:sz="6" w:color="B7C7E6"/>
              <w:right w:val="single" w:sz="6" w:color="B7C7E6"/>
              <w:bottom w:val="single" w:sz="6" w:color="B7C7E6"/>
            </w:tcBorders>
            <w:tcMar>
              <w:top w:w="90" w:type="dxa"/>
              <w:start w:w="110" w:type="dxa"/>
              <w:bottom w:w="90" w:type="dxa"/>
              <w:end w:w="110" w:type="dxa"/>
            </w:tcMar>
            <w:vAlign w:val="center"/>
          </w:tcPr>
          <w:p>
            <w:pPr>
              <w:spacing w:before="0" w:after="0" w:line="278" w:lineRule="auto"/>
            </w:pPr>
            <w:r>
              <w:rPr>
                <w:color w:val="333333"/>
                <w:sz w:val="19"/>
              </w:rPr>
              <w:t>자동 특징점 정렬, 완전한 client-only 처리, Analysis의 slot별 독립 rotation과 같은 표현은 현행 main 브랜치 기준으로는 신중히 기재</w:t>
            </w:r>
          </w:p>
        </w:tc>
      </w:tr>
    </w:tbl>
    <w:p>
      <w:r>
        <w:br w:type="page"/>
      </w:r>
    </w:p>
    <w:p>
      <w:pPr>
        <w:pStyle w:val="Heading1"/>
      </w:pPr>
      <w:r>
        <w:t>1. 권리화 중심축과 코드 팩트체크 반영 원칙</w:t>
      </w:r>
    </w:p>
    <w:p>
      <w:pPr>
        <w:spacing w:before="0" w:after="100" w:line="298" w:lineRule="auto"/>
        <w:jc w:val="both"/>
      </w:pPr>
      <w:r>
        <w:t>본 초안은 기존 발명 정리서에 기재된 A축과 B축의 구조를 유지하되, GitHub main 브랜치에서 직접 확인된 구현 요소만을 독립항의 중심으로 승격하고, 구현 확인이 약한 요소는 종속항 후보 또는 명세서 확장 실시예로 내리는 방식을 채택하였습니다.</w:t>
      </w:r>
    </w:p>
    <w:p>
      <w:pPr>
        <w:spacing w:before="0" w:after="100" w:line="298" w:lineRule="auto"/>
        <w:jc w:val="both"/>
      </w:pPr>
      <w:r>
        <w:t>구체적으로 A축은 좌표 정합 엔진이며, B축은 다중 슬롯 운영 시스템입니다. A축에서는 refPoint/refScreen의 분리, local/global scale·rotation의 결합, 정방향 표시 변환과 역방향 좌표 환산의 동일 파라미터 폐루프가 핵심입니다. B축에서는 Pin/Pan 분리, fixed-slot 재배치, 동일 이미지의 다중 슬롯 배치, 필터 및 파라미터 상태 보존이 핵심입니다.</w:t>
      </w:r>
    </w:p>
    <w:tbl>
      <w:tblPr>
        <w:tblW w:type="auto" w:w="0"/>
        <w:jc w:val="center"/>
        <w:tblLayout w:type="fixed"/>
        <w:tblLook w:firstColumn="1" w:firstRow="1" w:lastColumn="0" w:lastRow="0" w:noHBand="0" w:noVBand="1" w:val="04A0"/>
      </w:tblPr>
      <w:tblGrid>
        <w:gridCol w:w="9866"/>
      </w:tblGrid>
      <w:tr>
        <w:tc>
          <w:tcPr>
            <w:tcW w:type="dxa" w:w="9360"/>
            <w:shd w:fill="F8FBF2"/>
            <w:tcBorders>
              <w:left w:val="single" w:sz="10" w:color="C9D8A8"/>
              <w:top w:val="single" w:sz="10" w:color="C9D8A8"/>
              <w:right w:val="single" w:sz="10" w:color="C9D8A8"/>
              <w:bottom w:val="single" w:sz="10" w:color="C9D8A8"/>
            </w:tcBorders>
            <w:tcMar>
              <w:top w:w="120" w:type="dxa"/>
              <w:start w:w="160" w:type="dxa"/>
              <w:bottom w:w="120" w:type="dxa"/>
              <w:end w:w="160" w:type="dxa"/>
            </w:tcMar>
          </w:tcPr>
          <w:p>
            <w:pPr>
              <w:spacing w:before="0" w:after="60" w:line="264" w:lineRule="auto"/>
            </w:pPr>
            <w:r>
              <w:rPr>
                <w:b/>
                <w:color w:val="5B7A22"/>
                <w:sz w:val="23"/>
              </w:rPr>
              <w:t>중학생 수준 설명</w:t>
            </w:r>
          </w:p>
          <w:p>
            <w:pPr>
              <w:spacing w:before="0" w:after="0" w:line="300" w:lineRule="auto"/>
            </w:pPr>
            <w:r>
              <w:rPr>
                <w:color w:val="333333"/>
                <w:sz w:val="20"/>
              </w:rPr>
              <w:t>이 기술은 여러 창에서 보고 싶은 점을 각각 찍어 두고, 그 점들이 화면에서 계속 같은 기준 자리로 보이게 만드는 방식입니다. 여기에 창 순서를 바꾸더라도 확대값, 회전값, 필터 상태까지 같이 따라가게 만들어 작업 흐름이 안 끊기도록 한 것이 핵심입니다.</w:t>
            </w:r>
          </w:p>
        </w:tc>
      </w:tr>
    </w:tbl>
    <w:p/>
    <w:p>
      <w:pPr>
        <w:spacing w:before="40" w:after="40" w:line="240" w:lineRule="auto"/>
        <w:jc w:val="center"/>
      </w:pPr>
      <w:r>
        <w:drawing>
          <wp:inline xmlns:a="http://schemas.openxmlformats.org/drawingml/2006/main" xmlns:pic="http://schemas.openxmlformats.org/drawingml/2006/picture">
            <wp:extent cx="6035040" cy="3507867"/>
            <wp:docPr id="1" name="Picture 1"/>
            <wp:cNvGraphicFramePr>
              <a:graphicFrameLocks noChangeAspect="1"/>
            </wp:cNvGraphicFramePr>
            <a:graphic>
              <a:graphicData uri="http://schemas.openxmlformats.org/drawingml/2006/picture">
                <pic:pic>
                  <pic:nvPicPr>
                    <pic:cNvPr id="0" name="pinpoint_state_residency_final.png"/>
                    <pic:cNvPicPr/>
                  </pic:nvPicPr>
                  <pic:blipFill>
                    <a:blip r:embed="rId10"/>
                    <a:stretch>
                      <a:fillRect/>
                    </a:stretch>
                  </pic:blipFill>
                  <pic:spPr>
                    <a:xfrm>
                      <a:off x="0" y="0"/>
                      <a:ext cx="6035040" cy="3507867"/>
                    </a:xfrm>
                    <a:prstGeom prst="rect"/>
                  </pic:spPr>
                </pic:pic>
              </a:graphicData>
            </a:graphic>
          </wp:inline>
        </w:drawing>
      </w:r>
    </w:p>
    <w:p>
      <w:pPr>
        <w:spacing w:before="0" w:after="120" w:line="240" w:lineRule="auto"/>
        <w:jc w:val="center"/>
      </w:pPr>
      <w:r>
        <w:rPr>
          <w:i/>
          <w:color w:val="5B5B5B"/>
          <w:sz w:val="18"/>
        </w:rPr>
        <w:t>그림 1. main 브랜치 기준 Pinpoint 상태 저장 위치와 좌표 엔진 연결 구조</w:t>
      </w:r>
    </w:p>
    <w:p>
      <w:pPr>
        <w:spacing w:before="40" w:after="40" w:line="240" w:lineRule="auto"/>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pinpoint_closed_loop.png"/>
                    <pic:cNvPicPr/>
                  </pic:nvPicPr>
                  <pic:blipFill>
                    <a:blip r:embed="rId11"/>
                    <a:stretch>
                      <a:fillRect/>
                    </a:stretch>
                  </pic:blipFill>
                  <pic:spPr>
                    <a:xfrm>
                      <a:off x="0" y="0"/>
                      <a:ext cx="6035040" cy="3394710"/>
                    </a:xfrm>
                    <a:prstGeom prst="rect"/>
                  </pic:spPr>
                </pic:pic>
              </a:graphicData>
            </a:graphic>
          </wp:inline>
        </w:drawing>
      </w:r>
    </w:p>
    <w:p>
      <w:pPr>
        <w:spacing w:before="0" w:after="120" w:line="240" w:lineRule="auto"/>
        <w:jc w:val="center"/>
      </w:pPr>
      <w:r>
        <w:rPr>
          <w:i/>
          <w:color w:val="5B5B5B"/>
          <w:sz w:val="18"/>
        </w:rPr>
        <w:t>그림 2. Pinpoint 입력-역변환-상태갱신-정방향표시 폐루프 개념도</w:t>
      </w:r>
    </w:p>
    <w:p>
      <w:pPr>
        <w:pStyle w:val="Heading1"/>
      </w:pPr>
      <w:r>
        <w:t>2. 청구항 설계 전략</w:t>
      </w:r>
    </w:p>
    <w:tbl>
      <w:tblPr>
        <w:tblW w:type="auto" w:w="0"/>
        <w:jc w:val="center"/>
        <w:tblLayout w:type="fixed"/>
        <w:tblLook w:firstColumn="1" w:firstRow="1" w:lastColumn="0" w:lastRow="0" w:noHBand="0" w:noVBand="1" w:val="04A0"/>
      </w:tblPr>
      <w:tblGrid>
        <w:gridCol w:w="3289"/>
        <w:gridCol w:w="3289"/>
        <w:gridCol w:w="3289"/>
      </w:tblGrid>
      <w:tr>
        <w:tc>
          <w:tcPr>
            <w:tcW w:type="dxa" w:w="1701"/>
            <w:shd w:fill="D9E7F7"/>
            <w:tcBorders>
              <w:left w:val="single" w:sz="8" w:color="8FAFD6"/>
              <w:top w:val="single" w:sz="8" w:color="8FAFD6"/>
              <w:right w:val="single" w:sz="8" w:color="8FAFD6"/>
              <w:bottom w:val="single" w:sz="8" w:color="8FAFD6"/>
            </w:tcBorders>
            <w:tcMar>
              <w:top w:w="100" w:type="dxa"/>
              <w:start w:w="120" w:type="dxa"/>
              <w:bottom w:w="100" w:type="dxa"/>
              <w:end w:w="120" w:type="dxa"/>
            </w:tcMar>
          </w:tcPr>
          <w:p>
            <w:pPr>
              <w:spacing w:before="0" w:after="0" w:line="269" w:lineRule="auto"/>
              <w:jc w:val="center"/>
            </w:pPr>
            <w:r>
              <w:rPr>
                <w:b/>
                <w:color w:val="1F3A60"/>
                <w:sz w:val="20"/>
              </w:rPr>
              <w:t>청구항군</w:t>
            </w:r>
          </w:p>
        </w:tc>
        <w:tc>
          <w:tcPr>
            <w:tcW w:type="dxa" w:w="2324"/>
            <w:shd w:fill="D9E7F7"/>
            <w:tcBorders>
              <w:left w:val="single" w:sz="8" w:color="8FAFD6"/>
              <w:top w:val="single" w:sz="8" w:color="8FAFD6"/>
              <w:right w:val="single" w:sz="8" w:color="8FAFD6"/>
              <w:bottom w:val="single" w:sz="8" w:color="8FAFD6"/>
            </w:tcBorders>
            <w:tcMar>
              <w:top w:w="100" w:type="dxa"/>
              <w:start w:w="120" w:type="dxa"/>
              <w:bottom w:w="100" w:type="dxa"/>
              <w:end w:w="120" w:type="dxa"/>
            </w:tcMar>
          </w:tcPr>
          <w:p>
            <w:pPr>
              <w:spacing w:before="0" w:after="0" w:line="269" w:lineRule="auto"/>
              <w:jc w:val="center"/>
            </w:pPr>
            <w:r>
              <w:rPr>
                <w:b/>
                <w:color w:val="1F3A60"/>
                <w:sz w:val="20"/>
              </w:rPr>
              <w:t>카테고리</w:t>
            </w:r>
          </w:p>
        </w:tc>
        <w:tc>
          <w:tcPr>
            <w:tcW w:type="dxa" w:w="5159"/>
            <w:shd w:fill="D9E7F7"/>
            <w:tcBorders>
              <w:left w:val="single" w:sz="8" w:color="8FAFD6"/>
              <w:top w:val="single" w:sz="8" w:color="8FAFD6"/>
              <w:right w:val="single" w:sz="8" w:color="8FAFD6"/>
              <w:bottom w:val="single" w:sz="8" w:color="8FAFD6"/>
            </w:tcBorders>
            <w:tcMar>
              <w:top w:w="100" w:type="dxa"/>
              <w:start w:w="120" w:type="dxa"/>
              <w:bottom w:w="100" w:type="dxa"/>
              <w:end w:w="120" w:type="dxa"/>
            </w:tcMar>
          </w:tcPr>
          <w:p>
            <w:pPr>
              <w:spacing w:before="0" w:after="0" w:line="269" w:lineRule="auto"/>
              <w:jc w:val="center"/>
            </w:pPr>
            <w:r>
              <w:rPr>
                <w:b/>
                <w:color w:val="1F3A60"/>
                <w:sz w:val="20"/>
              </w:rPr>
              <w:t>권리 포인트</w:t>
            </w:r>
          </w:p>
        </w:tc>
      </w:tr>
      <w:tr>
        <w:tc>
          <w:tcPr>
            <w:tcW w:type="dxa" w:w="1701"/>
            <w:tcBorders>
              <w:left w:val="single" w:sz="5" w:color="C9D2E3"/>
              <w:top w:val="single" w:sz="5" w:color="C9D2E3"/>
              <w:right w:val="single" w:sz="5" w:color="C9D2E3"/>
              <w:bottom w:val="single" w:sz="5" w:color="C9D2E3"/>
            </w:tcBorders>
            <w:tcMar>
              <w:top w:w="90" w:type="dxa"/>
              <w:start w:w="110" w:type="dxa"/>
              <w:bottom w:w="90" w:type="dxa"/>
              <w:end w:w="110" w:type="dxa"/>
            </w:tcMar>
          </w:tcPr>
          <w:p>
            <w:pPr>
              <w:spacing w:before="0" w:after="0" w:line="274" w:lineRule="auto"/>
              <w:jc w:val="center"/>
            </w:pPr>
            <w:r>
              <w:rPr>
                <w:b/>
                <w:color w:val="333333"/>
                <w:sz w:val="19"/>
              </w:rPr>
              <w:t>독립항 1</w:t>
            </w:r>
          </w:p>
        </w:tc>
        <w:tc>
          <w:tcPr>
            <w:tcW w:type="dxa" w:w="2324"/>
            <w:tcBorders>
              <w:left w:val="single" w:sz="5" w:color="C9D2E3"/>
              <w:top w:val="single" w:sz="5" w:color="C9D2E3"/>
              <w:right w:val="single" w:sz="5" w:color="C9D2E3"/>
              <w:bottom w:val="single" w:sz="5" w:color="C9D2E3"/>
            </w:tcBorders>
            <w:tcMar>
              <w:top w:w="90" w:type="dxa"/>
              <w:start w:w="110" w:type="dxa"/>
              <w:bottom w:w="90" w:type="dxa"/>
              <w:end w:w="110" w:type="dxa"/>
            </w:tcMar>
          </w:tcPr>
          <w:p>
            <w:pPr>
              <w:spacing w:before="0" w:after="0" w:line="274" w:lineRule="auto"/>
              <w:jc w:val="center"/>
            </w:pPr>
            <w:r>
              <w:rPr>
                <w:b w:val="0"/>
                <w:color w:val="333333"/>
                <w:sz w:val="19"/>
              </w:rPr>
              <w:t>좌표 정합 방법</w:t>
            </w:r>
          </w:p>
        </w:tc>
        <w:tc>
          <w:tcPr>
            <w:tcW w:type="dxa" w:w="5159"/>
            <w:tcBorders>
              <w:left w:val="single" w:sz="5" w:color="C9D2E3"/>
              <w:top w:val="single" w:sz="5" w:color="C9D2E3"/>
              <w:right w:val="single" w:sz="5" w:color="C9D2E3"/>
              <w:bottom w:val="single" w:sz="5" w:color="C9D2E3"/>
            </w:tcBorders>
            <w:tcMar>
              <w:top w:w="90" w:type="dxa"/>
              <w:start w:w="110" w:type="dxa"/>
              <w:bottom w:w="90" w:type="dxa"/>
              <w:end w:w="110" w:type="dxa"/>
            </w:tcMar>
          </w:tcPr>
          <w:p>
            <w:pPr>
              <w:spacing w:before="0" w:after="0" w:line="274" w:lineRule="auto"/>
              <w:jc w:val="left"/>
            </w:pPr>
            <w:r>
              <w:rPr>
                <w:b w:val="0"/>
                <w:color w:val="333333"/>
                <w:sz w:val="19"/>
              </w:rPr>
              <w:t>refPoint/refScreen 분리, local-global 변환 결합, 정방향/역방향 폐루프</w:t>
            </w:r>
          </w:p>
        </w:tc>
      </w:tr>
      <w:tr>
        <w:tc>
          <w:tcPr>
            <w:tcW w:type="dxa" w:w="1701"/>
            <w:tcBorders>
              <w:left w:val="single" w:sz="5" w:color="C9D2E3"/>
              <w:top w:val="single" w:sz="5" w:color="C9D2E3"/>
              <w:right w:val="single" w:sz="5" w:color="C9D2E3"/>
              <w:bottom w:val="single" w:sz="5" w:color="C9D2E3"/>
            </w:tcBorders>
            <w:tcMar>
              <w:top w:w="90" w:type="dxa"/>
              <w:start w:w="110" w:type="dxa"/>
              <w:bottom w:w="90" w:type="dxa"/>
              <w:end w:w="110" w:type="dxa"/>
            </w:tcMar>
          </w:tcPr>
          <w:p>
            <w:pPr>
              <w:spacing w:before="0" w:after="0" w:line="274" w:lineRule="auto"/>
              <w:jc w:val="center"/>
            </w:pPr>
            <w:r>
              <w:rPr>
                <w:b/>
                <w:color w:val="333333"/>
                <w:sz w:val="19"/>
              </w:rPr>
              <w:t>독립항 12</w:t>
            </w:r>
          </w:p>
        </w:tc>
        <w:tc>
          <w:tcPr>
            <w:tcW w:type="dxa" w:w="2324"/>
            <w:tcBorders>
              <w:left w:val="single" w:sz="5" w:color="C9D2E3"/>
              <w:top w:val="single" w:sz="5" w:color="C9D2E3"/>
              <w:right w:val="single" w:sz="5" w:color="C9D2E3"/>
              <w:bottom w:val="single" w:sz="5" w:color="C9D2E3"/>
            </w:tcBorders>
            <w:tcMar>
              <w:top w:w="90" w:type="dxa"/>
              <w:start w:w="110" w:type="dxa"/>
              <w:bottom w:w="90" w:type="dxa"/>
              <w:end w:w="110" w:type="dxa"/>
            </w:tcMar>
          </w:tcPr>
          <w:p>
            <w:pPr>
              <w:spacing w:before="0" w:after="0" w:line="274" w:lineRule="auto"/>
              <w:jc w:val="center"/>
            </w:pPr>
            <w:r>
              <w:rPr>
                <w:b w:val="0"/>
                <w:color w:val="333333"/>
                <w:sz w:val="19"/>
              </w:rPr>
              <w:t>다중 슬롯 정합 시스템</w:t>
            </w:r>
          </w:p>
        </w:tc>
        <w:tc>
          <w:tcPr>
            <w:tcW w:type="dxa" w:w="5159"/>
            <w:tcBorders>
              <w:left w:val="single" w:sz="5" w:color="C9D2E3"/>
              <w:top w:val="single" w:sz="5" w:color="C9D2E3"/>
              <w:right w:val="single" w:sz="5" w:color="C9D2E3"/>
              <w:bottom w:val="single" w:sz="5" w:color="C9D2E3"/>
            </w:tcBorders>
            <w:tcMar>
              <w:top w:w="90" w:type="dxa"/>
              <w:start w:w="110" w:type="dxa"/>
              <w:bottom w:w="90" w:type="dxa"/>
              <w:end w:w="110" w:type="dxa"/>
            </w:tcMar>
          </w:tcPr>
          <w:p>
            <w:pPr>
              <w:spacing w:before="0" w:after="0" w:line="274" w:lineRule="auto"/>
              <w:jc w:val="left"/>
            </w:pPr>
            <w:r>
              <w:rPr>
                <w:b w:val="0"/>
                <w:color w:val="333333"/>
                <w:sz w:val="19"/>
              </w:rPr>
              <w:t>Pin/Pan 분리, fixed-slot 재배치, 상태 보존, 동일 이미지 다중 슬롯</w:t>
            </w:r>
          </w:p>
        </w:tc>
      </w:tr>
      <w:tr>
        <w:tc>
          <w:tcPr>
            <w:tcW w:type="dxa" w:w="1701"/>
            <w:tcBorders>
              <w:left w:val="single" w:sz="5" w:color="C9D2E3"/>
              <w:top w:val="single" w:sz="5" w:color="C9D2E3"/>
              <w:right w:val="single" w:sz="5" w:color="C9D2E3"/>
              <w:bottom w:val="single" w:sz="5" w:color="C9D2E3"/>
            </w:tcBorders>
            <w:tcMar>
              <w:top w:w="90" w:type="dxa"/>
              <w:start w:w="110" w:type="dxa"/>
              <w:bottom w:w="90" w:type="dxa"/>
              <w:end w:w="110" w:type="dxa"/>
            </w:tcMar>
          </w:tcPr>
          <w:p>
            <w:pPr>
              <w:spacing w:before="0" w:after="0" w:line="274" w:lineRule="auto"/>
              <w:jc w:val="center"/>
            </w:pPr>
            <w:r>
              <w:rPr>
                <w:b/>
                <w:color w:val="333333"/>
                <w:sz w:val="19"/>
              </w:rPr>
              <w:t>독립항 20</w:t>
            </w:r>
          </w:p>
        </w:tc>
        <w:tc>
          <w:tcPr>
            <w:tcW w:type="dxa" w:w="2324"/>
            <w:tcBorders>
              <w:left w:val="single" w:sz="5" w:color="C9D2E3"/>
              <w:top w:val="single" w:sz="5" w:color="C9D2E3"/>
              <w:right w:val="single" w:sz="5" w:color="C9D2E3"/>
              <w:bottom w:val="single" w:sz="5" w:color="C9D2E3"/>
            </w:tcBorders>
            <w:tcMar>
              <w:top w:w="90" w:type="dxa"/>
              <w:start w:w="110" w:type="dxa"/>
              <w:bottom w:w="90" w:type="dxa"/>
              <w:end w:w="110" w:type="dxa"/>
            </w:tcMar>
          </w:tcPr>
          <w:p>
            <w:pPr>
              <w:spacing w:before="0" w:after="0" w:line="274" w:lineRule="auto"/>
              <w:jc w:val="center"/>
            </w:pPr>
            <w:r>
              <w:rPr>
                <w:b w:val="0"/>
                <w:color w:val="333333"/>
                <w:sz w:val="19"/>
              </w:rPr>
              <w:t>비일시적 컴퓨터 판독가능 기록매체</w:t>
            </w:r>
          </w:p>
        </w:tc>
        <w:tc>
          <w:tcPr>
            <w:tcW w:type="dxa" w:w="5159"/>
            <w:tcBorders>
              <w:left w:val="single" w:sz="5" w:color="C9D2E3"/>
              <w:top w:val="single" w:sz="5" w:color="C9D2E3"/>
              <w:right w:val="single" w:sz="5" w:color="C9D2E3"/>
              <w:bottom w:val="single" w:sz="5" w:color="C9D2E3"/>
            </w:tcBorders>
            <w:tcMar>
              <w:top w:w="90" w:type="dxa"/>
              <w:start w:w="110" w:type="dxa"/>
              <w:bottom w:w="90" w:type="dxa"/>
              <w:end w:w="110" w:type="dxa"/>
            </w:tcMar>
          </w:tcPr>
          <w:p>
            <w:pPr>
              <w:spacing w:before="0" w:after="0" w:line="274" w:lineRule="auto"/>
              <w:jc w:val="left"/>
            </w:pPr>
            <w:r>
              <w:rPr>
                <w:b w:val="0"/>
                <w:color w:val="333333"/>
                <w:sz w:val="19"/>
              </w:rPr>
              <w:t>소프트웨어 구현 경로 방어</w:t>
            </w:r>
          </w:p>
        </w:tc>
      </w:tr>
    </w:tbl>
    <w:p/>
    <w:p>
      <w:pPr>
        <w:spacing w:before="0" w:after="160" w:line="298" w:lineRule="auto"/>
        <w:jc w:val="both"/>
      </w:pPr>
      <w:r>
        <w:t>실무적으로는 독립항 1과 독립항 12를 주축으로 제출하고, 독립항 20으로 소프트웨어 배포 경로를 방어하는 구성이 무난합니다. 종속항은 구현이 직접 확인된 기능을 중심으로 묶어 회피설계를 어렵게 하되, 자동 특징점 정렬류의 표현은 현재 버전 기준으로 본 청구항군의 중심에 두지 않는 것이 안전합니다.</w:t>
      </w:r>
    </w:p>
    <w:p>
      <w:r>
        <w:br w:type="page"/>
      </w:r>
    </w:p>
    <w:p>
      <w:pPr>
        <w:pStyle w:val="Heading1"/>
      </w:pPr>
      <w:r>
        <w:t>3. 청구항 초안</w:t>
      </w:r>
    </w:p>
    <w:p>
      <w:pPr>
        <w:pStyle w:val="Heading2"/>
        <w:spacing w:before="80" w:after="40" w:line="264" w:lineRule="auto"/>
      </w:pPr>
      <w:r>
        <w:rPr>
          <w:b/>
          <w:color w:val="2F5597"/>
          <w:sz w:val="24"/>
        </w:rPr>
        <w:t>[청구항 1] (독립항, 방법)</w:t>
      </w:r>
    </w:p>
    <w:p>
      <w:pPr>
        <w:spacing w:before="0" w:after="80" w:line="317" w:lineRule="auto"/>
        <w:jc w:val="both"/>
      </w:pPr>
      <w:r>
        <w:rPr>
          <w:color w:val="222222"/>
          <w:sz w:val="20"/>
        </w:rPr>
        <w:t>다중 표시 슬롯 환경에서 복수 이미지의 기준 지점을 정합하는 방법에 있어서,</w:t>
        <w:br/>
        <w:t>(a) 복수의 표시 슬롯 중 각 표시 슬롯에 대응되는 이미지에 대하여 슬롯별 기준 참조점(refPoint)을 저장하는 단계;</w:t>
        <w:br/>
        <w:t>(b) 상기 복수의 표시 슬롯에 공통으로 적용되는 화면 기준 좌표(refScreenX, refScreenY)를 저장하는 단계;</w:t>
        <w:br/>
        <w:t>(c) 상기 슬롯별 기준 참조점과 연계되는 슬롯별 개별 배율 및 슬롯별 개별 회전값과, 상기 복수의 표시 슬롯에 공통으로 적용되는 전역 배율 및 전역 회전값을 결합하여 슬롯별 총배율 및 총회전각을 산출하는 단계;</w:t>
        <w:br/>
        <w:t>(d) 각 표시 슬롯의 이미지에서 상기 슬롯별 기준 참조점이 상기 화면 기준 좌표에 대응되도록 이미지 배치 좌표를 산출하는 정방향 표시 변환을 수행하는 단계;</w:t>
        <w:br/>
        <w:t>(e) 사용자 입력으로 획득된 화면 좌표를, 상기 정방향 표시 변환에 사용된 것과 동일한 파라미터 집합에 기초하여 원본 이미지 좌표로 환산하는 역방향 좌표 환산을 수행하는 단계; 및</w:t>
        <w:br/>
        <w:t>(f) 상기 역방향 좌표 환산 결과에 기초하여 적어도 하나의 슬롯별 기준 참조점 또는 상기 화면 기준 좌표를 갱신하는 단계를 포함하는 것을 특징으로 하는 사용자 주도형 다중 표시 슬롯 이미지 정합 방법.</w:t>
      </w:r>
    </w:p>
    <w:tbl>
      <w:tblPr>
        <w:tblW w:type="auto" w:w="0"/>
        <w:jc w:val="center"/>
        <w:tblLayout w:type="fixed"/>
        <w:tblLook w:firstColumn="1" w:firstRow="1" w:lastColumn="0" w:lastRow="0" w:noHBand="0" w:noVBand="1" w:val="04A0"/>
      </w:tblPr>
      <w:tblGrid>
        <w:gridCol w:w="9866"/>
      </w:tblGrid>
      <w:tr>
        <w:tc>
          <w:tcPr>
            <w:tcW w:type="dxa" w:w="9360"/>
            <w:shd w:fill="F8FBF2"/>
            <w:tcBorders>
              <w:left w:val="single" w:sz="10" w:color="C9D8A8"/>
              <w:top w:val="single" w:sz="10" w:color="C9D8A8"/>
              <w:right w:val="single" w:sz="10" w:color="C9D8A8"/>
              <w:bottom w:val="single" w:sz="10" w:color="C9D8A8"/>
            </w:tcBorders>
            <w:tcMar>
              <w:top w:w="120" w:type="dxa"/>
              <w:start w:w="160" w:type="dxa"/>
              <w:bottom w:w="120" w:type="dxa"/>
              <w:end w:w="160" w:type="dxa"/>
            </w:tcMar>
          </w:tcPr>
          <w:p>
            <w:pPr>
              <w:spacing w:before="0" w:after="60" w:line="264" w:lineRule="auto"/>
            </w:pPr>
            <w:r>
              <w:rPr>
                <w:b/>
                <w:color w:val="5B7A22"/>
                <w:sz w:val="23"/>
              </w:rPr>
              <w:t>쉬운 설명</w:t>
            </w:r>
          </w:p>
          <w:p>
            <w:pPr>
              <w:spacing w:before="0" w:after="0" w:line="300" w:lineRule="auto"/>
            </w:pPr>
            <w:r>
              <w:rPr>
                <w:color w:val="333333"/>
                <w:sz w:val="20"/>
              </w:rPr>
              <w:t>여러 창마다 기준점을 따로 저장하고, 모든 창이 공유하는 화면 기준 자리 하나를 두며, 확대·회전값을 합쳐 계산한 뒤, 표시할 때와 클릭을 읽을 때 같은 계산 규칙을 써서 관심 지점을 계속 붙잡는 방법입니다.</w:t>
            </w:r>
          </w:p>
        </w:tc>
      </w:tr>
    </w:tbl>
    <w:p/>
    <w:p>
      <w:pPr>
        <w:pStyle w:val="Heading2"/>
        <w:spacing w:before="80" w:after="40" w:line="264" w:lineRule="auto"/>
      </w:pPr>
      <w:r>
        <w:rPr>
          <w:b/>
          <w:color w:val="2F5597"/>
          <w:sz w:val="24"/>
        </w:rPr>
        <w:t>[청구항 2] (종속항)</w:t>
      </w:r>
    </w:p>
    <w:p>
      <w:pPr>
        <w:spacing w:before="0" w:after="80" w:line="317" w:lineRule="auto"/>
        <w:jc w:val="both"/>
      </w:pPr>
      <w:r>
        <w:rPr>
          <w:color w:val="222222"/>
          <w:sz w:val="20"/>
        </w:rPr>
        <w:t>청구항 1에 있어서, 상기 슬롯별 기준 참조점은 원본 이미지의 가로 및 세로 길이에 대한 비율값으로 표현되는 정규화 좌표계로 저장되는 것을 특징으로 하는 방법.</w:t>
      </w:r>
    </w:p>
    <w:p>
      <w:pPr>
        <w:pStyle w:val="Heading2"/>
        <w:spacing w:before="80" w:after="40" w:line="264" w:lineRule="auto"/>
      </w:pPr>
      <w:r>
        <w:rPr>
          <w:b/>
          <w:color w:val="2F5597"/>
          <w:sz w:val="24"/>
        </w:rPr>
        <w:t>[청구항 3] (종속항)</w:t>
      </w:r>
    </w:p>
    <w:p>
      <w:pPr>
        <w:spacing w:before="0" w:after="80" w:line="317" w:lineRule="auto"/>
        <w:jc w:val="both"/>
      </w:pPr>
      <w:r>
        <w:rPr>
          <w:color w:val="222222"/>
          <w:sz w:val="20"/>
        </w:rPr>
        <w:t>청구항 1에 있어서, 상기 정방향 표시 변환은 상기 슬롯별 기준 참조점이 상기 화면 기준 좌표에 일치하도록 배치 좌표 drawX 및 drawY를 산출하는 것을 특징으로 하는 방법.</w:t>
      </w:r>
    </w:p>
    <w:p>
      <w:pPr>
        <w:pStyle w:val="Heading2"/>
        <w:spacing w:before="80" w:after="40" w:line="264" w:lineRule="auto"/>
      </w:pPr>
      <w:r>
        <w:rPr>
          <w:b/>
          <w:color w:val="2F5597"/>
          <w:sz w:val="24"/>
        </w:rPr>
        <w:t>[청구항 4] (종속항)</w:t>
      </w:r>
    </w:p>
    <w:p>
      <w:pPr>
        <w:spacing w:before="0" w:after="80" w:line="317" w:lineRule="auto"/>
        <w:jc w:val="both"/>
      </w:pPr>
      <w:r>
        <w:rPr>
          <w:color w:val="222222"/>
          <w:sz w:val="20"/>
        </w:rPr>
        <w:t>청구항 1에 있어서, 상기 슬롯별 총배율은 슬롯별 개별 배율과 전역 배율의 곱으로 산출되는 것을 특징으로 하는 방법.</w:t>
      </w:r>
    </w:p>
    <w:p>
      <w:pPr>
        <w:pStyle w:val="Heading2"/>
        <w:spacing w:before="80" w:after="40" w:line="264" w:lineRule="auto"/>
      </w:pPr>
      <w:r>
        <w:rPr>
          <w:b/>
          <w:color w:val="2F5597"/>
          <w:sz w:val="24"/>
        </w:rPr>
        <w:t>[청구항 5] (종속항)</w:t>
      </w:r>
    </w:p>
    <w:p>
      <w:pPr>
        <w:spacing w:before="0" w:after="80" w:line="317" w:lineRule="auto"/>
        <w:jc w:val="both"/>
      </w:pPr>
      <w:r>
        <w:rPr>
          <w:color w:val="222222"/>
          <w:sz w:val="20"/>
        </w:rPr>
        <w:t>청구항 1에 있어서, 상기 슬롯별 총회전각은 슬롯별 개별 회전값과 전역 회전값의 합으로 산출되는 것을 특징으로 하는 방법.</w:t>
      </w:r>
    </w:p>
    <w:p>
      <w:pPr>
        <w:pStyle w:val="Heading2"/>
        <w:spacing w:before="80" w:after="40" w:line="264" w:lineRule="auto"/>
      </w:pPr>
      <w:r>
        <w:rPr>
          <w:b/>
          <w:color w:val="2F5597"/>
          <w:sz w:val="24"/>
        </w:rPr>
        <w:t>[청구항 6] (종속항)</w:t>
      </w:r>
    </w:p>
    <w:p>
      <w:pPr>
        <w:spacing w:before="0" w:after="80" w:line="317" w:lineRule="auto"/>
        <w:jc w:val="both"/>
      </w:pPr>
      <w:r>
        <w:rPr>
          <w:color w:val="222222"/>
          <w:sz w:val="20"/>
        </w:rPr>
        <w:t>청구항 1에 있어서, 상기 역방향 좌표 환산은 회전 중심을 기준으로 입력 좌표를 상기 슬롯별 총회전각의 반대 방향으로 역회전시키고, 이어서 상기 슬롯별 총배율 및 상기 배치 좌표에 대한 역적용을 수행하는 것을 특징으로 하는 방법.</w:t>
      </w:r>
    </w:p>
    <w:p>
      <w:pPr>
        <w:pStyle w:val="Heading2"/>
        <w:spacing w:before="80" w:after="40" w:line="264" w:lineRule="auto"/>
      </w:pPr>
      <w:r>
        <w:rPr>
          <w:b/>
          <w:color w:val="2F5597"/>
          <w:sz w:val="24"/>
        </w:rPr>
        <w:t>[청구항 7] (종속항)</w:t>
      </w:r>
    </w:p>
    <w:p>
      <w:pPr>
        <w:spacing w:before="0" w:after="80" w:line="317" w:lineRule="auto"/>
        <w:jc w:val="both"/>
      </w:pPr>
      <w:r>
        <w:rPr>
          <w:color w:val="222222"/>
          <w:sz w:val="20"/>
        </w:rPr>
        <w:t>청구항 1에 있어서, 동일한 원본 이미지가 복수의 표시 슬롯에 중복 배치되더라도 각 표시 슬롯은 서로 다른 슬롯별 기준 참조점을 유지하도록 구성되는 것을 특징으로 하는 방법.</w:t>
      </w:r>
    </w:p>
    <w:p>
      <w:pPr>
        <w:pStyle w:val="Heading2"/>
        <w:spacing w:before="80" w:after="40" w:line="264" w:lineRule="auto"/>
      </w:pPr>
      <w:r>
        <w:rPr>
          <w:b/>
          <w:color w:val="2F5597"/>
          <w:sz w:val="24"/>
        </w:rPr>
        <w:t>[청구항 8] (종속항)</w:t>
      </w:r>
    </w:p>
    <w:p>
      <w:pPr>
        <w:spacing w:before="0" w:after="80" w:line="317" w:lineRule="auto"/>
        <w:jc w:val="both"/>
      </w:pPr>
      <w:r>
        <w:rPr>
          <w:color w:val="222222"/>
          <w:sz w:val="20"/>
        </w:rPr>
        <w:t>청구항 1에 있어서, 기준점 설정 입력이 발생한 경우 상기 슬롯별 기준 참조점과 함께 상기 화면 기준 좌표가 동시에 갱신되는 것을 특징으로 하는 방법.</w:t>
      </w:r>
    </w:p>
    <w:p>
      <w:pPr>
        <w:pStyle w:val="Heading2"/>
        <w:spacing w:before="80" w:after="40" w:line="264" w:lineRule="auto"/>
      </w:pPr>
      <w:r>
        <w:rPr>
          <w:b/>
          <w:color w:val="2F5597"/>
          <w:sz w:val="24"/>
        </w:rPr>
        <w:t>[청구항 9] (종속항)</w:t>
      </w:r>
    </w:p>
    <w:p>
      <w:pPr>
        <w:spacing w:before="0" w:after="80" w:line="317" w:lineRule="auto"/>
        <w:jc w:val="both"/>
      </w:pPr>
      <w:r>
        <w:rPr>
          <w:color w:val="222222"/>
          <w:sz w:val="20"/>
        </w:rPr>
        <w:t>청구항 1에 있어서, 동기 이동 입력이 발생한 경우 상기 슬롯별 기준 참조점은 유지하되 상기 화면 기준 좌표가 갱신되어 복수의 표시 슬롯이 함께 이동하는 것을 특징으로 하는 방법.</w:t>
      </w:r>
    </w:p>
    <w:p>
      <w:pPr>
        <w:pStyle w:val="Heading2"/>
        <w:spacing w:before="80" w:after="40" w:line="264" w:lineRule="auto"/>
      </w:pPr>
      <w:r>
        <w:rPr>
          <w:b/>
          <w:color w:val="2F5597"/>
          <w:sz w:val="24"/>
        </w:rPr>
        <w:t>[청구항 10] (종속항)</w:t>
      </w:r>
    </w:p>
    <w:p>
      <w:pPr>
        <w:spacing w:before="0" w:after="80" w:line="317" w:lineRule="auto"/>
        <w:jc w:val="both"/>
      </w:pPr>
      <w:r>
        <w:rPr>
          <w:color w:val="222222"/>
          <w:sz w:val="20"/>
        </w:rPr>
        <w:t>청구항 1에 있어서, 사용자가 지정한 두 점에 기초하여 기준선의 각도를 산출하고, 상기 각도에 기초하여 상기 슬롯별 개별 회전값 또는 상기 전역 회전값 중 적어도 하나를 보정하는 leveling 단계를 더 포함하는 것을 특징으로 하는 방법.</w:t>
      </w:r>
    </w:p>
    <w:p>
      <w:pPr>
        <w:pStyle w:val="Heading2"/>
        <w:spacing w:before="80" w:after="40" w:line="264" w:lineRule="auto"/>
      </w:pPr>
      <w:r>
        <w:rPr>
          <w:b/>
          <w:color w:val="2F5597"/>
          <w:sz w:val="24"/>
        </w:rPr>
        <w:t>[청구항 11] (종속항)</w:t>
      </w:r>
    </w:p>
    <w:p>
      <w:pPr>
        <w:spacing w:before="0" w:after="80" w:line="317" w:lineRule="auto"/>
        <w:jc w:val="both"/>
      </w:pPr>
      <w:r>
        <w:rPr>
          <w:color w:val="222222"/>
          <w:sz w:val="20"/>
        </w:rPr>
        <w:t>청구항 1에 있어서, 상기 정방향 표시 변환과 상기 역방향 좌표 환산에 사용된 좌표 모델은 적어도 crosshair 표시, minimap viewport polygon 산출, 또는 capture 오버레이 생성 중 하나 이상에 재사용되는 것을 특징으로 하는 방법.</w:t>
      </w:r>
    </w:p>
    <w:p>
      <w:pPr>
        <w:pStyle w:val="Heading2"/>
        <w:spacing w:before="80" w:after="40" w:line="264" w:lineRule="auto"/>
      </w:pPr>
      <w:r>
        <w:rPr>
          <w:b/>
          <w:color w:val="2F5597"/>
          <w:sz w:val="24"/>
        </w:rPr>
        <w:t>[청구항 12] (독립항, 시스템)</w:t>
      </w:r>
    </w:p>
    <w:p>
      <w:pPr>
        <w:spacing w:before="0" w:after="80" w:line="317" w:lineRule="auto"/>
        <w:jc w:val="both"/>
      </w:pPr>
      <w:r>
        <w:rPr>
          <w:color w:val="222222"/>
          <w:sz w:val="20"/>
        </w:rPr>
        <w:t>다중 표시 슬롯 기반 사용자 주도 정밀 정합 시스템에 있어서,</w:t>
        <w:br/>
        <w:t>(a) 복수의 표시 슬롯 레이아웃을 선택하는 레이아웃 선택부;</w:t>
        <w:br/>
        <w:t>(b) 이미지 또는 동일 이미지의 복수 복제본을 선택된 레이아웃의 표시 슬롯들에 배치하는 이미지 배치부;</w:t>
        <w:br/>
        <w:t>(c) 각 표시 슬롯의 이미지와 연계된 슬롯별 기준 참조점을 저장하는 참조점 저장부;</w:t>
        <w:br/>
        <w:t>(d) 상기 복수의 표시 슬롯에 공통으로 적용되는 화면 기준 좌표를 저장하는 공통 좌표 저장부;</w:t>
        <w:br/>
        <w:t>(e) 슬롯별 개별 배율 및 회전값과 전역 배율 및 회전값을 결합하여 각 표시 슬롯의 정방향 표시 변환을 산출하는 변환 산출부;</w:t>
        <w:br/>
        <w:t>(f) 사용자 입력 화면 좌표를 상기 정방향 표시 변환과 동일한 파라미터 집합에 기초하여 원본 이미지 좌표로 해석하는 역변환 해석부;</w:t>
        <w:br/>
        <w:t>(g) 기준점 설정 입력 모드와 동기 이동 입력 모드를 구분하여 제공하는 입력 모드 제어부; 및</w:t>
        <w:br/>
        <w:t>(h) 고정된 표시 슬롯 구조는 유지한 채, 상기 표시 슬롯들에 배정된 이미지와 적어도 scale, rotation, filter, parameter 중 하나 이상의 상태를 재배치 정책에 따라 함께 이동시키는 재배치 제어부를 포함하는 것을 특징으로 하는 다중 표시 슬롯 기반 사용자 주도 정밀 정합 시스템.</w:t>
      </w:r>
    </w:p>
    <w:tbl>
      <w:tblPr>
        <w:tblW w:type="auto" w:w="0"/>
        <w:jc w:val="center"/>
        <w:tblLayout w:type="fixed"/>
        <w:tblLook w:firstColumn="1" w:firstRow="1" w:lastColumn="0" w:lastRow="0" w:noHBand="0" w:noVBand="1" w:val="04A0"/>
      </w:tblPr>
      <w:tblGrid>
        <w:gridCol w:w="9866"/>
      </w:tblGrid>
      <w:tr>
        <w:tc>
          <w:tcPr>
            <w:tcW w:type="dxa" w:w="9360"/>
            <w:shd w:fill="F8FBF2"/>
            <w:tcBorders>
              <w:left w:val="single" w:sz="10" w:color="C9D8A8"/>
              <w:top w:val="single" w:sz="10" w:color="C9D8A8"/>
              <w:right w:val="single" w:sz="10" w:color="C9D8A8"/>
              <w:bottom w:val="single" w:sz="10" w:color="C9D8A8"/>
            </w:tcBorders>
            <w:tcMar>
              <w:top w:w="120" w:type="dxa"/>
              <w:start w:w="160" w:type="dxa"/>
              <w:bottom w:w="120" w:type="dxa"/>
              <w:end w:w="160" w:type="dxa"/>
            </w:tcMar>
          </w:tcPr>
          <w:p>
            <w:pPr>
              <w:spacing w:before="0" w:after="60" w:line="264" w:lineRule="auto"/>
            </w:pPr>
            <w:r>
              <w:rPr>
                <w:b/>
                <w:color w:val="5B7A22"/>
                <w:sz w:val="23"/>
              </w:rPr>
              <w:t>쉬운 설명</w:t>
            </w:r>
          </w:p>
          <w:p>
            <w:pPr>
              <w:spacing w:before="0" w:after="0" w:line="300" w:lineRule="auto"/>
            </w:pPr>
            <w:r>
              <w:rPr>
                <w:color w:val="333333"/>
                <w:sz w:val="20"/>
              </w:rPr>
              <w:t>창의 자리 자체는 그대로 두고, 그 안에 들어 있는 이미지와 확대·회전·필터 상태만 옮겨 다니게 하면서, 각 창의 기준점을 공통 화면 기준에 맞춰 계속 비교할 수 있게 한 시스템입니다.</w:t>
            </w:r>
          </w:p>
        </w:tc>
      </w:tr>
    </w:tbl>
    <w:p/>
    <w:p>
      <w:pPr>
        <w:pStyle w:val="Heading2"/>
        <w:spacing w:before="80" w:after="40" w:line="264" w:lineRule="auto"/>
      </w:pPr>
      <w:r>
        <w:rPr>
          <w:b/>
          <w:color w:val="2F5597"/>
          <w:sz w:val="24"/>
        </w:rPr>
        <w:t>[청구항 13] (종속항)</w:t>
      </w:r>
    </w:p>
    <w:p>
      <w:pPr>
        <w:spacing w:before="0" w:after="80" w:line="317" w:lineRule="auto"/>
        <w:jc w:val="both"/>
      </w:pPr>
      <w:r>
        <w:rPr>
          <w:color w:val="222222"/>
          <w:sz w:val="20"/>
        </w:rPr>
        <w:t>청구항 12에 있어서, 상기 레이아웃 선택부는 적어도 2×2, 3×4 및 4×6 레이아웃 중 하나를 지원하여 최대 24개의 표시 슬롯을 제공하도록 구성되는 것을 특징으로 하는 시스템.</w:t>
      </w:r>
    </w:p>
    <w:p>
      <w:pPr>
        <w:pStyle w:val="Heading2"/>
        <w:spacing w:before="80" w:after="40" w:line="264" w:lineRule="auto"/>
      </w:pPr>
      <w:r>
        <w:rPr>
          <w:b/>
          <w:color w:val="2F5597"/>
          <w:sz w:val="24"/>
        </w:rPr>
        <w:t>[청구항 14] (종속항)</w:t>
      </w:r>
    </w:p>
    <w:p>
      <w:pPr>
        <w:spacing w:before="0" w:after="80" w:line="317" w:lineRule="auto"/>
        <w:jc w:val="both"/>
      </w:pPr>
      <w:r>
        <w:rPr>
          <w:color w:val="222222"/>
          <w:sz w:val="20"/>
        </w:rPr>
        <w:t>청구항 12에 있어서, 상기 재배치 제어부는 swap 방식 또는 shift 방식 중 선택된 정책에 따라 표시 슬롯들에 배정된 이미지와 변환 상태를 재배열하도록 구성되는 것을 특징으로 하는 시스템.</w:t>
      </w:r>
    </w:p>
    <w:p>
      <w:pPr>
        <w:pStyle w:val="Heading2"/>
        <w:spacing w:before="80" w:after="40" w:line="264" w:lineRule="auto"/>
      </w:pPr>
      <w:r>
        <w:rPr>
          <w:b/>
          <w:color w:val="2F5597"/>
          <w:sz w:val="24"/>
        </w:rPr>
        <w:t>[청구항 15] (종속항)</w:t>
      </w:r>
    </w:p>
    <w:p>
      <w:pPr>
        <w:spacing w:before="0" w:after="80" w:line="317" w:lineRule="auto"/>
        <w:jc w:val="both"/>
      </w:pPr>
      <w:r>
        <w:rPr>
          <w:color w:val="222222"/>
          <w:sz w:val="20"/>
        </w:rPr>
        <w:t>청구항 12에 있어서, 상기 재배치 제어부는 표시 슬롯의 고정 식별자는 유지한 채, 해당 식별자에 배정된 이미지와 scale, rotation, filter 및 filter parameter 상태를 함께 이동시키는 것을 특징으로 하는 시스템.</w:t>
      </w:r>
    </w:p>
    <w:p>
      <w:pPr>
        <w:pStyle w:val="Heading2"/>
        <w:spacing w:before="80" w:after="40" w:line="264" w:lineRule="auto"/>
      </w:pPr>
      <w:r>
        <w:rPr>
          <w:b/>
          <w:color w:val="2F5597"/>
          <w:sz w:val="24"/>
        </w:rPr>
        <w:t>[청구항 16] (종속항)</w:t>
      </w:r>
    </w:p>
    <w:p>
      <w:pPr>
        <w:spacing w:before="0" w:after="80" w:line="317" w:lineRule="auto"/>
        <w:jc w:val="both"/>
      </w:pPr>
      <w:r>
        <w:rPr>
          <w:color w:val="222222"/>
          <w:sz w:val="20"/>
        </w:rPr>
        <w:t>청구항 12에 있어서, 상기 참조점 저장부는 이미지 파일, 슬롯별 기준 참조점 및 원본 소스 식별자를 함께 연계하여 저장하도록 구성되는 것을 특징으로 하는 시스템.</w:t>
      </w:r>
    </w:p>
    <w:p>
      <w:pPr>
        <w:pStyle w:val="Heading2"/>
        <w:spacing w:before="80" w:after="40" w:line="264" w:lineRule="auto"/>
      </w:pPr>
      <w:r>
        <w:rPr>
          <w:b/>
          <w:color w:val="2F5597"/>
          <w:sz w:val="24"/>
        </w:rPr>
        <w:t>[청구항 17] (종속항)</w:t>
      </w:r>
    </w:p>
    <w:p>
      <w:pPr>
        <w:spacing w:before="0" w:after="80" w:line="317" w:lineRule="auto"/>
        <w:jc w:val="both"/>
      </w:pPr>
      <w:r>
        <w:rPr>
          <w:color w:val="222222"/>
          <w:sz w:val="20"/>
        </w:rPr>
        <w:t>청구항 12에 있어서, 상기 입력 모드 제어부는 기준점 설정 입력을 Pin 모드에서 수행하고, 공통 화면 기준 좌표의 이동을 Pan 모드에서 수행하도록 구성되는 것을 특징으로 하는 시스템.</w:t>
      </w:r>
    </w:p>
    <w:p>
      <w:pPr>
        <w:pStyle w:val="Heading2"/>
        <w:spacing w:before="80" w:after="40" w:line="264" w:lineRule="auto"/>
      </w:pPr>
      <w:r>
        <w:rPr>
          <w:b/>
          <w:color w:val="2F5597"/>
          <w:sz w:val="24"/>
        </w:rPr>
        <w:t>[청구항 18] (종속항)</w:t>
      </w:r>
    </w:p>
    <w:p>
      <w:pPr>
        <w:spacing w:before="0" w:after="80" w:line="317" w:lineRule="auto"/>
        <w:jc w:val="both"/>
      </w:pPr>
      <w:r>
        <w:rPr>
          <w:color w:val="222222"/>
          <w:sz w:val="20"/>
        </w:rPr>
        <w:t>청구항 12에 있어서, 상기 시스템은 동일한 원본 이미지를 복수의 표시 슬롯에 배치하여 서로 다른 관심 지점에 대한 병렬 관찰을 가능하게 하는 것을 특징으로 하는 시스템.</w:t>
      </w:r>
    </w:p>
    <w:p>
      <w:pPr>
        <w:pStyle w:val="Heading2"/>
        <w:spacing w:before="80" w:after="40" w:line="264" w:lineRule="auto"/>
      </w:pPr>
      <w:r>
        <w:rPr>
          <w:b/>
          <w:color w:val="2F5597"/>
          <w:sz w:val="24"/>
        </w:rPr>
        <w:t>[청구항 19] (종속항)</w:t>
      </w:r>
    </w:p>
    <w:p>
      <w:pPr>
        <w:spacing w:before="0" w:after="80" w:line="317" w:lineRule="auto"/>
        <w:jc w:val="both"/>
      </w:pPr>
      <w:r>
        <w:rPr>
          <w:color w:val="222222"/>
          <w:sz w:val="20"/>
        </w:rPr>
        <w:t>청구항 12에 있어서, 상기 변환 산출부 및 상기 역변환 해석부에서 사용되는 좌표 모델은 적어도 crosshair, minimap, rect-zoom 또는 capture 오버레이 중 하나 이상에 공통으로 재사용되는 것을 특징으로 하는 시스템.</w:t>
      </w:r>
    </w:p>
    <w:p>
      <w:pPr>
        <w:pStyle w:val="Heading2"/>
        <w:spacing w:before="80" w:after="40" w:line="264" w:lineRule="auto"/>
      </w:pPr>
      <w:r>
        <w:rPr>
          <w:b/>
          <w:color w:val="2F5597"/>
          <w:sz w:val="24"/>
        </w:rPr>
        <w:t>[청구항 20] (독립항, 기록매체)</w:t>
      </w:r>
    </w:p>
    <w:p>
      <w:pPr>
        <w:spacing w:before="0" w:after="80" w:line="317" w:lineRule="auto"/>
        <w:jc w:val="both"/>
      </w:pPr>
      <w:r>
        <w:rPr>
          <w:color w:val="222222"/>
          <w:sz w:val="20"/>
        </w:rPr>
        <w:t>청구항 1 내지 청구항 11 중 어느 한 항에 따른 방법 또는 청구항 12 내지 청구항 19 중 어느 한 항에 따른 시스템을 실행시키기 위한 명령어가 기록된 비일시적 컴퓨터 판독가능 기록매체.</w:t>
      </w:r>
    </w:p>
    <w:tbl>
      <w:tblPr>
        <w:tblW w:type="auto" w:w="0"/>
        <w:jc w:val="center"/>
        <w:tblLayout w:type="fixed"/>
        <w:tblLook w:firstColumn="1" w:firstRow="1" w:lastColumn="0" w:lastRow="0" w:noHBand="0" w:noVBand="1" w:val="04A0"/>
      </w:tblPr>
      <w:tblGrid>
        <w:gridCol w:w="9866"/>
      </w:tblGrid>
      <w:tr>
        <w:tc>
          <w:tcPr>
            <w:tcW w:type="dxa" w:w="9360"/>
            <w:shd w:fill="F8FBF2"/>
            <w:tcBorders>
              <w:left w:val="single" w:sz="10" w:color="C9D8A8"/>
              <w:top w:val="single" w:sz="10" w:color="C9D8A8"/>
              <w:right w:val="single" w:sz="10" w:color="C9D8A8"/>
              <w:bottom w:val="single" w:sz="10" w:color="C9D8A8"/>
            </w:tcBorders>
            <w:tcMar>
              <w:top w:w="120" w:type="dxa"/>
              <w:start w:w="160" w:type="dxa"/>
              <w:bottom w:w="120" w:type="dxa"/>
              <w:end w:w="160" w:type="dxa"/>
            </w:tcMar>
          </w:tcPr>
          <w:p>
            <w:pPr>
              <w:spacing w:before="0" w:after="60" w:line="264" w:lineRule="auto"/>
            </w:pPr>
            <w:r>
              <w:rPr>
                <w:b/>
                <w:color w:val="5B7A22"/>
                <w:sz w:val="23"/>
              </w:rPr>
              <w:t>쉬운 설명</w:t>
            </w:r>
          </w:p>
          <w:p>
            <w:pPr>
              <w:spacing w:before="0" w:after="0" w:line="300" w:lineRule="auto"/>
            </w:pPr>
            <w:r>
              <w:rPr>
                <w:color w:val="333333"/>
                <w:sz w:val="20"/>
              </w:rPr>
              <w:t>프로그램 자체를 배포하거나 탑재하는 형태까지 권리범위를 넓혀 두는 항입니다.</w:t>
            </w:r>
          </w:p>
        </w:tc>
      </w:tr>
    </w:tbl>
    <w:p/>
    <w:p>
      <w:pPr>
        <w:pStyle w:val="Heading2"/>
        <w:spacing w:before="80" w:after="40" w:line="264" w:lineRule="auto"/>
      </w:pPr>
      <w:r>
        <w:rPr>
          <w:b/>
          <w:color w:val="2F5597"/>
          <w:sz w:val="24"/>
        </w:rPr>
        <w:t>[청구항 21] (종속항)</w:t>
      </w:r>
    </w:p>
    <w:p>
      <w:pPr>
        <w:spacing w:before="0" w:after="80" w:line="317" w:lineRule="auto"/>
        <w:jc w:val="both"/>
      </w:pPr>
      <w:r>
        <w:rPr>
          <w:color w:val="222222"/>
          <w:sz w:val="20"/>
        </w:rPr>
        <w:t>청구항 20에 있어서, 상기 명령어는 기준점 설정 입력이 발생한 경우 슬롯별 기준 참조점과 화면 기준 좌표를 함께 갱신하도록 컴퓨터를 제어하는 것을 특징으로 하는 기록매체.</w:t>
      </w:r>
    </w:p>
    <w:p>
      <w:pPr>
        <w:pStyle w:val="Heading2"/>
        <w:spacing w:before="80" w:after="40" w:line="264" w:lineRule="auto"/>
      </w:pPr>
      <w:r>
        <w:rPr>
          <w:b/>
          <w:color w:val="2F5597"/>
          <w:sz w:val="24"/>
        </w:rPr>
        <w:t>[청구항 22] (종속항)</w:t>
      </w:r>
    </w:p>
    <w:p>
      <w:pPr>
        <w:spacing w:before="0" w:after="80" w:line="317" w:lineRule="auto"/>
        <w:jc w:val="both"/>
      </w:pPr>
      <w:r>
        <w:rPr>
          <w:color w:val="222222"/>
          <w:sz w:val="20"/>
        </w:rPr>
        <w:t>청구항 20에 있어서, 상기 명령어는 동기 이동 입력이 발생한 경우 슬롯별 기준 참조점을 유지하면서 화면 기준 좌표를 갱신하도록 컴퓨터를 제어하는 것을 특징으로 하는 기록매체.</w:t>
      </w:r>
    </w:p>
    <w:p>
      <w:pPr>
        <w:pStyle w:val="Heading2"/>
        <w:spacing w:before="80" w:after="40" w:line="264" w:lineRule="auto"/>
      </w:pPr>
      <w:r>
        <w:rPr>
          <w:b/>
          <w:color w:val="2F5597"/>
          <w:sz w:val="24"/>
        </w:rPr>
        <w:t>[청구항 23] (종속항)</w:t>
      </w:r>
    </w:p>
    <w:p>
      <w:pPr>
        <w:spacing w:before="0" w:after="80" w:line="317" w:lineRule="auto"/>
        <w:jc w:val="both"/>
      </w:pPr>
      <w:r>
        <w:rPr>
          <w:color w:val="222222"/>
          <w:sz w:val="20"/>
        </w:rPr>
        <w:t>청구항 20에 있어서, 상기 명령어는 표시 슬롯 재배치 시 고정된 슬롯 구조를 유지하면서 이미지와 변환 상태를 함께 이동시키도록 컴퓨터를 제어하는 것을 특징으로 하는 기록매체.</w:t>
      </w:r>
    </w:p>
    <w:p>
      <w:pPr>
        <w:pStyle w:val="Heading2"/>
        <w:spacing w:before="80" w:after="40" w:line="264" w:lineRule="auto"/>
      </w:pPr>
      <w:r>
        <w:rPr>
          <w:b/>
          <w:color w:val="2F5597"/>
          <w:sz w:val="24"/>
        </w:rPr>
        <w:t>[청구항 24] (종속항)</w:t>
      </w:r>
    </w:p>
    <w:p>
      <w:pPr>
        <w:spacing w:before="0" w:after="80" w:line="317" w:lineRule="auto"/>
        <w:jc w:val="both"/>
      </w:pPr>
      <w:r>
        <w:rPr>
          <w:color w:val="222222"/>
          <w:sz w:val="20"/>
        </w:rPr>
        <w:t>청구항 20에 있어서, 상기 명령어는 정방향 표시 변환과 역방향 좌표 환산에 사용되는 좌표 모델을 시각적 오버레이 생성에도 재사용하도록 컴퓨터를 제어하는 것을 특징으로 하는 기록매체.</w:t>
      </w:r>
    </w:p>
    <w:p>
      <w:r>
        <w:br w:type="page"/>
      </w:r>
    </w:p>
    <w:p>
      <w:pPr>
        <w:pStyle w:val="Heading1"/>
      </w:pPr>
      <w:r>
        <w:t>4. 종속항 묶음 해설</w:t>
      </w:r>
    </w:p>
    <w:p>
      <w:pPr>
        <w:pStyle w:val="Heading2"/>
      </w:pPr>
      <w:r>
        <w:t>4.1 청구항 2-11: 좌표 정합 엔진의 세부 방어</w:t>
      </w:r>
    </w:p>
    <w:p>
      <w:pPr>
        <w:spacing w:before="0" w:after="80" w:line="298" w:lineRule="auto"/>
        <w:jc w:val="both"/>
      </w:pPr>
      <w:r>
        <w:t>청구항 2 내지 11은 독립항 1을 구현 수준에서 조여 주는 항들입니다. 정규화 좌표 저장, drawX/drawY 정렬, local-global 변환 결합, 역회전 기반 역변환, 동일 이미지 다중 슬롯, Pin/Pan 분리, leveling, overlay 재사용을 넣어 두면 단순히 '기준점을 쓴다'는 수준을 넘어 실제 동작 메커니즘을 권리범위에 묶어 둘 수 있습니다.</w:t>
      </w:r>
    </w:p>
    <w:tbl>
      <w:tblPr>
        <w:tblW w:type="auto" w:w="0"/>
        <w:jc w:val="center"/>
        <w:tblLayout w:type="fixed"/>
        <w:tblLook w:firstColumn="1" w:firstRow="1" w:lastColumn="0" w:lastRow="0" w:noHBand="0" w:noVBand="1" w:val="04A0"/>
      </w:tblPr>
      <w:tblGrid>
        <w:gridCol w:w="9866"/>
      </w:tblGrid>
      <w:tr>
        <w:tc>
          <w:tcPr>
            <w:tcW w:type="dxa" w:w="9360"/>
            <w:shd w:fill="F5F7FA"/>
            <w:tcBorders>
              <w:left w:val="single" w:sz="10" w:color="D0D7DF"/>
              <w:top w:val="single" w:sz="10" w:color="D0D7DF"/>
              <w:right w:val="single" w:sz="10" w:color="D0D7DF"/>
              <w:bottom w:val="single" w:sz="10" w:color="D0D7DF"/>
            </w:tcBorders>
            <w:tcMar>
              <w:top w:w="120" w:type="dxa"/>
              <w:start w:w="160" w:type="dxa"/>
              <w:bottom w:w="120" w:type="dxa"/>
              <w:end w:w="160" w:type="dxa"/>
            </w:tcMar>
          </w:tcPr>
          <w:p>
            <w:pPr>
              <w:spacing w:before="0" w:after="60" w:line="264" w:lineRule="auto"/>
            </w:pPr>
            <w:r>
              <w:rPr>
                <w:b/>
                <w:color w:val="4A5568"/>
                <w:sz w:val="23"/>
              </w:rPr>
              <w:t>중학생 수준 설명</w:t>
            </w:r>
          </w:p>
          <w:p>
            <w:pPr>
              <w:spacing w:before="0" w:after="0" w:line="300" w:lineRule="auto"/>
            </w:pPr>
            <w:r>
              <w:rPr>
                <w:color w:val="333333"/>
                <w:sz w:val="20"/>
              </w:rPr>
              <w:t>쉽게 말하면 '어떻게 계산하고 어떻게 유지하는지'를 잘게 잘라 방어하는 부분입니다.</w:t>
            </w:r>
          </w:p>
        </w:tc>
      </w:tr>
    </w:tbl>
    <w:p/>
    <w:p>
      <w:pPr>
        <w:pStyle w:val="Heading2"/>
      </w:pPr>
      <w:r>
        <w:t>4.2 청구항 13-19: 운영 시스템의 회피설계 방어</w:t>
      </w:r>
    </w:p>
    <w:p>
      <w:pPr>
        <w:spacing w:before="0" w:after="80" w:line="298" w:lineRule="auto"/>
        <w:jc w:val="both"/>
      </w:pPr>
      <w:r>
        <w:t>청구항 13 내지 19는 제품 차별성이 강한 운영 체계를 보호합니다. 최대 24 슬롯 레이아웃, swap/shift 재배치, fixed-slot 상태 보존, 이미지-참조점-소스키 연계 저장, Pin/Pan 입력 모드 분리, 동일 이미지 다중 슬롯 병렬 관찰, overlay 공통 좌표 재사용을 함께 묶어 두면 경쟁사가 UI만 바꿔 유사 기능을 구현하더라도 회피가 어려워집니다.</w:t>
      </w:r>
    </w:p>
    <w:tbl>
      <w:tblPr>
        <w:tblW w:type="auto" w:w="0"/>
        <w:jc w:val="center"/>
        <w:tblLayout w:type="fixed"/>
        <w:tblLook w:firstColumn="1" w:firstRow="1" w:lastColumn="0" w:lastRow="0" w:noHBand="0" w:noVBand="1" w:val="04A0"/>
      </w:tblPr>
      <w:tblGrid>
        <w:gridCol w:w="9866"/>
      </w:tblGrid>
      <w:tr>
        <w:tc>
          <w:tcPr>
            <w:tcW w:type="dxa" w:w="9360"/>
            <w:shd w:fill="F5F7FA"/>
            <w:tcBorders>
              <w:left w:val="single" w:sz="10" w:color="D0D7DF"/>
              <w:top w:val="single" w:sz="10" w:color="D0D7DF"/>
              <w:right w:val="single" w:sz="10" w:color="D0D7DF"/>
              <w:bottom w:val="single" w:sz="10" w:color="D0D7DF"/>
            </w:tcBorders>
            <w:tcMar>
              <w:top w:w="120" w:type="dxa"/>
              <w:start w:w="160" w:type="dxa"/>
              <w:bottom w:w="120" w:type="dxa"/>
              <w:end w:w="160" w:type="dxa"/>
            </w:tcMar>
          </w:tcPr>
          <w:p>
            <w:pPr>
              <w:spacing w:before="0" w:after="60" w:line="264" w:lineRule="auto"/>
            </w:pPr>
            <w:r>
              <w:rPr>
                <w:b/>
                <w:color w:val="4A5568"/>
                <w:sz w:val="23"/>
              </w:rPr>
              <w:t>중학생 수준 설명</w:t>
            </w:r>
          </w:p>
          <w:p>
            <w:pPr>
              <w:spacing w:before="0" w:after="0" w:line="300" w:lineRule="auto"/>
            </w:pPr>
            <w:r>
              <w:rPr>
                <w:color w:val="333333"/>
                <w:sz w:val="20"/>
              </w:rPr>
              <w:t>쉽게 말하면 '창을 많이 띄우고, 순서를 바꿔도 상태가 안 깨지고, 같은 이미지를 여러 창에서 다른 포인트로 볼 수 있다'는 운영 방식 자체를 지키는 부분입니다.</w:t>
            </w:r>
          </w:p>
        </w:tc>
      </w:tr>
    </w:tbl>
    <w:p/>
    <w:p>
      <w:pPr>
        <w:pStyle w:val="Heading2"/>
      </w:pPr>
      <w:r>
        <w:t>4.3 청구항 21-24: 소프트웨어 배포 경로 방어</w:t>
      </w:r>
    </w:p>
    <w:p>
      <w:pPr>
        <w:spacing w:before="0" w:after="80" w:line="298" w:lineRule="auto"/>
        <w:jc w:val="both"/>
      </w:pPr>
      <w:r>
        <w:t>비일시적 기록매체 항은 SaaS가 아닌 데스크톱 앱, 배포 패키지, 온프레미스 설치형 제품에서 특히 실무적으로 유용합니다. 좌표 갱신, Pan, fixed-slot 재배치, 오버레이 재사용 등 소프트웨어 행위를 그대로 기록매체 청구항으로 연결해 두면 제품화 단계에서 집행 포인트가 늘어납니다.</w:t>
      </w:r>
    </w:p>
    <w:tbl>
      <w:tblPr>
        <w:tblW w:type="auto" w:w="0"/>
        <w:jc w:val="center"/>
        <w:tblLayout w:type="fixed"/>
        <w:tblLook w:firstColumn="1" w:firstRow="1" w:lastColumn="0" w:lastRow="0" w:noHBand="0" w:noVBand="1" w:val="04A0"/>
      </w:tblPr>
      <w:tblGrid>
        <w:gridCol w:w="9866"/>
      </w:tblGrid>
      <w:tr>
        <w:tc>
          <w:tcPr>
            <w:tcW w:type="dxa" w:w="9360"/>
            <w:shd w:fill="F5F7FA"/>
            <w:tcBorders>
              <w:left w:val="single" w:sz="10" w:color="D0D7DF"/>
              <w:top w:val="single" w:sz="10" w:color="D0D7DF"/>
              <w:right w:val="single" w:sz="10" w:color="D0D7DF"/>
              <w:bottom w:val="single" w:sz="10" w:color="D0D7DF"/>
            </w:tcBorders>
            <w:tcMar>
              <w:top w:w="120" w:type="dxa"/>
              <w:start w:w="160" w:type="dxa"/>
              <w:bottom w:w="120" w:type="dxa"/>
              <w:end w:w="160" w:type="dxa"/>
            </w:tcMar>
          </w:tcPr>
          <w:p>
            <w:pPr>
              <w:spacing w:before="0" w:after="60" w:line="264" w:lineRule="auto"/>
            </w:pPr>
            <w:r>
              <w:rPr>
                <w:b/>
                <w:color w:val="4A5568"/>
                <w:sz w:val="23"/>
              </w:rPr>
              <w:t>중학생 수준 설명</w:t>
            </w:r>
          </w:p>
          <w:p>
            <w:pPr>
              <w:spacing w:before="0" w:after="0" w:line="300" w:lineRule="auto"/>
            </w:pPr>
            <w:r>
              <w:rPr>
                <w:color w:val="333333"/>
                <w:sz w:val="20"/>
              </w:rPr>
              <w:t>쉽게 말하면 '프로그램으로 팔거나 배포하는 형태'까지 같이 막아 두는 항입니다.</w:t>
            </w:r>
          </w:p>
        </w:tc>
      </w:tr>
    </w:tbl>
    <w:p/>
    <w:p>
      <w:r>
        <w:br w:type="page"/>
      </w:r>
    </w:p>
    <w:p>
      <w:pPr>
        <w:pStyle w:val="Heading1"/>
      </w:pPr>
      <w:r>
        <w:t>5. 청구항별 코드 및 문서 지원 근거</w:t>
      </w:r>
    </w:p>
    <w:p>
      <w:pPr>
        <w:spacing w:before="0" w:after="120" w:line="298" w:lineRule="auto"/>
        <w:jc w:val="both"/>
      </w:pPr>
      <w:r>
        <w:t>아래 표는 청구항군별로 어떤 구현 근거가 확인되었는지, 그리고 어떤 표현을 조심해야 하는지 빠르게 검토하기 위한 내부용 매트릭스입니다. 파일명과 동작 포인트는 main 브랜치 분석 결과를 요약한 것입니다.</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474"/>
            <w:shd w:fill="D9E7F7"/>
            <w:tcBorders>
              <w:left w:val="single" w:sz="8" w:color="8FAFD6"/>
              <w:top w:val="single" w:sz="8" w:color="8FAFD6"/>
              <w:right w:val="single" w:sz="8" w:color="8FAFD6"/>
              <w:bottom w:val="single" w:sz="8" w:color="8FAFD6"/>
            </w:tcBorders>
            <w:tcMar>
              <w:top w:w="90" w:type="dxa"/>
              <w:start w:w="100" w:type="dxa"/>
              <w:bottom w:w="90" w:type="dxa"/>
              <w:end w:w="100" w:type="dxa"/>
            </w:tcMar>
          </w:tcPr>
          <w:p>
            <w:pPr>
              <w:spacing w:before="0" w:after="0" w:line="259" w:lineRule="auto"/>
              <w:jc w:val="center"/>
            </w:pPr>
            <w:r>
              <w:rPr>
                <w:b/>
                <w:color w:val="1F3A60"/>
                <w:sz w:val="19"/>
              </w:rPr>
              <w:t>대상 청구항</w:t>
            </w:r>
          </w:p>
        </w:tc>
        <w:tc>
          <w:tcPr>
            <w:tcW w:type="dxa" w:w="2268"/>
            <w:shd w:fill="D9E7F7"/>
            <w:tcBorders>
              <w:left w:val="single" w:sz="8" w:color="8FAFD6"/>
              <w:top w:val="single" w:sz="8" w:color="8FAFD6"/>
              <w:right w:val="single" w:sz="8" w:color="8FAFD6"/>
              <w:bottom w:val="single" w:sz="8" w:color="8FAFD6"/>
            </w:tcBorders>
            <w:tcMar>
              <w:top w:w="90" w:type="dxa"/>
              <w:start w:w="100" w:type="dxa"/>
              <w:bottom w:w="90" w:type="dxa"/>
              <w:end w:w="100" w:type="dxa"/>
            </w:tcMar>
          </w:tcPr>
          <w:p>
            <w:pPr>
              <w:spacing w:before="0" w:after="0" w:line="259" w:lineRule="auto"/>
              <w:jc w:val="center"/>
            </w:pPr>
            <w:r>
              <w:rPr>
                <w:b/>
                <w:color w:val="1F3A60"/>
                <w:sz w:val="19"/>
              </w:rPr>
              <w:t>주요 근거 위치</w:t>
            </w:r>
          </w:p>
        </w:tc>
        <w:tc>
          <w:tcPr>
            <w:tcW w:type="dxa" w:w="3402"/>
            <w:shd w:fill="D9E7F7"/>
            <w:tcBorders>
              <w:left w:val="single" w:sz="8" w:color="8FAFD6"/>
              <w:top w:val="single" w:sz="8" w:color="8FAFD6"/>
              <w:right w:val="single" w:sz="8" w:color="8FAFD6"/>
              <w:bottom w:val="single" w:sz="8" w:color="8FAFD6"/>
            </w:tcBorders>
            <w:tcMar>
              <w:top w:w="90" w:type="dxa"/>
              <w:start w:w="100" w:type="dxa"/>
              <w:bottom w:w="90" w:type="dxa"/>
              <w:end w:w="100" w:type="dxa"/>
            </w:tcMar>
          </w:tcPr>
          <w:p>
            <w:pPr>
              <w:spacing w:before="0" w:after="0" w:line="259" w:lineRule="auto"/>
              <w:jc w:val="center"/>
            </w:pPr>
            <w:r>
              <w:rPr>
                <w:b/>
                <w:color w:val="1F3A60"/>
                <w:sz w:val="19"/>
              </w:rPr>
              <w:t>확인된 사실</w:t>
            </w:r>
          </w:p>
        </w:tc>
        <w:tc>
          <w:tcPr>
            <w:tcW w:type="dxa" w:w="2324"/>
            <w:shd w:fill="D9E7F7"/>
            <w:tcBorders>
              <w:left w:val="single" w:sz="8" w:color="8FAFD6"/>
              <w:top w:val="single" w:sz="8" w:color="8FAFD6"/>
              <w:right w:val="single" w:sz="8" w:color="8FAFD6"/>
              <w:bottom w:val="single" w:sz="8" w:color="8FAFD6"/>
            </w:tcBorders>
            <w:tcMar>
              <w:top w:w="90" w:type="dxa"/>
              <w:start w:w="100" w:type="dxa"/>
              <w:bottom w:w="90" w:type="dxa"/>
              <w:end w:w="100" w:type="dxa"/>
            </w:tcMar>
          </w:tcPr>
          <w:p>
            <w:pPr>
              <w:spacing w:before="0" w:after="0" w:line="259" w:lineRule="auto"/>
              <w:jc w:val="center"/>
            </w:pPr>
            <w:r>
              <w:rPr>
                <w:b/>
                <w:color w:val="1F3A60"/>
                <w:sz w:val="19"/>
              </w:rPr>
              <w:t>작성 메모</w:t>
            </w:r>
          </w:p>
        </w:tc>
      </w:tr>
      <w:tr>
        <w:tc>
          <w:tcPr>
            <w:tcW w:type="dxa" w:w="147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center"/>
            </w:pPr>
            <w:r>
              <w:rPr>
                <w:b/>
                <w:color w:val="333333"/>
                <w:sz w:val="17"/>
              </w:rPr>
              <w:t>청구항 1, 3, 8</w:t>
            </w:r>
          </w:p>
        </w:tc>
        <w:tc>
          <w:tcPr>
            <w:tcW w:type="dxa" w:w="2268"/>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PinpointMode.tsx - handleSetRefPoint</w:t>
            </w:r>
          </w:p>
        </w:tc>
        <w:tc>
          <w:tcPr>
            <w:tcW w:type="dxa" w:w="3402"/>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slot별 refPoint 저장 후 refScreenX/refScreenY를 함께 갱신하는 흐름</w:t>
            </w:r>
          </w:p>
        </w:tc>
        <w:tc>
          <w:tcPr>
            <w:tcW w:type="dxa" w:w="232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독립항 핵심에 그대로 사용 가능</w:t>
            </w:r>
          </w:p>
        </w:tc>
      </w:tr>
      <w:tr>
        <w:tc>
          <w:tcPr>
            <w:tcW w:type="dxa" w:w="147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center"/>
            </w:pPr>
            <w:r>
              <w:rPr>
                <w:b/>
                <w:color w:val="333333"/>
                <w:sz w:val="17"/>
              </w:rPr>
              <w:t>청구항 1, 4, 5, 6</w:t>
            </w:r>
          </w:p>
        </w:tc>
        <w:tc>
          <w:tcPr>
            <w:tcW w:type="dxa" w:w="2268"/>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ImageCanvas.tsx</w:t>
            </w:r>
          </w:p>
        </w:tc>
        <w:tc>
          <w:tcPr>
            <w:tcW w:type="dxa" w:w="3402"/>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refPoint + refScreen + local/global scale·rotation으로 drawX/drawY 및 역방향 image 좌표 환산</w:t>
            </w:r>
          </w:p>
        </w:tc>
        <w:tc>
          <w:tcPr>
            <w:tcW w:type="dxa" w:w="232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폐루프 표현을 강하게 써도 됨</w:t>
            </w:r>
          </w:p>
        </w:tc>
      </w:tr>
      <w:tr>
        <w:tc>
          <w:tcPr>
            <w:tcW w:type="dxa" w:w="147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center"/>
            </w:pPr>
            <w:r>
              <w:rPr>
                <w:b/>
                <w:color w:val="333333"/>
                <w:sz w:val="17"/>
              </w:rPr>
              <w:t>청구항 7, 18</w:t>
            </w:r>
          </w:p>
        </w:tc>
        <w:tc>
          <w:tcPr>
            <w:tcW w:type="dxa" w:w="2268"/>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PinpointMode.tsx / Pinpoint 이미지 맵</w:t>
            </w:r>
          </w:p>
        </w:tc>
        <w:tc>
          <w:tcPr>
            <w:tcW w:type="dxa" w:w="3402"/>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동일 이미지의 복수 슬롯 배치 및 서로 다른 refPoint 운용 시나리오</w:t>
            </w:r>
          </w:p>
        </w:tc>
        <w:tc>
          <w:tcPr>
            <w:tcW w:type="dxa" w:w="232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단일 이미지 다중 관심점 병렬 관찰 근거</w:t>
            </w:r>
          </w:p>
        </w:tc>
      </w:tr>
      <w:tr>
        <w:tc>
          <w:tcPr>
            <w:tcW w:type="dxa" w:w="147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center"/>
            </w:pPr>
            <w:r>
              <w:rPr>
                <w:b/>
                <w:color w:val="333333"/>
                <w:sz w:val="17"/>
              </w:rPr>
              <w:t>청구항 10</w:t>
            </w:r>
          </w:p>
        </w:tc>
        <w:tc>
          <w:tcPr>
            <w:tcW w:type="dxa" w:w="2268"/>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README + 코드 분석</w:t>
            </w:r>
          </w:p>
        </w:tc>
        <w:tc>
          <w:tcPr>
            <w:tcW w:type="dxa" w:w="3402"/>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leveling 툴 존재 및 수평/수직 기준선 정렬 설명</w:t>
            </w:r>
          </w:p>
        </w:tc>
        <w:tc>
          <w:tcPr>
            <w:tcW w:type="dxa" w:w="232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종속항으로 두는 것이 적절</w:t>
            </w:r>
          </w:p>
        </w:tc>
      </w:tr>
      <w:tr>
        <w:tc>
          <w:tcPr>
            <w:tcW w:type="dxa" w:w="147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center"/>
            </w:pPr>
            <w:r>
              <w:rPr>
                <w:b/>
                <w:color w:val="333333"/>
                <w:sz w:val="17"/>
              </w:rPr>
              <w:t>청구항 12, 17</w:t>
            </w:r>
          </w:p>
        </w:tc>
        <w:tc>
          <w:tcPr>
            <w:tcW w:type="dxa" w:w="2268"/>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App shell / PinpointMode</w:t>
            </w:r>
          </w:p>
        </w:tc>
        <w:tc>
          <w:tcPr>
            <w:tcW w:type="dxa" w:w="3402"/>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Pin 모드와 Pan 모드 분리 제공</w:t>
            </w:r>
          </w:p>
        </w:tc>
        <w:tc>
          <w:tcPr>
            <w:tcW w:type="dxa" w:w="232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운영 시스템 독립항에 적합</w:t>
            </w:r>
          </w:p>
        </w:tc>
      </w:tr>
      <w:tr>
        <w:tc>
          <w:tcPr>
            <w:tcW w:type="dxa" w:w="147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center"/>
            </w:pPr>
            <w:r>
              <w:rPr>
                <w:b/>
                <w:color w:val="333333"/>
                <w:sz w:val="17"/>
              </w:rPr>
              <w:t>청구항 14, 15, 23</w:t>
            </w:r>
          </w:p>
        </w:tc>
        <w:tc>
          <w:tcPr>
            <w:tcW w:type="dxa" w:w="2268"/>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DraggableViewer.tsx + PinpointMode.tsx</w:t>
            </w:r>
          </w:p>
        </w:tc>
        <w:tc>
          <w:tcPr>
            <w:tcW w:type="dxa" w:w="3402"/>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Shift 드래그 개시, fixed-slot 유지, swap/shift 정책에 따라 image·scale·rotation·filter·params 이동</w:t>
            </w:r>
          </w:p>
        </w:tc>
        <w:tc>
          <w:tcPr>
            <w:tcW w:type="dxa" w:w="232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회피설계 방어 포인트로 매우 중요</w:t>
            </w:r>
          </w:p>
        </w:tc>
      </w:tr>
      <w:tr>
        <w:tc>
          <w:tcPr>
            <w:tcW w:type="dxa" w:w="147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center"/>
            </w:pPr>
            <w:r>
              <w:rPr>
                <w:b/>
                <w:color w:val="333333"/>
                <w:sz w:val="17"/>
              </w:rPr>
              <w:t>청구항 16</w:t>
            </w:r>
          </w:p>
        </w:tc>
        <w:tc>
          <w:tcPr>
            <w:tcW w:type="dxa" w:w="2268"/>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PinpointMode 로컬 상태 구조</w:t>
            </w:r>
          </w:p>
        </w:tc>
        <w:tc>
          <w:tcPr>
            <w:tcW w:type="dxa" w:w="3402"/>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file, refPoint, sourceKey를 연계하는 PinpointImage 구조</w:t>
            </w:r>
          </w:p>
        </w:tc>
        <w:tc>
          <w:tcPr>
            <w:tcW w:type="dxa" w:w="232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명세서 실시예에 상세 기재 권장</w:t>
            </w:r>
          </w:p>
        </w:tc>
      </w:tr>
      <w:tr>
        <w:tc>
          <w:tcPr>
            <w:tcW w:type="dxa" w:w="147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center"/>
            </w:pPr>
            <w:r>
              <w:rPr>
                <w:b/>
                <w:color w:val="333333"/>
                <w:sz w:val="17"/>
              </w:rPr>
              <w:t>청구항 11, 19, 24</w:t>
            </w:r>
          </w:p>
        </w:tc>
        <w:tc>
          <w:tcPr>
            <w:tcW w:type="dxa" w:w="2268"/>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ImageCanvas / minimap / capture</w:t>
            </w:r>
          </w:p>
        </w:tc>
        <w:tc>
          <w:tcPr>
            <w:tcW w:type="dxa" w:w="3402"/>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같은 좌표 모델을 crosshair, minimap polygon, capture 오버레이에 재사용</w:t>
            </w:r>
          </w:p>
        </w:tc>
        <w:tc>
          <w:tcPr>
            <w:tcW w:type="dxa" w:w="2324"/>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부가 시각화 일관성 강조 가능</w:t>
            </w:r>
          </w:p>
        </w:tc>
      </w:tr>
      <w:tr>
        <w:tc>
          <w:tcPr>
            <w:tcW w:type="dxa" w:w="1474"/>
            <w:shd w:fill="FFEFD1"/>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center"/>
            </w:pPr>
            <w:r>
              <w:rPr>
                <w:b/>
                <w:color w:val="333333"/>
                <w:sz w:val="17"/>
              </w:rPr>
              <w:t>문구 주의 1</w:t>
            </w:r>
          </w:p>
        </w:tc>
        <w:tc>
          <w:tcPr>
            <w:tcW w:type="dxa" w:w="2268"/>
            <w:shd w:fill="FFF7E7"/>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코드 전반</w:t>
            </w:r>
          </w:p>
        </w:tc>
        <w:tc>
          <w:tcPr>
            <w:tcW w:type="dxa" w:w="3402"/>
            <w:shd w:fill="FFF7E7"/>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자동 특징점 registration 파이프라인은 현행 main 브랜치에서 중심 구현으로 확인되지 않음</w:t>
            </w:r>
          </w:p>
        </w:tc>
        <w:tc>
          <w:tcPr>
            <w:tcW w:type="dxa" w:w="2324"/>
            <w:shd w:fill="FFF7E7"/>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독립항 중심 표현에서 제외</w:t>
            </w:r>
          </w:p>
        </w:tc>
      </w:tr>
      <w:tr>
        <w:tc>
          <w:tcPr>
            <w:tcW w:type="dxa" w:w="1474"/>
            <w:shd w:fill="FFEFD1"/>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center"/>
            </w:pPr>
            <w:r>
              <w:rPr>
                <w:b/>
                <w:color w:val="333333"/>
                <w:sz w:val="17"/>
              </w:rPr>
              <w:t>문구 주의 2</w:t>
            </w:r>
          </w:p>
        </w:tc>
        <w:tc>
          <w:tcPr>
            <w:tcW w:type="dxa" w:w="2268"/>
            <w:shd w:fill="FFF7E7"/>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README vs 실제 코드</w:t>
            </w:r>
          </w:p>
        </w:tc>
        <w:tc>
          <w:tcPr>
            <w:tcW w:type="dxa" w:w="3402"/>
            <w:shd w:fill="FFF7E7"/>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README는 local-first를 강조하나 로깅/업데이트 계층 존재</w:t>
            </w:r>
          </w:p>
        </w:tc>
        <w:tc>
          <w:tcPr>
            <w:tcW w:type="dxa" w:w="2324"/>
            <w:shd w:fill="FFF7E7"/>
            <w:tcBorders>
              <w:left w:val="single" w:sz="5" w:color="CDD6E5"/>
              <w:top w:val="single" w:sz="5" w:color="CDD6E5"/>
              <w:right w:val="single" w:sz="5" w:color="CDD6E5"/>
              <w:bottom w:val="single" w:sz="5" w:color="CDD6E5"/>
            </w:tcBorders>
            <w:tcMar>
              <w:top w:w="80" w:type="dxa"/>
              <w:start w:w="90" w:type="dxa"/>
              <w:bottom w:w="80" w:type="dxa"/>
              <w:end w:w="90" w:type="dxa"/>
            </w:tcMar>
            <w:vAlign w:val="center"/>
          </w:tcPr>
          <w:p>
            <w:pPr>
              <w:spacing w:before="0" w:after="0" w:line="259" w:lineRule="auto"/>
              <w:jc w:val="left"/>
            </w:pPr>
            <w:r>
              <w:rPr>
                <w:b w:val="0"/>
                <w:color w:val="333333"/>
                <w:sz w:val="17"/>
              </w:rPr>
              <w:t>완전한 client-only 단정 표현은 피하는 것이 안전</w:t>
            </w:r>
          </w:p>
        </w:tc>
      </w:tr>
    </w:tbl>
    <w:p>
      <w:r>
        <w:br w:type="page"/>
      </w:r>
    </w:p>
    <w:p>
      <w:pPr>
        <w:pStyle w:val="Heading1"/>
      </w:pPr>
      <w:r>
        <w:t>6. 팩트체크 기반 보정사항</w:t>
      </w:r>
    </w:p>
    <w:p>
      <w:pPr>
        <w:pStyle w:val="Heading2"/>
      </w:pPr>
      <w:r>
        <w:t>6.1 강하게 써도 되는 문장</w:t>
      </w:r>
    </w:p>
    <w:p>
      <w:pPr>
        <w:pStyle w:val="ListBullet"/>
        <w:spacing w:before="0" w:after="20" w:line="276" w:lineRule="auto"/>
      </w:pPr>
      <w:r>
        <w:rPr>
          <w:color w:val="222222"/>
          <w:sz w:val="20"/>
        </w:rPr>
        <w:t>표시 슬롯별 기준 참조점과 공통 화면 기준 좌표를 분리 저장하고 함께 운용한다.</w:t>
      </w:r>
    </w:p>
    <w:p>
      <w:pPr>
        <w:pStyle w:val="ListBullet"/>
        <w:spacing w:before="0" w:after="20" w:line="276" w:lineRule="auto"/>
      </w:pPr>
      <w:r>
        <w:rPr>
          <w:color w:val="222222"/>
          <w:sz w:val="20"/>
        </w:rPr>
        <w:t>정방향 표시 변환과 역방향 좌표 환산이 동일 파라미터 집합을 공유한다.</w:t>
      </w:r>
    </w:p>
    <w:p>
      <w:pPr>
        <w:pStyle w:val="ListBullet"/>
        <w:spacing w:before="0" w:after="20" w:line="276" w:lineRule="auto"/>
      </w:pPr>
      <w:r>
        <w:rPr>
          <w:color w:val="222222"/>
          <w:sz w:val="20"/>
        </w:rPr>
        <w:t>개별 scale·rotation과 전역 scale·rotation을 결합하여 동작한다.</w:t>
      </w:r>
    </w:p>
    <w:p>
      <w:pPr>
        <w:pStyle w:val="ListBullet"/>
        <w:spacing w:before="0" w:after="20" w:line="276" w:lineRule="auto"/>
      </w:pPr>
      <w:r>
        <w:rPr>
          <w:color w:val="222222"/>
          <w:sz w:val="20"/>
        </w:rPr>
        <w:t>고정된 표시 슬롯 구조를 유지한 채 image·scale·rotation·filter·parameter 상태를 재배치 정책에 따라 함께 이동시킨다.</w:t>
      </w:r>
    </w:p>
    <w:p>
      <w:pPr>
        <w:pStyle w:val="ListBullet"/>
        <w:spacing w:before="0" w:after="20" w:line="276" w:lineRule="auto"/>
      </w:pPr>
      <w:r>
        <w:rPr>
          <w:color w:val="222222"/>
          <w:sz w:val="20"/>
        </w:rPr>
        <w:t>동일 이미지를 복수 슬롯에 배치하여 서로 다른 관심 지점을 병렬 관찰할 수 있다.</w:t>
      </w:r>
    </w:p>
    <w:p>
      <w:pPr>
        <w:pStyle w:val="Heading2"/>
      </w:pPr>
      <w:r>
        <w:t>6.2 표현을 낮추거나 실시예로 내리는 것이 좋은 문장</w:t>
      </w:r>
    </w:p>
    <w:p>
      <w:pPr>
        <w:pStyle w:val="ListBullet"/>
        <w:spacing w:before="0" w:after="20" w:line="276" w:lineRule="auto"/>
      </w:pPr>
      <w:r>
        <w:rPr>
          <w:color w:val="7A2E2E"/>
          <w:sz w:val="20"/>
        </w:rPr>
        <w:t>자동 특징점 추출에 의해 자동 정합을 수행한다.</w:t>
      </w:r>
    </w:p>
    <w:p>
      <w:pPr>
        <w:pStyle w:val="ListBullet"/>
        <w:spacing w:before="0" w:after="20" w:line="276" w:lineRule="auto"/>
      </w:pPr>
      <w:r>
        <w:rPr>
          <w:color w:val="7A2E2E"/>
          <w:sz w:val="20"/>
        </w:rPr>
        <w:t>모든 처리가 외부 통신 없이 완전한 client-only로 이루어진다.</w:t>
      </w:r>
    </w:p>
    <w:p>
      <w:pPr>
        <w:pStyle w:val="ListBullet"/>
        <w:spacing w:before="0" w:after="20" w:line="276" w:lineRule="auto"/>
      </w:pPr>
      <w:r>
        <w:rPr>
          <w:color w:val="7A2E2E"/>
          <w:sz w:val="20"/>
        </w:rPr>
        <w:t>Analysis 모드가 현행 main 브랜치에서 slot별 독립 rotation을 명확히 보장한다.</w:t>
      </w:r>
    </w:p>
    <w:p>
      <w:pPr>
        <w:pStyle w:val="ListBullet"/>
        <w:spacing w:before="0" w:after="20" w:line="276" w:lineRule="auto"/>
      </w:pPr>
      <w:r>
        <w:rPr>
          <w:color w:val="7A2E2E"/>
          <w:sz w:val="20"/>
        </w:rPr>
        <w:t>드리프트 자동 검증 로직이 제품 내에서 필수 동작으로 이미 구현되어 있다.</w:t>
      </w:r>
    </w:p>
    <w:tbl>
      <w:tblPr>
        <w:tblW w:type="auto" w:w="0"/>
        <w:jc w:val="center"/>
        <w:tblLayout w:type="fixed"/>
        <w:tblLook w:firstColumn="1" w:firstRow="1" w:lastColumn="0" w:lastRow="0" w:noHBand="0" w:noVBand="1" w:val="04A0"/>
      </w:tblPr>
      <w:tblGrid>
        <w:gridCol w:w="9866"/>
      </w:tblGrid>
      <w:tr>
        <w:tc>
          <w:tcPr>
            <w:tcW w:type="dxa" w:w="9360"/>
            <w:shd w:fill="FFF7E7"/>
            <w:tcBorders>
              <w:left w:val="single" w:sz="10" w:color="E4C47A"/>
              <w:top w:val="single" w:sz="10" w:color="E4C47A"/>
              <w:right w:val="single" w:sz="10" w:color="E4C47A"/>
              <w:bottom w:val="single" w:sz="10" w:color="E4C47A"/>
            </w:tcBorders>
            <w:tcMar>
              <w:top w:w="120" w:type="dxa"/>
              <w:start w:w="160" w:type="dxa"/>
              <w:bottom w:w="120" w:type="dxa"/>
              <w:end w:w="160" w:type="dxa"/>
            </w:tcMar>
          </w:tcPr>
          <w:p>
            <w:pPr>
              <w:spacing w:before="0" w:after="60" w:line="264" w:lineRule="auto"/>
            </w:pPr>
            <w:r>
              <w:rPr>
                <w:b/>
                <w:color w:val="9A6700"/>
                <w:sz w:val="23"/>
              </w:rPr>
              <w:t>실무 메모</w:t>
            </w:r>
          </w:p>
          <w:p>
            <w:pPr>
              <w:spacing w:before="0" w:after="0" w:line="300" w:lineRule="auto"/>
            </w:pPr>
            <w:r>
              <w:rPr>
                <w:color w:val="333333"/>
                <w:sz w:val="20"/>
              </w:rPr>
              <w:t>특허에서는 구현 코드를 그대로 베끼기보다, 코드가 보장하는 원리를 더 일반화해서 쓰는 것이 좋습니다. 다만 현행 제품이 아직 보여 주지 않는 범위까지 독립항을 무리하게 넓히면 진보성/기재요건 리스크가 커질 수 있으므로, 이번 초안은 '코드로 확인된 구조를 중심으로 넓히는 방식'을 택했습니다.</w:t>
            </w:r>
          </w:p>
        </w:tc>
      </w:tr>
    </w:tbl>
    <w:p/>
    <w:p>
      <w:pPr>
        <w:pStyle w:val="Heading1"/>
      </w:pPr>
      <w:r>
        <w:t>7. 변리사 전달 메모</w:t>
      </w:r>
    </w:p>
    <w:p>
      <w:pPr>
        <w:pStyle w:val="ListNumber"/>
        <w:spacing w:before="0" w:after="40" w:line="283" w:lineRule="auto"/>
      </w:pPr>
      <w:r>
        <w:rPr>
          <w:color w:val="222222"/>
          <w:sz w:val="20"/>
        </w:rPr>
        <w:t>출원 명칭은 '기준 참조점 고정형 다중 표시 슬롯 정합 엔진 및 운영 시스템' 계열로 정리하는 것이 현재 구현과 가장 잘 맞습니다.</w:t>
      </w:r>
    </w:p>
    <w:p>
      <w:pPr>
        <w:pStyle w:val="ListNumber"/>
        <w:spacing w:before="0" w:after="40" w:line="283" w:lineRule="auto"/>
      </w:pPr>
      <w:r>
        <w:rPr>
          <w:color w:val="222222"/>
          <w:sz w:val="20"/>
        </w:rPr>
        <w:t>명세서 본문에는 viewer라는 표현 대신 '표시 슬롯' 또는 '표시창'을 사용하고, 괄호로 viewer를 병기하는 편이 좋습니다.</w:t>
      </w:r>
    </w:p>
    <w:p>
      <w:pPr>
        <w:pStyle w:val="ListNumber"/>
        <w:spacing w:before="0" w:after="40" w:line="283" w:lineRule="auto"/>
      </w:pPr>
      <w:r>
        <w:rPr>
          <w:color w:val="222222"/>
          <w:sz w:val="20"/>
        </w:rPr>
        <w:t>청구항 1과 12를 주축으로 심사 대응을 설계하고, 선행기술 검토 결과에 따라 청구항 10(leveling), 11/19(overlay 공통 좌표 재사용), 14/15(재배치 방식)을 우선 유지하는 전략이 좋습니다.</w:t>
      </w:r>
    </w:p>
    <w:p>
      <w:pPr>
        <w:pStyle w:val="ListNumber"/>
        <w:spacing w:before="0" w:after="40" w:line="283" w:lineRule="auto"/>
      </w:pPr>
      <w:r>
        <w:rPr>
          <w:color w:val="222222"/>
          <w:sz w:val="20"/>
        </w:rPr>
        <w:t>명세서 도면에는 최소한 (i) 상태 저장 위치 도면, (ii) 입력-역변환-상태갱신-정방향표시 폐루프 도면, (iii) fixed-slot 상태 보존 재배치 도면을 포함하는 것이 바람직합니다.</w:t>
      </w:r>
    </w:p>
    <w:p>
      <w:pPr>
        <w:pStyle w:val="ListNumber"/>
        <w:spacing w:before="0" w:after="40" w:line="283" w:lineRule="auto"/>
      </w:pPr>
      <w:r>
        <w:rPr>
          <w:color w:val="222222"/>
          <w:sz w:val="20"/>
        </w:rPr>
        <w:t>compareX 프로젝트 적용 사실은 산업상 이용 가능성 및 실시 가능성 설명에 적극 활용하되, 청구항 본문에는 제품명 자체를 넣지 않는 편이 좋습니다.</w:t>
      </w:r>
    </w:p>
    <w:tbl>
      <w:tblPr>
        <w:tblW w:type="auto" w:w="0"/>
        <w:jc w:val="center"/>
        <w:tblLayout w:type="fixed"/>
        <w:tblLook w:firstColumn="1" w:firstRow="1" w:lastColumn="0" w:lastRow="0" w:noHBand="0" w:noVBand="1" w:val="04A0"/>
      </w:tblPr>
      <w:tblGrid>
        <w:gridCol w:w="9866"/>
      </w:tblGrid>
      <w:tr>
        <w:tc>
          <w:tcPr>
            <w:tcW w:type="dxa" w:w="9360"/>
            <w:shd w:fill="F8FBF2"/>
            <w:tcBorders>
              <w:left w:val="single" w:sz="10" w:color="C9D8A8"/>
              <w:top w:val="single" w:sz="10" w:color="C9D8A8"/>
              <w:right w:val="single" w:sz="10" w:color="C9D8A8"/>
              <w:bottom w:val="single" w:sz="10" w:color="C9D8A8"/>
            </w:tcBorders>
            <w:tcMar>
              <w:top w:w="120" w:type="dxa"/>
              <w:start w:w="160" w:type="dxa"/>
              <w:bottom w:w="120" w:type="dxa"/>
              <w:end w:w="160" w:type="dxa"/>
            </w:tcMar>
          </w:tcPr>
          <w:p>
            <w:pPr>
              <w:spacing w:before="0" w:after="60" w:line="264" w:lineRule="auto"/>
            </w:pPr>
            <w:r>
              <w:rPr>
                <w:b/>
                <w:color w:val="5B7A22"/>
                <w:sz w:val="23"/>
              </w:rPr>
              <w:t>중학생 수준 설명</w:t>
            </w:r>
          </w:p>
          <w:p>
            <w:pPr>
              <w:spacing w:before="0" w:after="0" w:line="300" w:lineRule="auto"/>
            </w:pPr>
            <w:r>
              <w:rPr>
                <w:color w:val="333333"/>
                <w:sz w:val="20"/>
              </w:rPr>
              <w:t>변리사에게는 '이 기술의 진짜 핵심이 무엇이고, 어떤 표현은 강하게 써도 되고 어떤 표현은 조심해야 하는지'를 바로 전달하면 됩니다. 이번 문서는 그걸 한 번에 넘기기 쉽게 만든 버전입니다.</w:t>
            </w:r>
          </w:p>
        </w:tc>
      </w:tr>
    </w:tbl>
    <w:sectPr w:rsidR="00FC693F" w:rsidRPr="0006063C" w:rsidSect="00034616">
      <w:footerReference w:type="default" r:id="rId9"/>
      <w:pgSz w:w="11906" w:h="16838"/>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80"/>
    </w:pPr>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