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495"/>
        <w:gridCol w:w="1047"/>
        <w:gridCol w:w="1470"/>
        <w:gridCol w:w="2344"/>
        <w:gridCol w:w="882"/>
        <w:gridCol w:w="1322"/>
        <w:gridCol w:w="1009"/>
      </w:tblGrid>
      <w:tr w:rsidR="003878F6" w:rsidRPr="00207616" w:rsidTr="001C082D">
        <w:trPr>
          <w:trHeight w:val="197"/>
          <w:tblHeader/>
          <w:jc w:val="center"/>
        </w:trPr>
        <w:tc>
          <w:tcPr>
            <w:tcW w:w="781"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Composantes du projet/</w:t>
            </w:r>
          </w:p>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Programmes</w:t>
            </w:r>
          </w:p>
        </w:tc>
        <w:tc>
          <w:tcPr>
            <w:tcW w:w="547" w:type="pct"/>
            <w:vMerge w:val="restart"/>
            <w:shd w:val="clear" w:color="auto" w:fill="FFFFFF"/>
            <w:vAlign w:val="center"/>
          </w:tcPr>
          <w:p w:rsidR="003878F6" w:rsidRPr="006C06EA" w:rsidRDefault="003878F6" w:rsidP="001C082D">
            <w:pPr>
              <w:keepNext/>
              <w:ind w:left="-102" w:right="-96"/>
              <w:jc w:val="center"/>
              <w:outlineLvl w:val="2"/>
              <w:rPr>
                <w:rFonts w:eastAsia="Times New Roman"/>
                <w:b/>
                <w:iCs/>
                <w:color w:val="000000"/>
                <w:sz w:val="18"/>
                <w:szCs w:val="18"/>
              </w:rPr>
            </w:pPr>
            <w:r w:rsidRPr="006C06EA">
              <w:rPr>
                <w:b/>
                <w:iCs/>
                <w:color w:val="000000"/>
                <w:sz w:val="18"/>
                <w:szCs w:val="18"/>
                <w:lang w:val="fr"/>
              </w:rPr>
              <w:t>Type de composant</w:t>
            </w:r>
          </w:p>
        </w:tc>
        <w:tc>
          <w:tcPr>
            <w:tcW w:w="768"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Résultats du projet</w:t>
            </w:r>
          </w:p>
        </w:tc>
        <w:tc>
          <w:tcPr>
            <w:tcW w:w="1225"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Extrants du projet</w:t>
            </w:r>
          </w:p>
        </w:tc>
        <w:tc>
          <w:tcPr>
            <w:tcW w:w="461" w:type="pct"/>
            <w:vMerge w:val="restar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Fonds fiduciaire</w:t>
            </w:r>
          </w:p>
        </w:tc>
        <w:tc>
          <w:tcPr>
            <w:tcW w:w="1218" w:type="pct"/>
            <w:gridSpan w:val="2"/>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(en $)</w:t>
            </w:r>
          </w:p>
        </w:tc>
      </w:tr>
      <w:tr w:rsidR="003878F6" w:rsidRPr="00207616" w:rsidTr="001C082D">
        <w:trPr>
          <w:trHeight w:val="120"/>
          <w:tblHeader/>
          <w:jc w:val="center"/>
        </w:trPr>
        <w:tc>
          <w:tcPr>
            <w:tcW w:w="781"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547"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768"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1225"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461" w:type="pct"/>
            <w:vMerge/>
            <w:shd w:val="clear" w:color="auto" w:fill="FFFFFF"/>
          </w:tcPr>
          <w:p w:rsidR="003878F6" w:rsidRPr="006C06EA" w:rsidRDefault="003878F6" w:rsidP="001C082D">
            <w:pPr>
              <w:keepNext/>
              <w:jc w:val="center"/>
              <w:outlineLvl w:val="2"/>
              <w:rPr>
                <w:b/>
                <w:iCs/>
                <w:color w:val="000000"/>
                <w:sz w:val="18"/>
                <w:szCs w:val="18"/>
                <w:lang w:val="fr"/>
              </w:rPr>
            </w:pPr>
          </w:p>
        </w:tc>
        <w:tc>
          <w:tcPr>
            <w:tcW w:w="691" w:type="pc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Financement de projets du FEM</w:t>
            </w:r>
          </w:p>
        </w:tc>
        <w:tc>
          <w:tcPr>
            <w:tcW w:w="527" w:type="pc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Co-financement confirmé</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Composante 1. Institutionnalisation de la mobilité électrique bas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 xml:space="preserve">Assistance </w:t>
            </w:r>
            <w:r>
              <w:rPr>
                <w:color w:val="000000"/>
                <w:sz w:val="19"/>
                <w:szCs w:val="19"/>
                <w:lang w:val="fr"/>
              </w:rPr>
              <w:t>T</w:t>
            </w:r>
            <w:r w:rsidRPr="00D95566">
              <w:rPr>
                <w:color w:val="000000"/>
                <w:sz w:val="19"/>
                <w:szCs w:val="19"/>
                <w:lang w:val="fr"/>
              </w:rPr>
              <w: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1.</w:t>
            </w:r>
            <w:r w:rsidRPr="0042543B">
              <w:rPr>
                <w:color w:val="000000"/>
                <w:sz w:val="19"/>
                <w:szCs w:val="19"/>
                <w:lang w:val="fr"/>
              </w:rPr>
              <w:t xml:space="preserve"> Le gouvernement adopte une stratégie pour la promotion de la mobilité électrique à faible émission de carbone en établissant un cadre institutionnel coordonné.</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1.1 Création d’un organe intersectoriel de coordination de la mobilité électriqu</w:t>
            </w:r>
            <w:bookmarkStart w:id="0" w:name="_GoBack"/>
            <w:bookmarkEnd w:id="0"/>
            <w:r w:rsidRPr="00207616">
              <w:rPr>
                <w:color w:val="000000"/>
                <w:sz w:val="19"/>
                <w:szCs w:val="19"/>
                <w:lang w:val="fr"/>
              </w:rPr>
              <w:t>e</w:t>
            </w:r>
          </w:p>
          <w:p w:rsidR="003878F6" w:rsidRPr="0079077F" w:rsidRDefault="003878F6" w:rsidP="001C082D">
            <w:pPr>
              <w:rPr>
                <w:rFonts w:eastAsia="Times New Roman"/>
                <w:color w:val="000000"/>
                <w:sz w:val="12"/>
                <w:szCs w:val="12"/>
                <w:lang w:val="fr-CI"/>
              </w:rPr>
            </w:pPr>
          </w:p>
          <w:p w:rsidR="003878F6" w:rsidRPr="003657C0" w:rsidRDefault="003878F6" w:rsidP="001C082D">
            <w:pPr>
              <w:rPr>
                <w:rFonts w:eastAsia="Times New Roman"/>
                <w:color w:val="000000"/>
                <w:sz w:val="19"/>
                <w:szCs w:val="19"/>
                <w:lang w:val="fr-CI"/>
              </w:rPr>
            </w:pPr>
            <w:r w:rsidRPr="00207616">
              <w:rPr>
                <w:color w:val="000000"/>
                <w:sz w:val="19"/>
                <w:szCs w:val="19"/>
                <w:lang w:val="fr"/>
              </w:rPr>
              <w:t>1.2 Une stratégie nationale pour</w:t>
            </w:r>
            <w:bookmarkStart w:id="1" w:name="_Hlk65243539"/>
            <w:r>
              <w:rPr>
                <w:color w:val="000000"/>
                <w:sz w:val="19"/>
                <w:szCs w:val="19"/>
                <w:lang w:val="fr"/>
              </w:rPr>
              <w:t xml:space="preserve"> la </w:t>
            </w:r>
            <w:r w:rsidRPr="00207616">
              <w:rPr>
                <w:color w:val="000000"/>
                <w:sz w:val="19"/>
                <w:szCs w:val="19"/>
                <w:lang w:val="fr"/>
              </w:rPr>
              <w:t>mobilité électrique</w:t>
            </w:r>
            <w:r>
              <w:rPr>
                <w:color w:val="000000"/>
                <w:sz w:val="19"/>
                <w:szCs w:val="19"/>
                <w:lang w:val="fr"/>
              </w:rPr>
              <w:t>, y compris le développement des entreprises sensibles au genre dans le secteur des transports</w:t>
            </w:r>
            <w:r w:rsidRPr="00207616">
              <w:rPr>
                <w:color w:val="000000"/>
                <w:sz w:val="19"/>
                <w:szCs w:val="19"/>
                <w:lang w:val="fr"/>
              </w:rPr>
              <w:t xml:space="preserve">, est </w:t>
            </w:r>
            <w:proofErr w:type="gramStart"/>
            <w:r w:rsidRPr="00207616">
              <w:rPr>
                <w:color w:val="000000"/>
                <w:sz w:val="19"/>
                <w:szCs w:val="19"/>
                <w:lang w:val="fr"/>
              </w:rPr>
              <w:t>élaborée</w:t>
            </w:r>
            <w:proofErr w:type="gramEnd"/>
            <w:r w:rsidRPr="00207616">
              <w:rPr>
                <w:color w:val="000000"/>
                <w:sz w:val="19"/>
                <w:szCs w:val="19"/>
                <w:lang w:val="fr"/>
              </w:rPr>
              <w:t xml:space="preserve"> et soumise pour adoption.</w:t>
            </w:r>
          </w:p>
          <w:bookmarkEnd w:id="1"/>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1.3. Les principales parties prenantes des secteurs public et privé sont formées aux activités du Programme mondial pour la mobilité électrique (ateliers nationaux et régionaux, formations et groupes de travail thématiques).</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Pr="009626B6" w:rsidRDefault="003878F6" w:rsidP="001C082D">
            <w:pPr>
              <w:jc w:val="right"/>
              <w:rPr>
                <w:sz w:val="20"/>
                <w:szCs w:val="18"/>
              </w:rPr>
            </w:pPr>
            <w:r>
              <w:rPr>
                <w:sz w:val="20"/>
                <w:szCs w:val="18"/>
                <w:lang w:val="fr"/>
              </w:rPr>
              <w:t>82,000</w:t>
            </w:r>
          </w:p>
          <w:p w:rsidR="003878F6" w:rsidRPr="009626B6" w:rsidRDefault="003878F6" w:rsidP="001C082D">
            <w:pPr>
              <w:jc w:val="right"/>
              <w:rPr>
                <w:sz w:val="20"/>
                <w:szCs w:val="18"/>
              </w:rPr>
            </w:pPr>
          </w:p>
          <w:p w:rsidR="003878F6" w:rsidRPr="00BC2BA5" w:rsidRDefault="003878F6" w:rsidP="001C082D">
            <w:pPr>
              <w:jc w:val="right"/>
              <w:rPr>
                <w:color w:val="000000"/>
                <w:sz w:val="20"/>
              </w:rPr>
            </w:pP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 165,000 </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Composante 2. Suppression des barrières à court terme grâce à la démonstration de taxis électriques à faible émission de carbone et au développement de la recharge</w:t>
            </w:r>
          </w:p>
        </w:tc>
        <w:tc>
          <w:tcPr>
            <w:tcW w:w="547" w:type="pct"/>
            <w:shd w:val="clear" w:color="auto" w:fill="FFFFFF"/>
          </w:tcPr>
          <w:p w:rsidR="003878F6" w:rsidRDefault="003878F6" w:rsidP="001C082D">
            <w:pPr>
              <w:rPr>
                <w:color w:val="000000"/>
                <w:sz w:val="19"/>
                <w:szCs w:val="19"/>
                <w:lang w:val="fr"/>
              </w:rPr>
            </w:pPr>
            <w:r w:rsidRPr="00D95566">
              <w:rPr>
                <w:color w:val="000000"/>
                <w:sz w:val="19"/>
                <w:szCs w:val="19"/>
                <w:lang w:val="fr"/>
              </w:rPr>
              <w:t>Assistance technique</w:t>
            </w:r>
          </w:p>
          <w:p w:rsidR="003878F6" w:rsidRPr="00207616" w:rsidRDefault="003878F6" w:rsidP="001C082D">
            <w:pPr>
              <w:rPr>
                <w:rFonts w:eastAsia="Times New Roman"/>
                <w:color w:val="000000"/>
                <w:sz w:val="19"/>
                <w:szCs w:val="19"/>
              </w:rPr>
            </w:pPr>
            <w:r w:rsidRPr="00D95566">
              <w:rPr>
                <w:color w:val="000000"/>
                <w:sz w:val="19"/>
                <w:szCs w:val="19"/>
                <w:lang w:val="fr"/>
              </w:rPr>
              <w:t xml:space="preserve"> Investissement mobilisé </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2. Les démonstrations fournissent des preuves de durabilité technique, financière et environnementale </w:t>
            </w:r>
            <w:r>
              <w:rPr>
                <w:color w:val="000000"/>
                <w:sz w:val="19"/>
                <w:szCs w:val="19"/>
                <w:lang w:val="fr"/>
              </w:rPr>
              <w:t xml:space="preserve">au gouvernement et aux entreprises de transport </w:t>
            </w:r>
            <w:r w:rsidRPr="00207616">
              <w:rPr>
                <w:color w:val="000000"/>
                <w:sz w:val="19"/>
                <w:szCs w:val="19"/>
                <w:lang w:val="fr"/>
              </w:rPr>
              <w:t>pour planifier l’expansion de la mobilité électrique à faible émission de carbone.</w:t>
            </w:r>
          </w:p>
        </w:tc>
        <w:tc>
          <w:tcPr>
            <w:tcW w:w="1225" w:type="pct"/>
            <w:shd w:val="clear" w:color="auto" w:fill="FFFFFF"/>
          </w:tcPr>
          <w:p w:rsidR="003878F6" w:rsidRPr="003657C0" w:rsidRDefault="003878F6" w:rsidP="001C082D">
            <w:pPr>
              <w:widowControl w:val="0"/>
              <w:autoSpaceDE w:val="0"/>
              <w:autoSpaceDN w:val="0"/>
              <w:ind w:right="4"/>
              <w:contextualSpacing/>
              <w:rPr>
                <w:sz w:val="19"/>
                <w:szCs w:val="19"/>
                <w:lang w:val="fr-CI"/>
              </w:rPr>
            </w:pPr>
            <w:r w:rsidRPr="0062014A">
              <w:rPr>
                <w:sz w:val="19"/>
                <w:szCs w:val="19"/>
                <w:lang w:val="fr"/>
              </w:rPr>
              <w:t xml:space="preserve">2.1. Une étude de faisabilité complète et un plan de mise en œuvre pour la démonstration de </w:t>
            </w:r>
            <w:proofErr w:type="spellStart"/>
            <w:r w:rsidRPr="0062014A">
              <w:rPr>
                <w:sz w:val="19"/>
                <w:szCs w:val="19"/>
                <w:lang w:val="fr"/>
              </w:rPr>
              <w:t>moto-taxis</w:t>
            </w:r>
            <w:proofErr w:type="spellEnd"/>
            <w:r w:rsidRPr="0062014A">
              <w:rPr>
                <w:sz w:val="19"/>
                <w:szCs w:val="19"/>
                <w:lang w:val="fr"/>
              </w:rPr>
              <w:t xml:space="preserve"> électriques, y compris un système de tarification à faible émission de carbone et un cadre de collecte de données, sont élaborés en même temps que le cadre de déclaration et d’analyse.</w:t>
            </w:r>
          </w:p>
          <w:p w:rsidR="003878F6" w:rsidRPr="0079077F" w:rsidRDefault="003878F6" w:rsidP="001C082D">
            <w:pPr>
              <w:rPr>
                <w:rFonts w:eastAsia="Times New Roman"/>
                <w:color w:val="000000"/>
                <w:sz w:val="12"/>
                <w:szCs w:val="12"/>
                <w:lang w:val="fr-CI"/>
              </w:rPr>
            </w:pPr>
          </w:p>
          <w:p w:rsidR="003878F6" w:rsidRDefault="003878F6" w:rsidP="001C082D">
            <w:pPr>
              <w:widowControl w:val="0"/>
              <w:autoSpaceDE w:val="0"/>
              <w:autoSpaceDN w:val="0"/>
              <w:ind w:right="4"/>
              <w:contextualSpacing/>
              <w:rPr>
                <w:color w:val="000000"/>
                <w:sz w:val="19"/>
                <w:szCs w:val="19"/>
                <w:lang w:val="fr"/>
              </w:rPr>
            </w:pPr>
            <w:r w:rsidRPr="0062014A">
              <w:rPr>
                <w:color w:val="000000"/>
                <w:sz w:val="19"/>
                <w:szCs w:val="19"/>
                <w:lang w:val="fr"/>
              </w:rPr>
              <w:t>2.2. Les véhicules de démonstration et les équipements de recharge sont achetés, le personnel formé, le projet de démonstration est mis en œuvre, surveillé et les données sont collectées, analysées et diffusées.</w:t>
            </w:r>
          </w:p>
          <w:p w:rsidR="003878F6" w:rsidRPr="0079077F" w:rsidRDefault="003878F6" w:rsidP="001C082D">
            <w:pPr>
              <w:widowControl w:val="0"/>
              <w:autoSpaceDE w:val="0"/>
              <w:autoSpaceDN w:val="0"/>
              <w:ind w:right="4"/>
              <w:contextualSpacing/>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Default="003878F6" w:rsidP="001C082D">
            <w:pPr>
              <w:jc w:val="right"/>
              <w:rPr>
                <w:sz w:val="20"/>
                <w:szCs w:val="18"/>
              </w:rPr>
            </w:pPr>
            <w:r w:rsidRPr="00207616">
              <w:rPr>
                <w:sz w:val="20"/>
                <w:szCs w:val="18"/>
                <w:lang w:val="fr"/>
              </w:rPr>
              <w:t>1</w:t>
            </w:r>
            <w:r>
              <w:rPr>
                <w:sz w:val="20"/>
                <w:szCs w:val="18"/>
                <w:lang w:val="fr"/>
              </w:rPr>
              <w:t>50 116</w:t>
            </w:r>
          </w:p>
          <w:p w:rsidR="003878F6" w:rsidRDefault="003878F6" w:rsidP="001C082D">
            <w:pPr>
              <w:jc w:val="right"/>
              <w:rPr>
                <w:sz w:val="20"/>
                <w:szCs w:val="18"/>
              </w:rPr>
            </w:pPr>
          </w:p>
          <w:p w:rsidR="003878F6" w:rsidRDefault="003878F6" w:rsidP="001C082D">
            <w:pPr>
              <w:jc w:val="right"/>
              <w:rPr>
                <w:sz w:val="20"/>
                <w:szCs w:val="18"/>
              </w:rPr>
            </w:pPr>
            <w:r>
              <w:rPr>
                <w:sz w:val="20"/>
                <w:szCs w:val="18"/>
                <w:lang w:val="fr"/>
              </w:rPr>
              <w:t>MERCI</w:t>
            </w:r>
          </w:p>
          <w:p w:rsidR="003878F6" w:rsidRDefault="003878F6" w:rsidP="001C082D">
            <w:pPr>
              <w:jc w:val="right"/>
              <w:rPr>
                <w:sz w:val="20"/>
                <w:szCs w:val="18"/>
              </w:rPr>
            </w:pPr>
            <w:r>
              <w:rPr>
                <w:sz w:val="20"/>
                <w:szCs w:val="18"/>
                <w:lang w:val="fr"/>
              </w:rPr>
              <w:t>102,616</w:t>
            </w:r>
          </w:p>
          <w:p w:rsidR="003878F6" w:rsidRDefault="003878F6" w:rsidP="001C082D">
            <w:pPr>
              <w:jc w:val="right"/>
              <w:rPr>
                <w:sz w:val="20"/>
                <w:szCs w:val="18"/>
              </w:rPr>
            </w:pPr>
            <w:r>
              <w:rPr>
                <w:sz w:val="20"/>
                <w:szCs w:val="18"/>
                <w:lang w:val="fr"/>
              </w:rPr>
              <w:t xml:space="preserve">INV </w:t>
            </w:r>
          </w:p>
          <w:p w:rsidR="003878F6" w:rsidRPr="00BC2BA5" w:rsidRDefault="003878F6" w:rsidP="001C082D">
            <w:pPr>
              <w:jc w:val="right"/>
              <w:rPr>
                <w:color w:val="000000"/>
                <w:sz w:val="20"/>
              </w:rPr>
            </w:pPr>
            <w:r>
              <w:rPr>
                <w:sz w:val="20"/>
                <w:szCs w:val="18"/>
                <w:lang w:val="fr"/>
              </w:rPr>
              <w:t>47,500</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245,000 </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bookmarkStart w:id="2" w:name="_Hlk523819924"/>
            <w:r w:rsidRPr="00207616">
              <w:rPr>
                <w:color w:val="000000"/>
                <w:sz w:val="19"/>
                <w:szCs w:val="19"/>
                <w:lang w:val="fr"/>
              </w:rPr>
              <w:t>Composante 3. Préparation à la mise à l’échelle et à la réplication de la mobilité électrique à faible émission de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Assistance 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3. Le </w:t>
            </w:r>
            <w:r w:rsidRPr="008974CC">
              <w:rPr>
                <w:color w:val="000000"/>
                <w:sz w:val="19"/>
                <w:szCs w:val="19"/>
                <w:lang w:val="fr"/>
              </w:rPr>
              <w:t xml:space="preserve">gouvernement crée les conditions pour éliminer les obstacles existants en élaborant des réformes réglementaires </w:t>
            </w:r>
            <w:r w:rsidRPr="008974CC">
              <w:rPr>
                <w:color w:val="000000"/>
                <w:sz w:val="19"/>
                <w:szCs w:val="19"/>
                <w:lang w:val="fr"/>
              </w:rPr>
              <w:lastRenderedPageBreak/>
              <w:t>et des mécanismes financiers pour l’adoption de l’électromobilité dans le pays</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lastRenderedPageBreak/>
              <w:t>3.1 Des politiques fiscales et des régimes réglementaires sont élaborés pour encourager l’adoption de la mobilité électrique.</w:t>
            </w:r>
          </w:p>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3.2</w:t>
            </w:r>
            <w:r w:rsidRPr="00DC3DCA">
              <w:rPr>
                <w:color w:val="000000"/>
                <w:sz w:val="19"/>
                <w:szCs w:val="19"/>
                <w:lang w:val="fr"/>
              </w:rPr>
              <w:t xml:space="preserve">: </w:t>
            </w:r>
            <w:r w:rsidRPr="006E1D98">
              <w:rPr>
                <w:color w:val="000000"/>
                <w:sz w:val="19"/>
                <w:szCs w:val="19"/>
                <w:lang w:val="fr"/>
              </w:rPr>
              <w:t>Une</w:t>
            </w:r>
            <w:r>
              <w:rPr>
                <w:color w:val="000000"/>
                <w:sz w:val="19"/>
                <w:szCs w:val="19"/>
                <w:lang w:val="fr"/>
              </w:rPr>
              <w:t xml:space="preserve"> table ronde sur les entreprises de mobilité électrique comprenant </w:t>
            </w:r>
            <w:r w:rsidRPr="00351220">
              <w:rPr>
                <w:color w:val="000000"/>
                <w:sz w:val="19"/>
                <w:szCs w:val="19"/>
                <w:lang w:val="fr"/>
              </w:rPr>
              <w:t xml:space="preserve">le </w:t>
            </w:r>
            <w:r w:rsidRPr="006E1D98">
              <w:rPr>
                <w:color w:val="000000"/>
                <w:sz w:val="19"/>
                <w:szCs w:val="19"/>
                <w:lang w:val="fr"/>
              </w:rPr>
              <w:lastRenderedPageBreak/>
              <w:t xml:space="preserve">secteur privé et </w:t>
            </w:r>
            <w:r>
              <w:rPr>
                <w:color w:val="000000"/>
                <w:sz w:val="19"/>
                <w:szCs w:val="19"/>
                <w:lang w:val="fr"/>
              </w:rPr>
              <w:t>les institutions financières</w:t>
            </w:r>
            <w:r w:rsidRPr="006E1D98">
              <w:rPr>
                <w:color w:val="000000"/>
                <w:sz w:val="19"/>
                <w:szCs w:val="19"/>
                <w:lang w:val="fr"/>
              </w:rPr>
              <w:t xml:space="preserve"> est créée</w:t>
            </w:r>
            <w:r>
              <w:rPr>
                <w:color w:val="000000"/>
                <w:sz w:val="19"/>
                <w:szCs w:val="19"/>
                <w:lang w:val="fr"/>
              </w:rPr>
              <w:t xml:space="preserve"> pour développer des schémas financiers et des</w:t>
            </w:r>
            <w:r w:rsidRPr="006E1D98">
              <w:rPr>
                <w:color w:val="000000"/>
                <w:sz w:val="19"/>
                <w:szCs w:val="19"/>
                <w:lang w:val="fr"/>
              </w:rPr>
              <w:t xml:space="preserve"> concepts pour la mise à l’échelle de la mobilité électrique</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lastRenderedPageBreak/>
              <w:t>Le GEFTF</w:t>
            </w:r>
          </w:p>
        </w:tc>
        <w:tc>
          <w:tcPr>
            <w:tcW w:w="691" w:type="pct"/>
            <w:shd w:val="clear" w:color="auto" w:fill="FFFFFF"/>
          </w:tcPr>
          <w:p w:rsidR="003878F6" w:rsidRPr="00BC2BA5" w:rsidRDefault="003878F6" w:rsidP="001C082D">
            <w:pPr>
              <w:jc w:val="right"/>
              <w:rPr>
                <w:color w:val="000000"/>
                <w:sz w:val="20"/>
              </w:rPr>
            </w:pPr>
            <w:r>
              <w:rPr>
                <w:sz w:val="20"/>
                <w:szCs w:val="18"/>
                <w:lang w:val="fr"/>
              </w:rPr>
              <w:t>75,400</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665,000 </w:t>
            </w:r>
          </w:p>
        </w:tc>
      </w:tr>
      <w:bookmarkEnd w:id="2"/>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Composante 4. Durabilité environnementale à long terme de la mobilité électrique à faible émission de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Assistance 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4. La </w:t>
            </w:r>
            <w:r w:rsidRPr="00BD19D7">
              <w:rPr>
                <w:color w:val="000000"/>
                <w:sz w:val="19"/>
                <w:szCs w:val="19"/>
                <w:lang w:val="fr"/>
              </w:rPr>
              <w:t>durabilité à long terme de la mobilité électrique à faible émission de carbone est assurée par les institutions gouvernementales</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4.1. Une étude visant à intégrer l’énergie renouvelable pour la recharge des véhicules électriques est réalisée.</w:t>
            </w:r>
          </w:p>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4.2 Un système de collecte, de réutilisation, de recyclage et d’élimination rationnelle des batteries usagées des véhicules électriques est élaboré et soumis pour adoption.</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Pr="00BC2BA5" w:rsidRDefault="003878F6" w:rsidP="001C082D">
            <w:pPr>
              <w:jc w:val="right"/>
              <w:rPr>
                <w:color w:val="000000"/>
                <w:sz w:val="20"/>
              </w:rPr>
            </w:pPr>
            <w:r>
              <w:rPr>
                <w:sz w:val="20"/>
                <w:szCs w:val="18"/>
                <w:lang w:val="fr"/>
              </w:rPr>
              <w:t>50,9</w:t>
            </w:r>
            <w:r w:rsidRPr="00207616">
              <w:rPr>
                <w:sz w:val="20"/>
                <w:szCs w:val="18"/>
                <w:lang w:val="fr"/>
              </w:rPr>
              <w:t xml:space="preserve">00 </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 35,000 </w:t>
            </w:r>
          </w:p>
        </w:tc>
      </w:tr>
      <w:tr w:rsidR="003878F6" w:rsidRPr="00430036" w:rsidTr="001C082D">
        <w:trPr>
          <w:jc w:val="center"/>
        </w:trPr>
        <w:tc>
          <w:tcPr>
            <w:tcW w:w="3321" w:type="pct"/>
            <w:gridSpan w:val="4"/>
            <w:tcBorders>
              <w:bottom w:val="sing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color w:val="000000"/>
                <w:sz w:val="19"/>
                <w:szCs w:val="19"/>
                <w:lang w:val="fr"/>
              </w:rPr>
              <w:t>Suivi et évaluation</w:t>
            </w:r>
          </w:p>
        </w:tc>
        <w:tc>
          <w:tcPr>
            <w:tcW w:w="461" w:type="pct"/>
            <w:tcBorders>
              <w:bottom w:val="single" w:sz="4" w:space="0" w:color="auto"/>
            </w:tcBorders>
            <w:shd w:val="clear" w:color="auto" w:fill="FFFFFF"/>
          </w:tcPr>
          <w:p w:rsidR="003878F6" w:rsidRPr="00207616" w:rsidRDefault="003878F6" w:rsidP="001C082D">
            <w:pPr>
              <w:jc w:val="center"/>
              <w:rPr>
                <w:rFonts w:eastAsia="Times New Roman"/>
                <w:color w:val="000000"/>
                <w:sz w:val="19"/>
                <w:szCs w:val="19"/>
              </w:rPr>
            </w:pPr>
          </w:p>
        </w:tc>
        <w:tc>
          <w:tcPr>
            <w:tcW w:w="691" w:type="pct"/>
            <w:tcBorders>
              <w:bottom w:val="single" w:sz="4" w:space="0" w:color="auto"/>
            </w:tcBorders>
            <w:shd w:val="clear" w:color="auto" w:fill="FFFFFF"/>
          </w:tcPr>
          <w:p w:rsidR="003878F6" w:rsidRPr="00207616" w:rsidRDefault="003878F6" w:rsidP="001C082D">
            <w:pPr>
              <w:jc w:val="right"/>
              <w:rPr>
                <w:sz w:val="20"/>
                <w:szCs w:val="18"/>
              </w:rPr>
            </w:pPr>
            <w:r w:rsidRPr="00207616">
              <w:rPr>
                <w:sz w:val="20"/>
                <w:szCs w:val="18"/>
                <w:lang w:val="fr"/>
              </w:rPr>
              <w:t xml:space="preserve">30,300 </w:t>
            </w:r>
          </w:p>
        </w:tc>
        <w:tc>
          <w:tcPr>
            <w:tcW w:w="527" w:type="pct"/>
            <w:tcBorders>
              <w:bottom w:val="single" w:sz="4" w:space="0" w:color="auto"/>
            </w:tcBorders>
            <w:shd w:val="clear" w:color="auto" w:fill="FFFFFF"/>
          </w:tcPr>
          <w:p w:rsidR="003878F6" w:rsidRPr="004A5219" w:rsidRDefault="003878F6" w:rsidP="001C082D">
            <w:pPr>
              <w:jc w:val="right"/>
              <w:rPr>
                <w:rFonts w:eastAsia="Times New Roman"/>
                <w:color w:val="000000"/>
                <w:sz w:val="20"/>
                <w:szCs w:val="18"/>
              </w:rPr>
            </w:pPr>
            <w:r w:rsidRPr="004A5219">
              <w:rPr>
                <w:color w:val="000000"/>
                <w:sz w:val="20"/>
                <w:szCs w:val="18"/>
                <w:lang w:val="fr"/>
              </w:rPr>
              <w:t>-</w:t>
            </w:r>
          </w:p>
        </w:tc>
      </w:tr>
      <w:tr w:rsidR="003878F6" w:rsidRPr="00430036" w:rsidTr="001C082D">
        <w:trPr>
          <w:jc w:val="center"/>
        </w:trPr>
        <w:tc>
          <w:tcPr>
            <w:tcW w:w="3321" w:type="pct"/>
            <w:gridSpan w:val="4"/>
            <w:tcBorders>
              <w:bottom w:val="sing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color w:val="000000"/>
                <w:sz w:val="19"/>
                <w:szCs w:val="19"/>
                <w:lang w:val="fr"/>
              </w:rPr>
              <w:t>Sous-total</w:t>
            </w:r>
          </w:p>
        </w:tc>
        <w:tc>
          <w:tcPr>
            <w:tcW w:w="461" w:type="pct"/>
            <w:tcBorders>
              <w:bottom w:val="single" w:sz="4" w:space="0" w:color="auto"/>
            </w:tcBorders>
            <w:shd w:val="clear" w:color="auto" w:fill="FFFFFF"/>
          </w:tcPr>
          <w:p w:rsidR="003878F6" w:rsidRPr="00207616" w:rsidRDefault="003878F6" w:rsidP="001C082D">
            <w:pPr>
              <w:jc w:val="center"/>
              <w:rPr>
                <w:rFonts w:eastAsia="Times New Roman"/>
                <w:color w:val="000000"/>
                <w:sz w:val="19"/>
                <w:szCs w:val="19"/>
              </w:rPr>
            </w:pPr>
          </w:p>
        </w:tc>
        <w:tc>
          <w:tcPr>
            <w:tcW w:w="691" w:type="pct"/>
            <w:tcBorders>
              <w:bottom w:val="single" w:sz="4" w:space="0" w:color="auto"/>
            </w:tcBorders>
            <w:shd w:val="clear" w:color="auto" w:fill="FFFFFF"/>
          </w:tcPr>
          <w:p w:rsidR="003878F6" w:rsidRPr="00BC2BA5" w:rsidRDefault="003878F6" w:rsidP="001C082D">
            <w:pPr>
              <w:jc w:val="right"/>
              <w:rPr>
                <w:sz w:val="20"/>
              </w:rPr>
            </w:pPr>
            <w:r w:rsidRPr="00BC2BA5">
              <w:rPr>
                <w:sz w:val="20"/>
                <w:lang w:val="fr"/>
              </w:rPr>
              <w:t xml:space="preserve">388,716 </w:t>
            </w:r>
          </w:p>
        </w:tc>
        <w:tc>
          <w:tcPr>
            <w:tcW w:w="527" w:type="pct"/>
            <w:tcBorders>
              <w:bottom w:val="single" w:sz="4" w:space="0" w:color="auto"/>
            </w:tcBorders>
            <w:shd w:val="clear" w:color="auto" w:fill="FFFFFF"/>
          </w:tcPr>
          <w:p w:rsidR="003878F6" w:rsidRPr="004A5219" w:rsidRDefault="003878F6" w:rsidP="001C082D">
            <w:pPr>
              <w:jc w:val="right"/>
              <w:rPr>
                <w:color w:val="000000"/>
                <w:sz w:val="20"/>
              </w:rPr>
            </w:pPr>
            <w:r w:rsidRPr="004A5219">
              <w:rPr>
                <w:sz w:val="20"/>
                <w:szCs w:val="18"/>
                <w:lang w:val="fr"/>
              </w:rPr>
              <w:t xml:space="preserve">1,110,000 </w:t>
            </w:r>
          </w:p>
        </w:tc>
      </w:tr>
      <w:tr w:rsidR="003878F6" w:rsidRPr="00430036" w:rsidTr="001C082D">
        <w:trPr>
          <w:jc w:val="center"/>
        </w:trPr>
        <w:tc>
          <w:tcPr>
            <w:tcW w:w="3321" w:type="pct"/>
            <w:gridSpan w:val="4"/>
            <w:tcBorders>
              <w:top w:val="single" w:sz="4" w:space="0" w:color="auto"/>
              <w:left w:val="single" w:sz="4" w:space="0" w:color="auto"/>
              <w:bottom w:val="double" w:sz="4" w:space="0" w:color="auto"/>
              <w:right w:val="single" w:sz="4" w:space="0" w:color="auto"/>
            </w:tcBorders>
            <w:shd w:val="clear" w:color="auto" w:fill="FFFFFF"/>
          </w:tcPr>
          <w:p w:rsidR="003878F6" w:rsidRPr="003657C0" w:rsidRDefault="003878F6" w:rsidP="001C082D">
            <w:pPr>
              <w:jc w:val="right"/>
              <w:rPr>
                <w:rFonts w:eastAsia="Times New Roman"/>
                <w:color w:val="000000"/>
                <w:sz w:val="19"/>
                <w:szCs w:val="19"/>
                <w:lang w:val="fr-CI"/>
              </w:rPr>
            </w:pPr>
            <w:r w:rsidRPr="00207616">
              <w:rPr>
                <w:color w:val="000000"/>
                <w:sz w:val="19"/>
                <w:szCs w:val="19"/>
                <w:lang w:val="fr"/>
              </w:rPr>
              <w:t>Coût de gestion de projet (PMC)</w:t>
            </w:r>
          </w:p>
        </w:tc>
        <w:tc>
          <w:tcPr>
            <w:tcW w:w="461" w:type="pct"/>
            <w:tcBorders>
              <w:top w:val="single" w:sz="4" w:space="0" w:color="auto"/>
              <w:left w:val="single" w:sz="4" w:space="0" w:color="auto"/>
              <w:bottom w:val="double" w:sz="4" w:space="0" w:color="auto"/>
              <w:right w:val="single" w:sz="4" w:space="0" w:color="auto"/>
            </w:tcBorders>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tcBorders>
              <w:top w:val="single" w:sz="4" w:space="0" w:color="auto"/>
              <w:bottom w:val="double" w:sz="4" w:space="0" w:color="auto"/>
              <w:right w:val="single" w:sz="4" w:space="0" w:color="auto"/>
            </w:tcBorders>
            <w:shd w:val="clear" w:color="auto" w:fill="FFFFFF"/>
          </w:tcPr>
          <w:p w:rsidR="003878F6" w:rsidRPr="00BC2BA5" w:rsidRDefault="003878F6" w:rsidP="001C082D">
            <w:pPr>
              <w:jc w:val="right"/>
              <w:rPr>
                <w:sz w:val="20"/>
              </w:rPr>
            </w:pPr>
            <w:r w:rsidRPr="00BC2BA5">
              <w:rPr>
                <w:sz w:val="20"/>
                <w:lang w:val="fr"/>
              </w:rPr>
              <w:t xml:space="preserve">35,000 </w:t>
            </w:r>
          </w:p>
        </w:tc>
        <w:tc>
          <w:tcPr>
            <w:tcW w:w="527" w:type="pct"/>
            <w:tcBorders>
              <w:top w:val="single" w:sz="4" w:space="0" w:color="auto"/>
              <w:left w:val="single" w:sz="4" w:space="0" w:color="auto"/>
              <w:bottom w:val="double" w:sz="4" w:space="0" w:color="auto"/>
              <w:right w:val="single" w:sz="4" w:space="0" w:color="auto"/>
            </w:tcBorders>
            <w:shd w:val="clear" w:color="auto" w:fill="FFFFFF"/>
          </w:tcPr>
          <w:p w:rsidR="003878F6" w:rsidRPr="004A5219" w:rsidRDefault="003878F6" w:rsidP="001C082D">
            <w:pPr>
              <w:jc w:val="right"/>
              <w:rPr>
                <w:color w:val="000000"/>
                <w:sz w:val="20"/>
              </w:rPr>
            </w:pPr>
            <w:r w:rsidRPr="004A5219">
              <w:rPr>
                <w:sz w:val="20"/>
                <w:szCs w:val="18"/>
                <w:lang w:val="fr"/>
              </w:rPr>
              <w:t xml:space="preserve">110,000 </w:t>
            </w:r>
          </w:p>
        </w:tc>
      </w:tr>
      <w:tr w:rsidR="003878F6" w:rsidRPr="00207616" w:rsidTr="001C082D">
        <w:trPr>
          <w:jc w:val="center"/>
        </w:trPr>
        <w:tc>
          <w:tcPr>
            <w:tcW w:w="3321" w:type="pct"/>
            <w:gridSpan w:val="4"/>
            <w:tcBorders>
              <w:top w:val="double" w:sz="4" w:space="0" w:color="auto"/>
              <w:bottom w:val="doub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b/>
                <w:color w:val="000000"/>
                <w:sz w:val="19"/>
                <w:szCs w:val="19"/>
                <w:lang w:val="fr"/>
              </w:rPr>
              <w:t>Coûts totaux du projet</w:t>
            </w:r>
          </w:p>
        </w:tc>
        <w:tc>
          <w:tcPr>
            <w:tcW w:w="461" w:type="pct"/>
            <w:tcBorders>
              <w:top w:val="double" w:sz="4" w:space="0" w:color="auto"/>
              <w:bottom w:val="double" w:sz="4" w:space="0" w:color="auto"/>
            </w:tcBorders>
            <w:shd w:val="clear" w:color="auto" w:fill="FFFFFF"/>
          </w:tcPr>
          <w:p w:rsidR="003878F6" w:rsidRPr="00207616" w:rsidRDefault="003878F6" w:rsidP="001C082D">
            <w:pPr>
              <w:jc w:val="right"/>
              <w:rPr>
                <w:rFonts w:eastAsia="Times New Roman"/>
                <w:color w:val="000000"/>
                <w:sz w:val="19"/>
                <w:szCs w:val="19"/>
              </w:rPr>
            </w:pPr>
          </w:p>
        </w:tc>
        <w:tc>
          <w:tcPr>
            <w:tcW w:w="691" w:type="pct"/>
            <w:tcBorders>
              <w:top w:val="double" w:sz="4" w:space="0" w:color="auto"/>
              <w:bottom w:val="double" w:sz="4" w:space="0" w:color="auto"/>
            </w:tcBorders>
            <w:shd w:val="clear" w:color="auto" w:fill="FFFFFF"/>
          </w:tcPr>
          <w:p w:rsidR="003878F6" w:rsidRPr="009A33B3" w:rsidRDefault="003878F6" w:rsidP="001C082D">
            <w:pPr>
              <w:jc w:val="right"/>
              <w:rPr>
                <w:b/>
                <w:bCs/>
                <w:sz w:val="20"/>
              </w:rPr>
            </w:pPr>
            <w:r w:rsidRPr="009A33B3">
              <w:rPr>
                <w:b/>
                <w:bCs/>
                <w:sz w:val="20"/>
                <w:lang w:val="fr"/>
              </w:rPr>
              <w:t xml:space="preserve"> 423,716 </w:t>
            </w:r>
          </w:p>
        </w:tc>
        <w:tc>
          <w:tcPr>
            <w:tcW w:w="527" w:type="pct"/>
            <w:tcBorders>
              <w:top w:val="double" w:sz="4" w:space="0" w:color="auto"/>
              <w:bottom w:val="double" w:sz="4" w:space="0" w:color="auto"/>
            </w:tcBorders>
            <w:shd w:val="clear" w:color="auto" w:fill="FFFFFF"/>
          </w:tcPr>
          <w:p w:rsidR="003878F6" w:rsidRPr="009A33B3" w:rsidRDefault="003878F6" w:rsidP="001C082D">
            <w:pPr>
              <w:jc w:val="right"/>
              <w:rPr>
                <w:b/>
                <w:bCs/>
                <w:color w:val="000000"/>
                <w:sz w:val="20"/>
                <w:highlight w:val="magenta"/>
              </w:rPr>
            </w:pPr>
            <w:r w:rsidRPr="009A33B3">
              <w:rPr>
                <w:b/>
                <w:bCs/>
                <w:sz w:val="20"/>
                <w:szCs w:val="18"/>
                <w:lang w:val="fr"/>
              </w:rPr>
              <w:t xml:space="preserve">1,220,000 </w:t>
            </w:r>
          </w:p>
        </w:tc>
      </w:tr>
    </w:tbl>
    <w:p w:rsidR="00E26ECC" w:rsidRDefault="003878F6"/>
    <w:sectPr w:rsidR="00E26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F6"/>
    <w:rsid w:val="001C64EF"/>
    <w:rsid w:val="003878F6"/>
    <w:rsid w:val="00AE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6458E-5DDE-4915-B7C9-B3C0B3D9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8F6"/>
    <w:pPr>
      <w:spacing w:after="0" w:line="240" w:lineRule="auto"/>
    </w:pPr>
    <w:rPr>
      <w:rFonts w:ascii="Times New Roman" w:eastAsia="SimSun" w:hAnsi="Times New Roman" w:cs="Times New Roman"/>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2023-07-12T11:52:00Z</dcterms:created>
  <dcterms:modified xsi:type="dcterms:W3CDTF">2023-07-12T11:53:00Z</dcterms:modified>
</cp:coreProperties>
</file>