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libri" w:hAnsi="Calibri"/>
          <w:b/>
          <w:color w:val="17365D"/>
          <w:sz w:val="52"/>
        </w:rPr>
        <w:t>Programmation annuelle CM1</w:t>
      </w:r>
    </w:p>
    <w:p>
      <w:pPr>
        <w:spacing w:after="900"/>
        <w:jc w:val="center"/>
      </w:pPr>
      <w:r>
        <w:rPr>
          <w:i/>
          <w:color w:val="2F75B5"/>
          <w:sz w:val="26"/>
        </w:rPr>
        <w:t>Toutes les matières • organisée en cinq périodes</w:t>
      </w:r>
    </w:p>
    <w:tbl>
      <w:tblPr>
        <w:tblStyle w:val="TableGrid"/>
        <w:tblW w:type="dxa" w:w="9360"/>
        <w:jc w:val="center"/>
        <w:tblLook w:firstColumn="1" w:firstRow="1" w:lastColumn="0" w:lastRow="0" w:noHBand="0" w:noVBand="1" w:val="04A0"/>
      </w:tblPr>
      <w:tblGrid>
        <w:gridCol w:w="1900"/>
        <w:gridCol w:w="7460"/>
      </w:tblGrid>
      <w:tr>
        <w:trPr>
          <w:tblHeader w:val="true"/>
        </w:trPr>
        <w:tc>
          <w:tcPr>
            <w:tcW w:type="dxa" w:w="1900"/>
            <w:shd w:fill="2F75B5"/>
            <w:tcMar>
              <w:top w:w="70" w:type="dxa"/>
              <w:start w:w="90" w:type="dxa"/>
              <w:bottom w:w="70" w:type="dxa"/>
              <w:end w:w="90" w:type="dxa"/>
            </w:tcMar>
          </w:tcPr>
          <w:p>
            <w:r>
              <w:rPr>
                <w:b/>
                <w:color w:val="FFFFFF"/>
                <w:sz w:val="18"/>
              </w:rPr>
              <w:t>Document</w:t>
            </w:r>
          </w:p>
        </w:tc>
        <w:tc>
          <w:tcPr>
            <w:tcW w:type="dxa" w:w="7460"/>
            <w:shd w:fill="2F75B5"/>
            <w:tcMar>
              <w:top w:w="70" w:type="dxa"/>
              <w:start w:w="90" w:type="dxa"/>
              <w:bottom w:w="70" w:type="dxa"/>
              <w:end w:w="90" w:type="dxa"/>
            </w:tcMar>
          </w:tcPr>
          <w:p>
            <w:r>
              <w:rPr>
                <w:b/>
                <w:color w:val="FFFFFF"/>
                <w:sz w:val="18"/>
              </w:rPr>
              <w:t>Usage</w:t>
            </w:r>
          </w:p>
        </w:tc>
      </w:tr>
      <w:tr>
        <w:trPr>
          <w:cantSplit/>
        </w:trPr>
        <w:tc>
          <w:tcPr>
            <w:tcW w:type="dxa" w:w="1900"/>
            <w:vAlign w:val="top"/>
            <w:tcMar>
              <w:top w:w="70" w:type="dxa"/>
              <w:start w:w="90" w:type="dxa"/>
              <w:bottom w:w="70" w:type="dxa"/>
              <w:end w:w="90" w:type="dxa"/>
            </w:tcMar>
          </w:tcPr>
          <w:p>
            <w:pPr>
              <w:spacing w:after="20" w:line="240" w:lineRule="auto"/>
            </w:pPr>
            <w:r>
              <w:rPr>
                <w:rFonts w:ascii="Calibri" w:hAnsi="Calibri"/>
                <w:sz w:val="18"/>
              </w:rPr>
              <w:t>Niveau</w:t>
            </w:r>
          </w:p>
        </w:tc>
        <w:tc>
          <w:tcPr>
            <w:tcW w:type="dxa" w:w="7460"/>
            <w:vAlign w:val="top"/>
            <w:tcMar>
              <w:top w:w="70" w:type="dxa"/>
              <w:start w:w="90" w:type="dxa"/>
              <w:bottom w:w="70" w:type="dxa"/>
              <w:end w:w="90" w:type="dxa"/>
            </w:tcMar>
          </w:tcPr>
          <w:p>
            <w:pPr>
              <w:spacing w:after="20" w:line="240" w:lineRule="auto"/>
            </w:pPr>
            <w:r>
              <w:rPr>
                <w:rFonts w:ascii="Calibri" w:hAnsi="Calibri"/>
                <w:sz w:val="18"/>
              </w:rPr>
              <w:t>CM1</w:t>
            </w:r>
          </w:p>
        </w:tc>
      </w:tr>
      <w:tr>
        <w:trPr>
          <w:cantSplit/>
        </w:trPr>
        <w:tc>
          <w:tcPr>
            <w:tcW w:type="dxa" w:w="1900"/>
            <w:vAlign w:val="top"/>
            <w:shd w:fill="F5F8FB"/>
            <w:tcMar>
              <w:top w:w="70" w:type="dxa"/>
              <w:start w:w="90" w:type="dxa"/>
              <w:bottom w:w="70" w:type="dxa"/>
              <w:end w:w="90" w:type="dxa"/>
            </w:tcMar>
          </w:tcPr>
          <w:p>
            <w:pPr>
              <w:spacing w:after="20" w:line="240" w:lineRule="auto"/>
            </w:pPr>
            <w:r>
              <w:rPr>
                <w:rFonts w:ascii="Calibri" w:hAnsi="Calibri"/>
                <w:sz w:val="18"/>
              </w:rPr>
              <w:t>Année</w:t>
            </w:r>
          </w:p>
        </w:tc>
        <w:tc>
          <w:tcPr>
            <w:tcW w:type="dxa" w:w="7460"/>
            <w:vAlign w:val="top"/>
            <w:shd w:fill="F5F8FB"/>
            <w:tcMar>
              <w:top w:w="70" w:type="dxa"/>
              <w:start w:w="90" w:type="dxa"/>
              <w:bottom w:w="70" w:type="dxa"/>
              <w:end w:w="90" w:type="dxa"/>
            </w:tcMar>
          </w:tcPr>
          <w:p>
            <w:pPr>
              <w:spacing w:after="20" w:line="240" w:lineRule="auto"/>
            </w:pPr>
            <w:r>
              <w:rPr>
                <w:rFonts w:ascii="Calibri" w:hAnsi="Calibri"/>
                <w:sz w:val="18"/>
              </w:rPr>
              <w:t>2026-2027</w:t>
            </w:r>
          </w:p>
        </w:tc>
      </w:tr>
      <w:tr>
        <w:trPr>
          <w:cantSplit/>
        </w:trPr>
        <w:tc>
          <w:tcPr>
            <w:tcW w:type="dxa" w:w="1900"/>
            <w:vAlign w:val="top"/>
            <w:tcMar>
              <w:top w:w="70" w:type="dxa"/>
              <w:start w:w="90" w:type="dxa"/>
              <w:bottom w:w="70" w:type="dxa"/>
              <w:end w:w="90" w:type="dxa"/>
            </w:tcMar>
          </w:tcPr>
          <w:p>
            <w:pPr>
              <w:spacing w:after="20" w:line="240" w:lineRule="auto"/>
            </w:pPr>
            <w:r>
              <w:rPr>
                <w:rFonts w:ascii="Calibri" w:hAnsi="Calibri"/>
                <w:sz w:val="18"/>
              </w:rPr>
              <w:t>Principe</w:t>
            </w:r>
          </w:p>
        </w:tc>
        <w:tc>
          <w:tcPr>
            <w:tcW w:type="dxa" w:w="7460"/>
            <w:vAlign w:val="top"/>
            <w:tcMar>
              <w:top w:w="70" w:type="dxa"/>
              <w:start w:w="90" w:type="dxa"/>
              <w:bottom w:w="70" w:type="dxa"/>
              <w:end w:w="90" w:type="dxa"/>
            </w:tcMar>
          </w:tcPr>
          <w:p>
            <w:pPr>
              <w:spacing w:after="20" w:line="240" w:lineRule="auto"/>
            </w:pPr>
            <w:r>
              <w:rPr>
                <w:rFonts w:ascii="Calibri" w:hAnsi="Calibri"/>
                <w:sz w:val="18"/>
              </w:rPr>
              <w:t>Le BO fixe les attendus ; les objectifs sont des formulations pédagogiques opérationnelles.</w:t>
            </w:r>
          </w:p>
        </w:tc>
      </w:tr>
      <w:tr>
        <w:trPr>
          <w:cantSplit/>
        </w:trPr>
        <w:tc>
          <w:tcPr>
            <w:tcW w:type="dxa" w:w="1900"/>
            <w:vAlign w:val="top"/>
            <w:shd w:fill="F5F8FB"/>
            <w:tcMar>
              <w:top w:w="70" w:type="dxa"/>
              <w:start w:w="90" w:type="dxa"/>
              <w:bottom w:w="70" w:type="dxa"/>
              <w:end w:w="90" w:type="dxa"/>
            </w:tcMar>
          </w:tcPr>
          <w:p>
            <w:pPr>
              <w:spacing w:after="20" w:line="240" w:lineRule="auto"/>
            </w:pPr>
            <w:r>
              <w:rPr>
                <w:rFonts w:ascii="Calibri" w:hAnsi="Calibri"/>
                <w:sz w:val="18"/>
              </w:rPr>
              <w:t>Méthodes principales</w:t>
            </w:r>
          </w:p>
        </w:tc>
        <w:tc>
          <w:tcPr>
            <w:tcW w:type="dxa" w:w="7460"/>
            <w:vAlign w:val="top"/>
            <w:shd w:fill="F5F8FB"/>
            <w:tcMar>
              <w:top w:w="70" w:type="dxa"/>
              <w:start w:w="90" w:type="dxa"/>
              <w:bottom w:w="70" w:type="dxa"/>
              <w:end w:w="90" w:type="dxa"/>
            </w:tcMar>
          </w:tcPr>
          <w:p>
            <w:pPr>
              <w:spacing w:after="20" w:line="240" w:lineRule="auto"/>
            </w:pPr>
            <w:r>
              <w:rPr>
                <w:rFonts w:ascii="Calibri" w:hAnsi="Calibri"/>
                <w:sz w:val="18"/>
              </w:rPr>
              <w:t>Mot de passe CM1 en français ; ACCÈS en mathématiques.</w:t>
            </w:r>
          </w:p>
        </w:tc>
      </w:tr>
    </w:tbl>
    <w:p>
      <w:r>
        <w:br w:type="page"/>
      </w:r>
    </w:p>
    <w:p>
      <w:pPr>
        <w:pStyle w:val="Heading1"/>
      </w:pPr>
      <w:r>
        <w:t>Mode d’emploi</w:t>
      </w:r>
    </w:p>
    <w:p>
      <w:r>
        <w:t>Cette programmation répartit les apprentissages dans l’année. Elle doit être ajustée aux dates réelles, aux projets de classe et aux résultats des évaluations. Les apprentissages fondamentaux font l’objet de réactivations régulières.</w:t>
      </w:r>
    </w:p>
    <w:p>
      <w:pPr>
        <w:pStyle w:val="Heading1"/>
      </w:pPr>
      <w:r>
        <w:t>P1 — Programmation</w:t>
      </w:r>
    </w:p>
    <w:tbl>
      <w:tblPr>
        <w:tblStyle w:val="TableGrid"/>
        <w:tblW w:type="dxa" w:w="9360"/>
        <w:jc w:val="center"/>
        <w:tblLook w:firstColumn="1" w:firstRow="1" w:lastColumn="0" w:lastRow="0" w:noHBand="0" w:noVBand="1" w:val="04A0"/>
      </w:tblPr>
      <w:tblGrid>
        <w:gridCol w:w="2100"/>
        <w:gridCol w:w="7260"/>
      </w:tblGrid>
      <w:tr>
        <w:trPr>
          <w:tblHeader w:val="true"/>
        </w:trPr>
        <w:tc>
          <w:tcPr>
            <w:tcW w:type="dxa" w:w="2100"/>
            <w:shd w:fill="2F75B5"/>
            <w:tcMar>
              <w:top w:w="70" w:type="dxa"/>
              <w:start w:w="90" w:type="dxa"/>
              <w:bottom w:w="70" w:type="dxa"/>
              <w:end w:w="90" w:type="dxa"/>
            </w:tcMar>
          </w:tcPr>
          <w:p>
            <w:r>
              <w:rPr>
                <w:b/>
                <w:color w:val="FFFFFF"/>
                <w:sz w:val="17"/>
              </w:rPr>
              <w:t>Matière</w:t>
            </w:r>
          </w:p>
        </w:tc>
        <w:tc>
          <w:tcPr>
            <w:tcW w:type="dxa" w:w="7260"/>
            <w:shd w:fill="2F75B5"/>
            <w:tcMar>
              <w:top w:w="70" w:type="dxa"/>
              <w:start w:w="90" w:type="dxa"/>
              <w:bottom w:w="70" w:type="dxa"/>
              <w:end w:w="90" w:type="dxa"/>
            </w:tcMar>
          </w:tcPr>
          <w:p>
            <w:r>
              <w:rPr>
                <w:b/>
                <w:color w:val="FFFFFF"/>
                <w:sz w:val="17"/>
              </w:rPr>
              <w:t>Contenus et priorités</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Français</w:t>
            </w:r>
          </w:p>
        </w:tc>
        <w:tc>
          <w:tcPr>
            <w:tcW w:type="dxa" w:w="7260"/>
            <w:vAlign w:val="top"/>
            <w:tcMar>
              <w:top w:w="70" w:type="dxa"/>
              <w:start w:w="90" w:type="dxa"/>
              <w:bottom w:w="70" w:type="dxa"/>
              <w:end w:w="90" w:type="dxa"/>
            </w:tcMar>
          </w:tcPr>
          <w:p>
            <w:pPr>
              <w:spacing w:after="20" w:line="240" w:lineRule="auto"/>
            </w:pPr>
            <w:r>
              <w:rPr>
                <w:rFonts w:ascii="Calibri" w:hAnsi="Calibri"/>
                <w:sz w:val="17"/>
              </w:rPr>
              <w:t>Légende, créatures fantastiques et chevaliers ; installation des routines de lecture, écriture et langue.</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Mathématiques</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Entiers, fractions, calcul mental, problèmes, aires et perpendicularité.</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Histoire</w:t>
            </w:r>
          </w:p>
        </w:tc>
        <w:tc>
          <w:tcPr>
            <w:tcW w:type="dxa" w:w="7260"/>
            <w:vAlign w:val="top"/>
            <w:tcMar>
              <w:top w:w="70" w:type="dxa"/>
              <w:start w:w="90" w:type="dxa"/>
              <w:bottom w:w="70" w:type="dxa"/>
              <w:end w:w="90" w:type="dxa"/>
            </w:tcMar>
          </w:tcPr>
          <w:p>
            <w:pPr>
              <w:spacing w:after="20" w:line="240" w:lineRule="auto"/>
            </w:pPr>
            <w:r>
              <w:rPr>
                <w:rFonts w:ascii="Calibri" w:hAnsi="Calibri"/>
                <w:sz w:val="17"/>
              </w:rPr>
              <w:t>Vie quotidienne au Moyen Âge.</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Géographie</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Se nourrir : produire et consommer.</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Sciences et technologie</w:t>
            </w:r>
          </w:p>
        </w:tc>
        <w:tc>
          <w:tcPr>
            <w:tcW w:type="dxa" w:w="7260"/>
            <w:vAlign w:val="top"/>
            <w:tcMar>
              <w:top w:w="70" w:type="dxa"/>
              <w:start w:w="90" w:type="dxa"/>
              <w:bottom w:w="70" w:type="dxa"/>
              <w:end w:w="90" w:type="dxa"/>
            </w:tcMar>
          </w:tcPr>
          <w:p>
            <w:pPr>
              <w:spacing w:after="20" w:line="240" w:lineRule="auto"/>
            </w:pPr>
            <w:r>
              <w:rPr>
                <w:rFonts w:ascii="Calibri" w:hAnsi="Calibri"/>
                <w:sz w:val="17"/>
              </w:rPr>
              <w:t>États de la matière et mélanges.</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EMC</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Règles, responsabilités et intérêt général.</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Anglais</w:t>
            </w:r>
          </w:p>
        </w:tc>
        <w:tc>
          <w:tcPr>
            <w:tcW w:type="dxa" w:w="7260"/>
            <w:vAlign w:val="top"/>
            <w:tcMar>
              <w:top w:w="70" w:type="dxa"/>
              <w:start w:w="90" w:type="dxa"/>
              <w:bottom w:w="70" w:type="dxa"/>
              <w:end w:w="90" w:type="dxa"/>
            </w:tcMar>
          </w:tcPr>
          <w:p>
            <w:pPr>
              <w:spacing w:after="20" w:line="240" w:lineRule="auto"/>
            </w:pPr>
            <w:r>
              <w:rPr>
                <w:rFonts w:ascii="Calibri" w:hAnsi="Calibri"/>
                <w:sz w:val="17"/>
              </w:rPr>
              <w:t>Saluer, se présenter, langage de classe et premiers repères culturels.</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EPS</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Course, saut et lancer.</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Enseignements artistiques</w:t>
            </w:r>
          </w:p>
        </w:tc>
        <w:tc>
          <w:tcPr>
            <w:tcW w:type="dxa" w:w="7260"/>
            <w:vAlign w:val="top"/>
            <w:tcMar>
              <w:top w:w="70" w:type="dxa"/>
              <w:start w:w="90" w:type="dxa"/>
              <w:bottom w:w="70" w:type="dxa"/>
              <w:end w:w="90" w:type="dxa"/>
            </w:tcMar>
          </w:tcPr>
          <w:p>
            <w:pPr>
              <w:spacing w:after="20" w:line="240" w:lineRule="auto"/>
            </w:pPr>
            <w:r>
              <w:rPr>
                <w:rFonts w:ascii="Calibri" w:hAnsi="Calibri"/>
                <w:sz w:val="17"/>
              </w:rPr>
              <w:t>Représenter, chanter et construire un premier carnet culturel.</w:t>
            </w:r>
          </w:p>
        </w:tc>
      </w:tr>
    </w:tbl>
    <w:p>
      <w:pPr>
        <w:pStyle w:val="Heading1"/>
      </w:pPr>
      <w:r>
        <w:t>P2 — Programmation</w:t>
      </w:r>
    </w:p>
    <w:tbl>
      <w:tblPr>
        <w:tblStyle w:val="TableGrid"/>
        <w:tblW w:type="dxa" w:w="9360"/>
        <w:jc w:val="center"/>
        <w:tblLook w:firstColumn="1" w:firstRow="1" w:lastColumn="0" w:lastRow="0" w:noHBand="0" w:noVBand="1" w:val="04A0"/>
      </w:tblPr>
      <w:tblGrid>
        <w:gridCol w:w="2100"/>
        <w:gridCol w:w="7260"/>
      </w:tblGrid>
      <w:tr>
        <w:trPr>
          <w:tblHeader w:val="true"/>
        </w:trPr>
        <w:tc>
          <w:tcPr>
            <w:tcW w:type="dxa" w:w="2100"/>
            <w:shd w:fill="2F75B5"/>
            <w:tcMar>
              <w:top w:w="70" w:type="dxa"/>
              <w:start w:w="90" w:type="dxa"/>
              <w:bottom w:w="70" w:type="dxa"/>
              <w:end w:w="90" w:type="dxa"/>
            </w:tcMar>
          </w:tcPr>
          <w:p>
            <w:r>
              <w:rPr>
                <w:b/>
                <w:color w:val="FFFFFF"/>
                <w:sz w:val="17"/>
              </w:rPr>
              <w:t>Matière</w:t>
            </w:r>
          </w:p>
        </w:tc>
        <w:tc>
          <w:tcPr>
            <w:tcW w:type="dxa" w:w="7260"/>
            <w:shd w:fill="2F75B5"/>
            <w:tcMar>
              <w:top w:w="70" w:type="dxa"/>
              <w:start w:w="90" w:type="dxa"/>
              <w:bottom w:w="70" w:type="dxa"/>
              <w:end w:w="90" w:type="dxa"/>
            </w:tcMar>
          </w:tcPr>
          <w:p>
            <w:r>
              <w:rPr>
                <w:b/>
                <w:color w:val="FFFFFF"/>
                <w:sz w:val="17"/>
              </w:rPr>
              <w:t>Contenus et priorités</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Français</w:t>
            </w:r>
          </w:p>
        </w:tc>
        <w:tc>
          <w:tcPr>
            <w:tcW w:type="dxa" w:w="7260"/>
            <w:vAlign w:val="top"/>
            <w:tcMar>
              <w:top w:w="70" w:type="dxa"/>
              <w:start w:w="90" w:type="dxa"/>
              <w:bottom w:w="70" w:type="dxa"/>
              <w:end w:w="90" w:type="dxa"/>
            </w:tcMar>
          </w:tcPr>
          <w:p>
            <w:pPr>
              <w:spacing w:after="20" w:line="240" w:lineRule="auto"/>
            </w:pPr>
            <w:r>
              <w:rPr>
                <w:rFonts w:ascii="Calibri" w:hAnsi="Calibri"/>
                <w:sz w:val="17"/>
              </w:rPr>
              <w:t>Documentaire : énergie et Louis XIV ; lecture de documents et fiche documentaire.</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Mathématiques</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Fractions décimales, premiers décimaux, opérations, parallélisme.</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Histoire</w:t>
            </w:r>
          </w:p>
        </w:tc>
        <w:tc>
          <w:tcPr>
            <w:tcW w:type="dxa" w:w="7260"/>
            <w:vAlign w:val="top"/>
            <w:tcMar>
              <w:top w:w="70" w:type="dxa"/>
              <w:start w:w="90" w:type="dxa"/>
              <w:bottom w:w="70" w:type="dxa"/>
              <w:end w:w="90" w:type="dxa"/>
            </w:tcMar>
          </w:tcPr>
          <w:p>
            <w:pPr>
              <w:spacing w:after="20" w:line="240" w:lineRule="auto"/>
            </w:pPr>
            <w:r>
              <w:rPr>
                <w:rFonts w:ascii="Calibri" w:hAnsi="Calibri"/>
                <w:sz w:val="17"/>
              </w:rPr>
              <w:t>Fin du Moyen Âge et début de la monarchie moderne.</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Géographie</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Se nourrir dans le monde.</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Sciences et technologie</w:t>
            </w:r>
          </w:p>
        </w:tc>
        <w:tc>
          <w:tcPr>
            <w:tcW w:type="dxa" w:w="7260"/>
            <w:vAlign w:val="top"/>
            <w:tcMar>
              <w:top w:w="70" w:type="dxa"/>
              <w:start w:w="90" w:type="dxa"/>
              <w:bottom w:w="70" w:type="dxa"/>
              <w:end w:w="90" w:type="dxa"/>
            </w:tcMar>
          </w:tcPr>
          <w:p>
            <w:pPr>
              <w:spacing w:after="20" w:line="240" w:lineRule="auto"/>
            </w:pPr>
            <w:r>
              <w:rPr>
                <w:rFonts w:ascii="Calibri" w:hAnsi="Calibri"/>
                <w:sz w:val="17"/>
              </w:rPr>
              <w:t>Mouvements et signaux.</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EMC</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Civisme, citoyenneté et égale dignité.</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Anglais</w:t>
            </w:r>
          </w:p>
        </w:tc>
        <w:tc>
          <w:tcPr>
            <w:tcW w:type="dxa" w:w="7260"/>
            <w:vAlign w:val="top"/>
            <w:tcMar>
              <w:top w:w="70" w:type="dxa"/>
              <w:start w:w="90" w:type="dxa"/>
              <w:bottom w:w="70" w:type="dxa"/>
              <w:end w:w="90" w:type="dxa"/>
            </w:tcMar>
          </w:tcPr>
          <w:p>
            <w:pPr>
              <w:spacing w:after="20" w:line="240" w:lineRule="auto"/>
            </w:pPr>
            <w:r>
              <w:rPr>
                <w:rFonts w:ascii="Calibri" w:hAnsi="Calibri"/>
                <w:sz w:val="17"/>
              </w:rPr>
              <w:t>Parler de soi, de sa famille et de son environnement.</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EPS</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Jeux collectifs : coopérer et s’opposer.</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Enseignements artistiques</w:t>
            </w:r>
          </w:p>
        </w:tc>
        <w:tc>
          <w:tcPr>
            <w:tcW w:type="dxa" w:w="7260"/>
            <w:vAlign w:val="top"/>
            <w:tcMar>
              <w:top w:w="70" w:type="dxa"/>
              <w:start w:w="90" w:type="dxa"/>
              <w:bottom w:w="70" w:type="dxa"/>
              <w:end w:w="90" w:type="dxa"/>
            </w:tcMar>
          </w:tcPr>
          <w:p>
            <w:pPr>
              <w:spacing w:after="20" w:line="240" w:lineRule="auto"/>
            </w:pPr>
            <w:r>
              <w:rPr>
                <w:rFonts w:ascii="Calibri" w:hAnsi="Calibri"/>
                <w:sz w:val="17"/>
              </w:rPr>
              <w:t>Fabriquer, transformer, interpréter et comparer des œuvres.</w:t>
            </w:r>
          </w:p>
        </w:tc>
      </w:tr>
    </w:tbl>
    <w:p>
      <w:pPr>
        <w:pStyle w:val="Heading1"/>
      </w:pPr>
      <w:r>
        <w:t>P3 — Programmation</w:t>
      </w:r>
    </w:p>
    <w:tbl>
      <w:tblPr>
        <w:tblStyle w:val="TableGrid"/>
        <w:tblW w:type="dxa" w:w="9360"/>
        <w:jc w:val="center"/>
        <w:tblLook w:firstColumn="1" w:firstRow="1" w:lastColumn="0" w:lastRow="0" w:noHBand="0" w:noVBand="1" w:val="04A0"/>
      </w:tblPr>
      <w:tblGrid>
        <w:gridCol w:w="2100"/>
        <w:gridCol w:w="7260"/>
      </w:tblGrid>
      <w:tr>
        <w:trPr>
          <w:tblHeader w:val="true"/>
        </w:trPr>
        <w:tc>
          <w:tcPr>
            <w:tcW w:type="dxa" w:w="2100"/>
            <w:shd w:fill="2F75B5"/>
            <w:tcMar>
              <w:top w:w="70" w:type="dxa"/>
              <w:start w:w="90" w:type="dxa"/>
              <w:bottom w:w="70" w:type="dxa"/>
              <w:end w:w="90" w:type="dxa"/>
            </w:tcMar>
          </w:tcPr>
          <w:p>
            <w:r>
              <w:rPr>
                <w:b/>
                <w:color w:val="FFFFFF"/>
                <w:sz w:val="17"/>
              </w:rPr>
              <w:t>Matière</w:t>
            </w:r>
          </w:p>
        </w:tc>
        <w:tc>
          <w:tcPr>
            <w:tcW w:type="dxa" w:w="7260"/>
            <w:shd w:fill="2F75B5"/>
            <w:tcMar>
              <w:top w:w="70" w:type="dxa"/>
              <w:start w:w="90" w:type="dxa"/>
              <w:bottom w:w="70" w:type="dxa"/>
              <w:end w:w="90" w:type="dxa"/>
            </w:tcMar>
          </w:tcPr>
          <w:p>
            <w:r>
              <w:rPr>
                <w:b/>
                <w:color w:val="FFFFFF"/>
                <w:sz w:val="17"/>
              </w:rPr>
              <w:t>Contenus et priorités</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Français</w:t>
            </w:r>
          </w:p>
        </w:tc>
        <w:tc>
          <w:tcPr>
            <w:tcW w:type="dxa" w:w="7260"/>
            <w:vAlign w:val="top"/>
            <w:tcMar>
              <w:top w:w="70" w:type="dxa"/>
              <w:start w:w="90" w:type="dxa"/>
              <w:bottom w:w="70" w:type="dxa"/>
              <w:end w:w="90" w:type="dxa"/>
            </w:tcMar>
          </w:tcPr>
          <w:p>
            <w:pPr>
              <w:spacing w:after="20" w:line="240" w:lineRule="auto"/>
            </w:pPr>
            <w:r>
              <w:rPr>
                <w:rFonts w:ascii="Calibri" w:hAnsi="Calibri"/>
                <w:sz w:val="17"/>
              </w:rPr>
              <w:t>Poésie : enfants du monde et eau ; vocabulaire en contexte, imparfait et accords.</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Mathématiques</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Décimaux, division, proportionnalité, algèbre et longueurs.</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Histoire</w:t>
            </w:r>
          </w:p>
        </w:tc>
        <w:tc>
          <w:tcPr>
            <w:tcW w:type="dxa" w:w="7260"/>
            <w:vAlign w:val="top"/>
            <w:tcMar>
              <w:top w:w="70" w:type="dxa"/>
              <w:start w:w="90" w:type="dxa"/>
              <w:bottom w:w="70" w:type="dxa"/>
              <w:end w:w="90" w:type="dxa"/>
            </w:tcMar>
          </w:tcPr>
          <w:p>
            <w:pPr>
              <w:spacing w:after="20" w:line="240" w:lineRule="auto"/>
            </w:pPr>
            <w:r>
              <w:rPr>
                <w:rFonts w:ascii="Calibri" w:hAnsi="Calibri"/>
                <w:sz w:val="17"/>
              </w:rPr>
              <w:t>Monarchie en France aux XVIe-XVIIe siècles.</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Géographie</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Inégalités dans le monde.</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Sciences et technologie</w:t>
            </w:r>
          </w:p>
        </w:tc>
        <w:tc>
          <w:tcPr>
            <w:tcW w:type="dxa" w:w="7260"/>
            <w:vAlign w:val="top"/>
            <w:tcMar>
              <w:top w:w="70" w:type="dxa"/>
              <w:start w:w="90" w:type="dxa"/>
              <w:bottom w:w="70" w:type="dxa"/>
              <w:end w:w="90" w:type="dxa"/>
            </w:tcMar>
          </w:tcPr>
          <w:p>
            <w:pPr>
              <w:spacing w:after="20" w:line="240" w:lineRule="auto"/>
            </w:pPr>
            <w:r>
              <w:rPr>
                <w:rFonts w:ascii="Calibri" w:hAnsi="Calibri"/>
                <w:sz w:val="17"/>
              </w:rPr>
              <w:t>Unité, diversité, croissance et reproduction du vivant.</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EMC</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Égalité, discriminations et débat argumenté.</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Anglais</w:t>
            </w:r>
          </w:p>
        </w:tc>
        <w:tc>
          <w:tcPr>
            <w:tcW w:type="dxa" w:w="7260"/>
            <w:vAlign w:val="top"/>
            <w:tcMar>
              <w:top w:w="70" w:type="dxa"/>
              <w:start w:w="90" w:type="dxa"/>
              <w:bottom w:w="70" w:type="dxa"/>
              <w:end w:w="90" w:type="dxa"/>
            </w:tcMar>
          </w:tcPr>
          <w:p>
            <w:pPr>
              <w:spacing w:after="20" w:line="240" w:lineRule="auto"/>
            </w:pPr>
            <w:r>
              <w:rPr>
                <w:rFonts w:ascii="Calibri" w:hAnsi="Calibri"/>
                <w:sz w:val="17"/>
              </w:rPr>
              <w:t>Décrire, raconter et comprendre une histoire simple.</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EPS</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Équilibres et déplacements en environnement inhabituel.</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Enseignements artistiques</w:t>
            </w:r>
          </w:p>
        </w:tc>
        <w:tc>
          <w:tcPr>
            <w:tcW w:type="dxa" w:w="7260"/>
            <w:vAlign w:val="top"/>
            <w:tcMar>
              <w:top w:w="70" w:type="dxa"/>
              <w:start w:w="90" w:type="dxa"/>
              <w:bottom w:w="70" w:type="dxa"/>
              <w:end w:w="90" w:type="dxa"/>
            </w:tcMar>
          </w:tcPr>
          <w:p>
            <w:pPr>
              <w:spacing w:after="20" w:line="240" w:lineRule="auto"/>
            </w:pPr>
            <w:r>
              <w:rPr>
                <w:rFonts w:ascii="Calibri" w:hAnsi="Calibri"/>
                <w:sz w:val="17"/>
              </w:rPr>
              <w:t>Matière, son, espace et création.</w:t>
            </w:r>
          </w:p>
        </w:tc>
      </w:tr>
    </w:tbl>
    <w:p>
      <w:pPr>
        <w:pStyle w:val="Heading1"/>
      </w:pPr>
      <w:r>
        <w:t>P4 — Programmation</w:t>
      </w:r>
    </w:p>
    <w:tbl>
      <w:tblPr>
        <w:tblStyle w:val="TableGrid"/>
        <w:tblW w:type="dxa" w:w="9360"/>
        <w:jc w:val="center"/>
        <w:tblLook w:firstColumn="1" w:firstRow="1" w:lastColumn="0" w:lastRow="0" w:noHBand="0" w:noVBand="1" w:val="04A0"/>
      </w:tblPr>
      <w:tblGrid>
        <w:gridCol w:w="2100"/>
        <w:gridCol w:w="7260"/>
      </w:tblGrid>
      <w:tr>
        <w:trPr>
          <w:tblHeader w:val="true"/>
        </w:trPr>
        <w:tc>
          <w:tcPr>
            <w:tcW w:type="dxa" w:w="2100"/>
            <w:shd w:fill="2F75B5"/>
            <w:tcMar>
              <w:top w:w="70" w:type="dxa"/>
              <w:start w:w="90" w:type="dxa"/>
              <w:bottom w:w="70" w:type="dxa"/>
              <w:end w:w="90" w:type="dxa"/>
            </w:tcMar>
          </w:tcPr>
          <w:p>
            <w:r>
              <w:rPr>
                <w:b/>
                <w:color w:val="FFFFFF"/>
                <w:sz w:val="17"/>
              </w:rPr>
              <w:t>Matière</w:t>
            </w:r>
          </w:p>
        </w:tc>
        <w:tc>
          <w:tcPr>
            <w:tcW w:type="dxa" w:w="7260"/>
            <w:shd w:fill="2F75B5"/>
            <w:tcMar>
              <w:top w:w="70" w:type="dxa"/>
              <w:start w:w="90" w:type="dxa"/>
              <w:bottom w:w="70" w:type="dxa"/>
              <w:end w:w="90" w:type="dxa"/>
            </w:tcMar>
          </w:tcPr>
          <w:p>
            <w:r>
              <w:rPr>
                <w:b/>
                <w:color w:val="FFFFFF"/>
                <w:sz w:val="17"/>
              </w:rPr>
              <w:t>Contenus et priorités</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Français</w:t>
            </w:r>
          </w:p>
        </w:tc>
        <w:tc>
          <w:tcPr>
            <w:tcW w:type="dxa" w:w="7260"/>
            <w:vAlign w:val="top"/>
            <w:tcMar>
              <w:top w:w="70" w:type="dxa"/>
              <w:start w:w="90" w:type="dxa"/>
              <w:bottom w:w="70" w:type="dxa"/>
              <w:end w:w="90" w:type="dxa"/>
            </w:tcMar>
          </w:tcPr>
          <w:p>
            <w:pPr>
              <w:spacing w:after="20" w:line="240" w:lineRule="auto"/>
            </w:pPr>
            <w:r>
              <w:rPr>
                <w:rFonts w:ascii="Calibri" w:hAnsi="Calibri"/>
                <w:sz w:val="17"/>
              </w:rPr>
              <w:t>Roman : justice et héros ; cohérence du récit, futur et analyse de la phrase.</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Mathématiques</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Multiplication, proportionnalité, périmètres, aires, figures et probabilités.</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Histoire</w:t>
            </w:r>
          </w:p>
        </w:tc>
        <w:tc>
          <w:tcPr>
            <w:tcW w:type="dxa" w:w="7260"/>
            <w:vAlign w:val="top"/>
            <w:tcMar>
              <w:top w:w="70" w:type="dxa"/>
              <w:start w:w="90" w:type="dxa"/>
              <w:bottom w:w="70" w:type="dxa"/>
              <w:end w:w="90" w:type="dxa"/>
            </w:tcMar>
          </w:tcPr>
          <w:p>
            <w:pPr>
              <w:spacing w:after="20" w:line="240" w:lineRule="auto"/>
            </w:pPr>
            <w:r>
              <w:rPr>
                <w:rFonts w:ascii="Calibri" w:hAnsi="Calibri"/>
                <w:sz w:val="17"/>
              </w:rPr>
              <w:t>Explorations et conquêtes européennes.</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Géographie</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Se déplacer.</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Sciences et technologie</w:t>
            </w:r>
          </w:p>
        </w:tc>
        <w:tc>
          <w:tcPr>
            <w:tcW w:type="dxa" w:w="7260"/>
            <w:vAlign w:val="top"/>
            <w:tcMar>
              <w:top w:w="70" w:type="dxa"/>
              <w:start w:w="90" w:type="dxa"/>
              <w:bottom w:w="70" w:type="dxa"/>
              <w:end w:w="90" w:type="dxa"/>
            </w:tcMar>
          </w:tcPr>
          <w:p>
            <w:pPr>
              <w:spacing w:after="20" w:line="240" w:lineRule="auto"/>
            </w:pPr>
            <w:r>
              <w:rPr>
                <w:rFonts w:ascii="Calibri" w:hAnsi="Calibri"/>
                <w:sz w:val="17"/>
              </w:rPr>
              <w:t>Objets techniques, énergie, conception et réalisation.</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EMC</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Fraternité, solidarité et projet collectif.</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Anglais</w:t>
            </w:r>
          </w:p>
        </w:tc>
        <w:tc>
          <w:tcPr>
            <w:tcW w:type="dxa" w:w="7260"/>
            <w:vAlign w:val="top"/>
            <w:tcMar>
              <w:top w:w="70" w:type="dxa"/>
              <w:start w:w="90" w:type="dxa"/>
              <w:bottom w:w="70" w:type="dxa"/>
              <w:end w:w="90" w:type="dxa"/>
            </w:tcMar>
          </w:tcPr>
          <w:p>
            <w:pPr>
              <w:spacing w:after="20" w:line="240" w:lineRule="auto"/>
            </w:pPr>
            <w:r>
              <w:rPr>
                <w:rFonts w:ascii="Calibri" w:hAnsi="Calibri"/>
                <w:sz w:val="17"/>
              </w:rPr>
              <w:t>Comprendre, agir, coopérer et écrire un message simple.</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EPS</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Expression corporelle et composition.</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Enseignements artistiques</w:t>
            </w:r>
          </w:p>
        </w:tc>
        <w:tc>
          <w:tcPr>
            <w:tcW w:type="dxa" w:w="7260"/>
            <w:vAlign w:val="top"/>
            <w:tcMar>
              <w:top w:w="70" w:type="dxa"/>
              <w:start w:w="90" w:type="dxa"/>
              <w:bottom w:w="70" w:type="dxa"/>
              <w:end w:w="90" w:type="dxa"/>
            </w:tcMar>
          </w:tcPr>
          <w:p>
            <w:pPr>
              <w:spacing w:after="20" w:line="240" w:lineRule="auto"/>
            </w:pPr>
            <w:r>
              <w:rPr>
                <w:rFonts w:ascii="Calibri" w:hAnsi="Calibri"/>
                <w:sz w:val="17"/>
              </w:rPr>
              <w:t>Projet artistique collectif et rencontre d’œuvres.</w:t>
            </w:r>
          </w:p>
        </w:tc>
      </w:tr>
    </w:tbl>
    <w:p>
      <w:pPr>
        <w:pStyle w:val="Heading1"/>
      </w:pPr>
      <w:r>
        <w:t>P5 — Programmation</w:t>
      </w:r>
    </w:p>
    <w:tbl>
      <w:tblPr>
        <w:tblStyle w:val="TableGrid"/>
        <w:tblW w:type="dxa" w:w="9360"/>
        <w:jc w:val="center"/>
        <w:tblLook w:firstColumn="1" w:firstRow="1" w:lastColumn="0" w:lastRow="0" w:noHBand="0" w:noVBand="1" w:val="04A0"/>
      </w:tblPr>
      <w:tblGrid>
        <w:gridCol w:w="2100"/>
        <w:gridCol w:w="7260"/>
      </w:tblGrid>
      <w:tr>
        <w:trPr>
          <w:tblHeader w:val="true"/>
        </w:trPr>
        <w:tc>
          <w:tcPr>
            <w:tcW w:type="dxa" w:w="2100"/>
            <w:shd w:fill="2F75B5"/>
            <w:tcMar>
              <w:top w:w="70" w:type="dxa"/>
              <w:start w:w="90" w:type="dxa"/>
              <w:bottom w:w="70" w:type="dxa"/>
              <w:end w:w="90" w:type="dxa"/>
            </w:tcMar>
          </w:tcPr>
          <w:p>
            <w:r>
              <w:rPr>
                <w:b/>
                <w:color w:val="FFFFFF"/>
                <w:sz w:val="17"/>
              </w:rPr>
              <w:t>Matière</w:t>
            </w:r>
          </w:p>
        </w:tc>
        <w:tc>
          <w:tcPr>
            <w:tcW w:type="dxa" w:w="7260"/>
            <w:shd w:fill="2F75B5"/>
            <w:tcMar>
              <w:top w:w="70" w:type="dxa"/>
              <w:start w:w="90" w:type="dxa"/>
              <w:bottom w:w="70" w:type="dxa"/>
              <w:end w:w="90" w:type="dxa"/>
            </w:tcMar>
          </w:tcPr>
          <w:p>
            <w:r>
              <w:rPr>
                <w:b/>
                <w:color w:val="FFFFFF"/>
                <w:sz w:val="17"/>
              </w:rPr>
              <w:t>Contenus et priorités</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Français</w:t>
            </w:r>
          </w:p>
        </w:tc>
        <w:tc>
          <w:tcPr>
            <w:tcW w:type="dxa" w:w="7260"/>
            <w:vAlign w:val="top"/>
            <w:tcMar>
              <w:top w:w="70" w:type="dxa"/>
              <w:start w:w="90" w:type="dxa"/>
              <w:bottom w:w="70" w:type="dxa"/>
              <w:end w:w="90" w:type="dxa"/>
            </w:tcMar>
          </w:tcPr>
          <w:p>
            <w:pPr>
              <w:spacing w:after="20" w:line="240" w:lineRule="auto"/>
            </w:pPr>
            <w:r>
              <w:rPr>
                <w:rFonts w:ascii="Calibri" w:hAnsi="Calibri"/>
                <w:sz w:val="17"/>
              </w:rPr>
              <w:t>BD et théâtre ; synthèse des compétences, passé composé et projets dialogués.</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Mathématiques</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Problèmes complexes, mesures, géométrie, données et pensée informatique.</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Histoire</w:t>
            </w:r>
          </w:p>
        </w:tc>
        <w:tc>
          <w:tcPr>
            <w:tcW w:type="dxa" w:w="7260"/>
            <w:vAlign w:val="top"/>
            <w:tcMar>
              <w:top w:w="70" w:type="dxa"/>
              <w:start w:w="90" w:type="dxa"/>
              <w:bottom w:w="70" w:type="dxa"/>
              <w:end w:w="90" w:type="dxa"/>
            </w:tcMar>
          </w:tcPr>
          <w:p>
            <w:pPr>
              <w:spacing w:after="20" w:line="240" w:lineRule="auto"/>
            </w:pPr>
            <w:r>
              <w:rPr>
                <w:rFonts w:ascii="Calibri" w:hAnsi="Calibri"/>
                <w:sz w:val="17"/>
              </w:rPr>
              <w:t>1789, une année révolutionnaire.</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Géographie</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Communiquer dans le monde avec Internet.</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Sciences et technologie</w:t>
            </w:r>
          </w:p>
        </w:tc>
        <w:tc>
          <w:tcPr>
            <w:tcW w:type="dxa" w:w="7260"/>
            <w:vAlign w:val="top"/>
            <w:tcMar>
              <w:top w:w="70" w:type="dxa"/>
              <w:start w:w="90" w:type="dxa"/>
              <w:bottom w:w="70" w:type="dxa"/>
              <w:end w:w="90" w:type="dxa"/>
            </w:tcMar>
          </w:tcPr>
          <w:p>
            <w:pPr>
              <w:spacing w:after="20" w:line="240" w:lineRule="auto"/>
            </w:pPr>
            <w:r>
              <w:rPr>
                <w:rFonts w:ascii="Calibri" w:hAnsi="Calibri"/>
                <w:sz w:val="17"/>
              </w:rPr>
              <w:t>Interactions dans l’environnement et action responsable.</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EMC</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Citoyenneté numérique et bilan d’engagement.</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Anglais</w:t>
            </w:r>
          </w:p>
        </w:tc>
        <w:tc>
          <w:tcPr>
            <w:tcW w:type="dxa" w:w="7260"/>
            <w:vAlign w:val="top"/>
            <w:tcMar>
              <w:top w:w="70" w:type="dxa"/>
              <w:start w:w="90" w:type="dxa"/>
              <w:bottom w:w="70" w:type="dxa"/>
              <w:end w:w="90" w:type="dxa"/>
            </w:tcMar>
          </w:tcPr>
          <w:p>
            <w:pPr>
              <w:spacing w:after="20" w:line="240" w:lineRule="auto"/>
            </w:pPr>
            <w:r>
              <w:rPr>
                <w:rFonts w:ascii="Calibri" w:hAnsi="Calibri"/>
                <w:sz w:val="17"/>
              </w:rPr>
              <w:t>Mobiliser le niveau A1 et présenter un projet.</w:t>
            </w:r>
          </w:p>
        </w:tc>
      </w:tr>
      <w:tr>
        <w:trPr>
          <w:cantSplit/>
        </w:trPr>
        <w:tc>
          <w:tcPr>
            <w:tcW w:type="dxa" w:w="2100"/>
            <w:vAlign w:val="top"/>
            <w:shd w:fill="F5F8FB"/>
            <w:tcMar>
              <w:top w:w="70" w:type="dxa"/>
              <w:start w:w="90" w:type="dxa"/>
              <w:bottom w:w="70" w:type="dxa"/>
              <w:end w:w="90" w:type="dxa"/>
            </w:tcMar>
          </w:tcPr>
          <w:p>
            <w:pPr>
              <w:spacing w:after="20" w:line="240" w:lineRule="auto"/>
            </w:pPr>
            <w:r>
              <w:rPr>
                <w:rFonts w:ascii="Calibri" w:hAnsi="Calibri"/>
                <w:sz w:val="17"/>
              </w:rPr>
              <w:t>EPS</w:t>
            </w:r>
          </w:p>
        </w:tc>
        <w:tc>
          <w:tcPr>
            <w:tcW w:type="dxa" w:w="7260"/>
            <w:vAlign w:val="top"/>
            <w:shd w:fill="F5F8FB"/>
            <w:tcMar>
              <w:top w:w="70" w:type="dxa"/>
              <w:start w:w="90" w:type="dxa"/>
              <w:bottom w:w="70" w:type="dxa"/>
              <w:end w:w="90" w:type="dxa"/>
            </w:tcMar>
          </w:tcPr>
          <w:p>
            <w:pPr>
              <w:spacing w:after="20" w:line="240" w:lineRule="auto"/>
            </w:pPr>
            <w:r>
              <w:rPr>
                <w:rFonts w:ascii="Calibri" w:hAnsi="Calibri"/>
                <w:sz w:val="17"/>
              </w:rPr>
              <w:t>Orientation ou milieu aquatique selon les possibilités.</w:t>
            </w:r>
          </w:p>
        </w:tc>
      </w:tr>
      <w:tr>
        <w:trPr>
          <w:cantSplit/>
        </w:trPr>
        <w:tc>
          <w:tcPr>
            <w:tcW w:type="dxa" w:w="2100"/>
            <w:vAlign w:val="top"/>
            <w:tcMar>
              <w:top w:w="70" w:type="dxa"/>
              <w:start w:w="90" w:type="dxa"/>
              <w:bottom w:w="70" w:type="dxa"/>
              <w:end w:w="90" w:type="dxa"/>
            </w:tcMar>
          </w:tcPr>
          <w:p>
            <w:pPr>
              <w:spacing w:after="20" w:line="240" w:lineRule="auto"/>
            </w:pPr>
            <w:r>
              <w:rPr>
                <w:rFonts w:ascii="Calibri" w:hAnsi="Calibri"/>
                <w:sz w:val="17"/>
              </w:rPr>
              <w:t>Enseignements artistiques</w:t>
            </w:r>
          </w:p>
        </w:tc>
        <w:tc>
          <w:tcPr>
            <w:tcW w:type="dxa" w:w="7260"/>
            <w:vAlign w:val="top"/>
            <w:tcMar>
              <w:top w:w="70" w:type="dxa"/>
              <w:start w:w="90" w:type="dxa"/>
              <w:bottom w:w="70" w:type="dxa"/>
              <w:end w:w="90" w:type="dxa"/>
            </w:tcMar>
          </w:tcPr>
          <w:p>
            <w:pPr>
              <w:spacing w:after="20" w:line="240" w:lineRule="auto"/>
            </w:pPr>
            <w:r>
              <w:rPr>
                <w:rFonts w:ascii="Calibri" w:hAnsi="Calibri"/>
                <w:sz w:val="17"/>
              </w:rPr>
              <w:t>Exposer, restituer et présenter son parcours.</w:t>
            </w:r>
          </w:p>
        </w:tc>
      </w:tr>
    </w:tbl>
    <w:p>
      <w:r>
        <w:br w:type="page"/>
      </w:r>
    </w:p>
    <w:p>
      <w:pPr>
        <w:pStyle w:val="Heading1"/>
      </w:pPr>
      <w:r>
        <w:t>Repères de pilotage</w:t>
      </w:r>
    </w:p>
    <w:tbl>
      <w:tblPr>
        <w:tblStyle w:val="TableGrid"/>
        <w:tblW w:type="dxa" w:w="9360"/>
        <w:jc w:val="center"/>
        <w:tblLook w:firstColumn="1" w:firstRow="1" w:lastColumn="0" w:lastRow="0" w:noHBand="0" w:noVBand="1" w:val="04A0"/>
      </w:tblPr>
      <w:tblGrid>
        <w:gridCol w:w="1900"/>
        <w:gridCol w:w="7460"/>
      </w:tblGrid>
      <w:tr>
        <w:trPr>
          <w:tblHeader w:val="true"/>
        </w:trPr>
        <w:tc>
          <w:tcPr>
            <w:tcW w:type="dxa" w:w="1900"/>
            <w:shd w:fill="2F75B5"/>
            <w:tcMar>
              <w:top w:w="70" w:type="dxa"/>
              <w:start w:w="90" w:type="dxa"/>
              <w:bottom w:w="70" w:type="dxa"/>
              <w:end w:w="90" w:type="dxa"/>
            </w:tcMar>
          </w:tcPr>
          <w:p>
            <w:r>
              <w:rPr>
                <w:b/>
                <w:color w:val="FFFFFF"/>
                <w:sz w:val="18"/>
              </w:rPr>
              <w:t>Moment</w:t>
            </w:r>
          </w:p>
        </w:tc>
        <w:tc>
          <w:tcPr>
            <w:tcW w:type="dxa" w:w="7460"/>
            <w:shd w:fill="2F75B5"/>
            <w:tcMar>
              <w:top w:w="70" w:type="dxa"/>
              <w:start w:w="90" w:type="dxa"/>
              <w:bottom w:w="70" w:type="dxa"/>
              <w:end w:w="90" w:type="dxa"/>
            </w:tcMar>
          </w:tcPr>
          <w:p>
            <w:r>
              <w:rPr>
                <w:b/>
                <w:color w:val="FFFFFF"/>
                <w:sz w:val="18"/>
              </w:rPr>
              <w:t>Action attendue</w:t>
            </w:r>
          </w:p>
        </w:tc>
      </w:tr>
      <w:tr>
        <w:trPr>
          <w:cantSplit/>
        </w:trPr>
        <w:tc>
          <w:tcPr>
            <w:tcW w:type="dxa" w:w="1900"/>
            <w:vAlign w:val="top"/>
            <w:tcMar>
              <w:top w:w="70" w:type="dxa"/>
              <w:start w:w="90" w:type="dxa"/>
              <w:bottom w:w="70" w:type="dxa"/>
              <w:end w:w="90" w:type="dxa"/>
            </w:tcMar>
          </w:tcPr>
          <w:p>
            <w:pPr>
              <w:spacing w:after="20" w:line="240" w:lineRule="auto"/>
            </w:pPr>
            <w:r>
              <w:rPr>
                <w:rFonts w:ascii="Calibri" w:hAnsi="Calibri"/>
                <w:sz w:val="18"/>
              </w:rPr>
              <w:t>Avant chaque période</w:t>
            </w:r>
          </w:p>
        </w:tc>
        <w:tc>
          <w:tcPr>
            <w:tcW w:type="dxa" w:w="7460"/>
            <w:vAlign w:val="top"/>
            <w:tcMar>
              <w:top w:w="70" w:type="dxa"/>
              <w:start w:w="90" w:type="dxa"/>
              <w:bottom w:w="70" w:type="dxa"/>
              <w:end w:w="90" w:type="dxa"/>
            </w:tcMar>
          </w:tcPr>
          <w:p>
            <w:pPr>
              <w:spacing w:after="20" w:line="240" w:lineRule="auto"/>
            </w:pPr>
            <w:r>
              <w:rPr>
                <w:rFonts w:ascii="Calibri" w:hAnsi="Calibri"/>
                <w:sz w:val="18"/>
              </w:rPr>
              <w:t>Dater les séquences, vérifier les supports et sélectionner les évaluations diagnostiques ou de positionnement.</w:t>
            </w:r>
          </w:p>
        </w:tc>
      </w:tr>
      <w:tr>
        <w:trPr>
          <w:cantSplit/>
        </w:trPr>
        <w:tc>
          <w:tcPr>
            <w:tcW w:type="dxa" w:w="1900"/>
            <w:vAlign w:val="top"/>
            <w:shd w:fill="F5F8FB"/>
            <w:tcMar>
              <w:top w:w="70" w:type="dxa"/>
              <w:start w:w="90" w:type="dxa"/>
              <w:bottom w:w="70" w:type="dxa"/>
              <w:end w:w="90" w:type="dxa"/>
            </w:tcMar>
          </w:tcPr>
          <w:p>
            <w:pPr>
              <w:spacing w:after="20" w:line="240" w:lineRule="auto"/>
            </w:pPr>
            <w:r>
              <w:rPr>
                <w:rFonts w:ascii="Calibri" w:hAnsi="Calibri"/>
                <w:sz w:val="18"/>
              </w:rPr>
              <w:t>Chaque semaine</w:t>
            </w:r>
          </w:p>
        </w:tc>
        <w:tc>
          <w:tcPr>
            <w:tcW w:type="dxa" w:w="7460"/>
            <w:vAlign w:val="top"/>
            <w:shd w:fill="F5F8FB"/>
            <w:tcMar>
              <w:top w:w="70" w:type="dxa"/>
              <w:start w:w="90" w:type="dxa"/>
              <w:bottom w:w="70" w:type="dxa"/>
              <w:end w:w="90" w:type="dxa"/>
            </w:tcMar>
          </w:tcPr>
          <w:p>
            <w:pPr>
              <w:spacing w:after="20" w:line="240" w:lineRule="auto"/>
            </w:pPr>
            <w:r>
              <w:rPr>
                <w:rFonts w:ascii="Calibri" w:hAnsi="Calibri"/>
                <w:sz w:val="18"/>
              </w:rPr>
              <w:t>Choisir les objectifs du référentiel et les copier dans le cahier journal ou la fiche de préparation.</w:t>
            </w:r>
          </w:p>
        </w:tc>
      </w:tr>
      <w:tr>
        <w:trPr>
          <w:cantSplit/>
        </w:trPr>
        <w:tc>
          <w:tcPr>
            <w:tcW w:type="dxa" w:w="1900"/>
            <w:vAlign w:val="top"/>
            <w:tcMar>
              <w:top w:w="70" w:type="dxa"/>
              <w:start w:w="90" w:type="dxa"/>
              <w:bottom w:w="70" w:type="dxa"/>
              <w:end w:w="90" w:type="dxa"/>
            </w:tcMar>
          </w:tcPr>
          <w:p>
            <w:pPr>
              <w:spacing w:after="20" w:line="240" w:lineRule="auto"/>
            </w:pPr>
            <w:r>
              <w:rPr>
                <w:rFonts w:ascii="Calibri" w:hAnsi="Calibri"/>
                <w:sz w:val="18"/>
              </w:rPr>
              <w:t>Après une séquence</w:t>
            </w:r>
          </w:p>
        </w:tc>
        <w:tc>
          <w:tcPr>
            <w:tcW w:type="dxa" w:w="7460"/>
            <w:vAlign w:val="top"/>
            <w:tcMar>
              <w:top w:w="70" w:type="dxa"/>
              <w:start w:w="90" w:type="dxa"/>
              <w:bottom w:w="70" w:type="dxa"/>
              <w:end w:w="90" w:type="dxa"/>
            </w:tcMar>
          </w:tcPr>
          <w:p>
            <w:pPr>
              <w:spacing w:after="20" w:line="240" w:lineRule="auto"/>
            </w:pPr>
            <w:r>
              <w:rPr>
                <w:rFonts w:ascii="Calibri" w:hAnsi="Calibri"/>
                <w:sz w:val="18"/>
              </w:rPr>
              <w:t>Renseigner le statut : réalisé, à reprendre ou à réactiver.</w:t>
            </w:r>
          </w:p>
        </w:tc>
      </w:tr>
      <w:tr>
        <w:trPr>
          <w:cantSplit/>
        </w:trPr>
        <w:tc>
          <w:tcPr>
            <w:tcW w:type="dxa" w:w="1900"/>
            <w:vAlign w:val="top"/>
            <w:shd w:fill="F5F8FB"/>
            <w:tcMar>
              <w:top w:w="70" w:type="dxa"/>
              <w:start w:w="90" w:type="dxa"/>
              <w:bottom w:w="70" w:type="dxa"/>
              <w:end w:w="90" w:type="dxa"/>
            </w:tcMar>
          </w:tcPr>
          <w:p>
            <w:pPr>
              <w:spacing w:after="20" w:line="240" w:lineRule="auto"/>
            </w:pPr>
            <w:r>
              <w:rPr>
                <w:rFonts w:ascii="Calibri" w:hAnsi="Calibri"/>
                <w:sz w:val="18"/>
              </w:rPr>
              <w:t>Fin de période</w:t>
            </w:r>
          </w:p>
        </w:tc>
        <w:tc>
          <w:tcPr>
            <w:tcW w:type="dxa" w:w="7460"/>
            <w:vAlign w:val="top"/>
            <w:shd w:fill="F5F8FB"/>
            <w:tcMar>
              <w:top w:w="70" w:type="dxa"/>
              <w:start w:w="90" w:type="dxa"/>
              <w:bottom w:w="70" w:type="dxa"/>
              <w:end w:w="90" w:type="dxa"/>
            </w:tcMar>
          </w:tcPr>
          <w:p>
            <w:pPr>
              <w:spacing w:after="20" w:line="240" w:lineRule="auto"/>
            </w:pPr>
            <w:r>
              <w:rPr>
                <w:rFonts w:ascii="Calibri" w:hAnsi="Calibri"/>
                <w:sz w:val="18"/>
              </w:rPr>
              <w:t>Analyser les réussites et déplacer les apprentissages non stabilisés.</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CM1 2026-2027 | Référentiel pédagogique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F75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