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</w:pPr>
      <w:bookmarkStart w:id="0" w:name="_GoBack"/>
      <w:bookmarkEnd w:id="0"/>
    </w:p>
    <w:p w:rsidR="0094150A" w:rsidRP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>The Intra-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>Africa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>Academic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>Mobility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>Scheme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>fourth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 xml:space="preserve"> Call for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>proposals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fr-FR"/>
        </w:rPr>
        <w:t>published</w:t>
      </w:r>
      <w:proofErr w:type="spellEnd"/>
    </w:p>
    <w:p w:rsidR="0094150A" w:rsidRP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Calibri" w:eastAsia="Times New Roman" w:hAnsi="Calibri" w:cs="Times New Roman"/>
          <w:color w:val="222222"/>
          <w:lang w:eastAsia="fr-FR"/>
        </w:rPr>
        <w:t> </w:t>
      </w:r>
    </w:p>
    <w:p w:rsidR="0094150A" w:rsidRPr="0094150A" w:rsidRDefault="0094150A" w:rsidP="0094150A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The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European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Union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will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invest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further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€10 million in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projects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to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promote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student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and staff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mobility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in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Africa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under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the Intra-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Africa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Academic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Mobility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Scheme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. The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fourth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Call for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proposals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was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published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on 19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February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2020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with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a deadline for </w:t>
      </w:r>
      <w:proofErr w:type="spell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submission</w:t>
      </w:r>
      <w:proofErr w:type="spellEnd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 xml:space="preserve"> of applications on 19 May 2020.</w:t>
      </w:r>
    </w:p>
    <w:p w:rsidR="0094150A" w:rsidRP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The Education,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Audiovisual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and Culture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Executive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Agency (EACEA) of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European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Commission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published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on 19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February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2020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fourth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Call for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proposals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under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Intra-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Academic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Mobility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Scheme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. The Agency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responsible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for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managing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programme in collaboration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with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 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fldChar w:fldCharType="begin"/>
      </w: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instrText xml:space="preserve"> HYPERLINK "http://www.au.int/" \t "_blank" </w:instrText>
      </w: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fldChar w:fldCharType="separate"/>
      </w:r>
      <w:r w:rsidRPr="0094150A">
        <w:rPr>
          <w:rFonts w:ascii="Verdana" w:eastAsia="Times New Roman" w:hAnsi="Verdana" w:cs="Times New Roman"/>
          <w:color w:val="1155CC"/>
          <w:sz w:val="18"/>
          <w:szCs w:val="18"/>
          <w:u w:val="single"/>
          <w:lang w:eastAsia="fr-FR"/>
        </w:rPr>
        <w:t>African</w:t>
      </w:r>
      <w:proofErr w:type="spellEnd"/>
      <w:r w:rsidRPr="0094150A">
        <w:rPr>
          <w:rFonts w:ascii="Verdana" w:eastAsia="Times New Roman" w:hAnsi="Verdana" w:cs="Times New Roman"/>
          <w:color w:val="1155CC"/>
          <w:sz w:val="18"/>
          <w:szCs w:val="18"/>
          <w:u w:val="single"/>
          <w:lang w:eastAsia="fr-FR"/>
        </w:rPr>
        <w:t xml:space="preserve"> Union Commission</w:t>
      </w: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fldChar w:fldCharType="end"/>
      </w: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 and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under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supervision of the 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fldChar w:fldCharType="begin"/>
      </w: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instrText xml:space="preserve"> HYPERLINK "http://ec.europa.eu/europeaid/index_en.htm" \t "_blank" </w:instrText>
      </w: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fldChar w:fldCharType="separate"/>
      </w:r>
      <w:r w:rsidRPr="0094150A">
        <w:rPr>
          <w:rFonts w:ascii="Verdana" w:eastAsia="Times New Roman" w:hAnsi="Verdana" w:cs="Times New Roman"/>
          <w:color w:val="1155CC"/>
          <w:sz w:val="18"/>
          <w:szCs w:val="18"/>
          <w:u w:val="single"/>
          <w:lang w:eastAsia="fr-FR"/>
        </w:rPr>
        <w:t>Directorate</w:t>
      </w:r>
      <w:proofErr w:type="spellEnd"/>
      <w:r w:rsidRPr="0094150A">
        <w:rPr>
          <w:rFonts w:ascii="Verdana" w:eastAsia="Times New Roman" w:hAnsi="Verdana" w:cs="Times New Roman"/>
          <w:color w:val="1155CC"/>
          <w:sz w:val="18"/>
          <w:szCs w:val="18"/>
          <w:u w:val="single"/>
          <w:lang w:eastAsia="fr-FR"/>
        </w:rPr>
        <w:t xml:space="preserve">-General for International </w:t>
      </w:r>
      <w:proofErr w:type="spellStart"/>
      <w:r w:rsidRPr="0094150A">
        <w:rPr>
          <w:rFonts w:ascii="Verdana" w:eastAsia="Times New Roman" w:hAnsi="Verdana" w:cs="Times New Roman"/>
          <w:color w:val="1155CC"/>
          <w:sz w:val="18"/>
          <w:szCs w:val="18"/>
          <w:u w:val="single"/>
          <w:lang w:eastAsia="fr-FR"/>
        </w:rPr>
        <w:t>Cooperation</w:t>
      </w:r>
      <w:proofErr w:type="spellEnd"/>
      <w:r w:rsidRPr="0094150A">
        <w:rPr>
          <w:rFonts w:ascii="Verdana" w:eastAsia="Times New Roman" w:hAnsi="Verdana" w:cs="Times New Roman"/>
          <w:color w:val="1155CC"/>
          <w:sz w:val="18"/>
          <w:szCs w:val="18"/>
          <w:u w:val="single"/>
          <w:lang w:eastAsia="fr-FR"/>
        </w:rPr>
        <w:t xml:space="preserve"> and </w:t>
      </w:r>
      <w:proofErr w:type="spellStart"/>
      <w:r w:rsidRPr="0094150A">
        <w:rPr>
          <w:rFonts w:ascii="Verdana" w:eastAsia="Times New Roman" w:hAnsi="Verdana" w:cs="Times New Roman"/>
          <w:color w:val="1155CC"/>
          <w:sz w:val="18"/>
          <w:szCs w:val="18"/>
          <w:u w:val="single"/>
          <w:lang w:eastAsia="fr-FR"/>
        </w:rPr>
        <w:t>Development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fldChar w:fldCharType="end"/>
      </w: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 of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European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Commission.</w:t>
      </w:r>
    </w:p>
    <w:p w:rsidR="0094150A" w:rsidRP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 </w:t>
      </w:r>
    </w:p>
    <w:p w:rsidR="0094150A" w:rsidRP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The Intra-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Academic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Mobility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Scheme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supports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higher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education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cooperation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between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countries in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. It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provides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financial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support to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partnerships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of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higher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education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institutions (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HEIs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) for the organisation and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implementation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within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countries of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student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mobility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in high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quality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master and doctoral programmes, as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well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as of staff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mobility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for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teaching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, training and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research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assignments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.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overall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objective of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scheme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to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enhance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human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capital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development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in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. More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specifically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,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it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aims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to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increase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employability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of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students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,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improve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quality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and relevance of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higher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education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in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and to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strengthen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modernisation and internationalisation of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higher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education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institutions.</w:t>
      </w:r>
    </w:p>
    <w:p w:rsidR="0094150A" w:rsidRP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 </w:t>
      </w:r>
    </w:p>
    <w:p w:rsidR="0094150A" w:rsidRP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The Intra-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Academic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Mobility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Scheme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set up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under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 </w:t>
      </w:r>
      <w:hyperlink r:id="rId4" w:tgtFrame="_blank" w:history="1">
        <w:r w:rsidRPr="0094150A">
          <w:rPr>
            <w:rFonts w:ascii="Verdana" w:eastAsia="Times New Roman" w:hAnsi="Verdana" w:cs="Times New Roman"/>
            <w:color w:val="1155CC"/>
            <w:sz w:val="18"/>
            <w:szCs w:val="18"/>
            <w:u w:val="single"/>
            <w:lang w:eastAsia="fr-FR"/>
          </w:rPr>
          <w:t>Pan-</w:t>
        </w:r>
        <w:proofErr w:type="spellStart"/>
        <w:r w:rsidRPr="0094150A">
          <w:rPr>
            <w:rFonts w:ascii="Verdana" w:eastAsia="Times New Roman" w:hAnsi="Verdana" w:cs="Times New Roman"/>
            <w:color w:val="1155CC"/>
            <w:sz w:val="18"/>
            <w:szCs w:val="18"/>
            <w:u w:val="single"/>
            <w:lang w:eastAsia="fr-FR"/>
          </w:rPr>
          <w:t>African</w:t>
        </w:r>
        <w:proofErr w:type="spellEnd"/>
        <w:r w:rsidRPr="0094150A">
          <w:rPr>
            <w:rFonts w:ascii="Verdana" w:eastAsia="Times New Roman" w:hAnsi="Verdana" w:cs="Times New Roman"/>
            <w:color w:val="1155CC"/>
            <w:sz w:val="18"/>
            <w:szCs w:val="18"/>
            <w:u w:val="single"/>
            <w:lang w:eastAsia="fr-FR"/>
          </w:rPr>
          <w:t xml:space="preserve"> Programme</w:t>
        </w:r>
      </w:hyperlink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 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based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on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experience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of the </w:t>
      </w:r>
      <w:hyperlink r:id="rId5" w:tgtFrame="_blank" w:history="1">
        <w:r w:rsidRPr="0094150A">
          <w:rPr>
            <w:rFonts w:ascii="Verdana" w:eastAsia="Times New Roman" w:hAnsi="Verdana" w:cs="Times New Roman"/>
            <w:color w:val="1155CC"/>
            <w:sz w:val="18"/>
            <w:szCs w:val="18"/>
            <w:u w:val="single"/>
            <w:lang w:eastAsia="fr-FR"/>
          </w:rPr>
          <w:t xml:space="preserve">Intra-ACP </w:t>
        </w:r>
        <w:proofErr w:type="spellStart"/>
        <w:r w:rsidRPr="0094150A">
          <w:rPr>
            <w:rFonts w:ascii="Verdana" w:eastAsia="Times New Roman" w:hAnsi="Verdana" w:cs="Times New Roman"/>
            <w:color w:val="1155CC"/>
            <w:sz w:val="18"/>
            <w:szCs w:val="18"/>
            <w:u w:val="single"/>
            <w:lang w:eastAsia="fr-FR"/>
          </w:rPr>
          <w:t>Academic</w:t>
        </w:r>
        <w:proofErr w:type="spellEnd"/>
        <w:r w:rsidRPr="0094150A">
          <w:rPr>
            <w:rFonts w:ascii="Verdana" w:eastAsia="Times New Roman" w:hAnsi="Verdana" w:cs="Times New Roman"/>
            <w:color w:val="1155CC"/>
            <w:sz w:val="18"/>
            <w:szCs w:val="18"/>
            <w:u w:val="single"/>
            <w:lang w:eastAsia="fr-FR"/>
          </w:rPr>
          <w:t xml:space="preserve"> </w:t>
        </w:r>
        <w:proofErr w:type="spellStart"/>
        <w:r w:rsidRPr="0094150A">
          <w:rPr>
            <w:rFonts w:ascii="Verdana" w:eastAsia="Times New Roman" w:hAnsi="Verdana" w:cs="Times New Roman"/>
            <w:color w:val="1155CC"/>
            <w:sz w:val="18"/>
            <w:szCs w:val="18"/>
            <w:u w:val="single"/>
            <w:lang w:eastAsia="fr-FR"/>
          </w:rPr>
          <w:t>Mobility</w:t>
        </w:r>
        <w:proofErr w:type="spellEnd"/>
        <w:r w:rsidRPr="0094150A">
          <w:rPr>
            <w:rFonts w:ascii="Verdana" w:eastAsia="Times New Roman" w:hAnsi="Verdana" w:cs="Times New Roman"/>
            <w:color w:val="1155CC"/>
            <w:sz w:val="18"/>
            <w:szCs w:val="18"/>
            <w:u w:val="single"/>
            <w:lang w:eastAsia="fr-FR"/>
          </w:rPr>
          <w:t xml:space="preserve"> </w:t>
        </w:r>
        <w:proofErr w:type="spellStart"/>
        <w:r w:rsidRPr="0094150A">
          <w:rPr>
            <w:rFonts w:ascii="Verdana" w:eastAsia="Times New Roman" w:hAnsi="Verdana" w:cs="Times New Roman"/>
            <w:color w:val="1155CC"/>
            <w:sz w:val="18"/>
            <w:szCs w:val="18"/>
            <w:u w:val="single"/>
            <w:lang w:eastAsia="fr-FR"/>
          </w:rPr>
          <w:t>Scheme</w:t>
        </w:r>
        <w:proofErr w:type="spellEnd"/>
      </w:hyperlink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.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Twenty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-one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projects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were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selected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between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2016 and 2019 as a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result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of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three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Intra-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Calls for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proposals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so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far.</w:t>
      </w:r>
    </w:p>
    <w:p w:rsidR="0094150A" w:rsidRP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 </w:t>
      </w:r>
    </w:p>
    <w:p w:rsidR="0094150A" w:rsidRP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recently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published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fourth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Call for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proposals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open to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HEIs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from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. Applications must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be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submitted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to EACEA in accordance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with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conditions and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timetable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defined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in the </w:t>
      </w:r>
      <w:hyperlink r:id="rId6" w:tgtFrame="_blank" w:history="1">
        <w:r w:rsidRPr="0094150A">
          <w:rPr>
            <w:rFonts w:ascii="Verdana" w:eastAsia="Times New Roman" w:hAnsi="Verdana" w:cs="Times New Roman"/>
            <w:color w:val="0563C1"/>
            <w:sz w:val="18"/>
            <w:szCs w:val="18"/>
            <w:u w:val="single"/>
            <w:lang w:eastAsia="fr-FR"/>
          </w:rPr>
          <w:t xml:space="preserve">Call for </w:t>
        </w:r>
        <w:proofErr w:type="spellStart"/>
        <w:r w:rsidRPr="0094150A">
          <w:rPr>
            <w:rFonts w:ascii="Verdana" w:eastAsia="Times New Roman" w:hAnsi="Verdana" w:cs="Times New Roman"/>
            <w:color w:val="0563C1"/>
            <w:sz w:val="18"/>
            <w:szCs w:val="18"/>
            <w:u w:val="single"/>
            <w:lang w:eastAsia="fr-FR"/>
          </w:rPr>
          <w:t>proposals</w:t>
        </w:r>
        <w:proofErr w:type="spellEnd"/>
        <w:r w:rsidRPr="0094150A">
          <w:rPr>
            <w:rFonts w:ascii="Verdana" w:eastAsia="Times New Roman" w:hAnsi="Verdana" w:cs="Times New Roman"/>
            <w:color w:val="0563C1"/>
            <w:sz w:val="18"/>
            <w:szCs w:val="18"/>
            <w:u w:val="single"/>
            <w:lang w:eastAsia="fr-FR"/>
          </w:rPr>
          <w:t xml:space="preserve"> EACEA/07/2020</w:t>
        </w:r>
      </w:hyperlink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. The Lead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applicant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institution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submits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application on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behalf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of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partnership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,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which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must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be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composed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of minimum 4 and maximum 6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African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HEIs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(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including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Lead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applicant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). In addition, a HEI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from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EU, holding an Erasmus Charter for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Higher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Education, must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be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included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in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partnership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as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technical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partner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.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Each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project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budget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between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€1 and 1.4 million. The deadline for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submission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of applications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is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 </w:t>
      </w:r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19 May 2020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at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17:00 Brussels Time.</w:t>
      </w:r>
    </w:p>
    <w:p w:rsidR="0094150A" w:rsidRPr="0094150A" w:rsidRDefault="0094150A" w:rsidP="0094150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Arial" w:eastAsia="Times New Roman" w:hAnsi="Arial" w:cs="Arial"/>
          <w:color w:val="222222"/>
          <w:lang w:eastAsia="fr-FR"/>
        </w:rPr>
        <w:t> </w:t>
      </w:r>
    </w:p>
    <w:p w:rsidR="0094150A" w:rsidRPr="0094150A" w:rsidRDefault="0094150A" w:rsidP="009415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selected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projects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will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receive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a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grant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to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cover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costs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of the organisation of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mobility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flows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and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scholarships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to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be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awarded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to the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selected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students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and staff.</w:t>
      </w:r>
    </w:p>
    <w:p w:rsidR="0094150A" w:rsidRPr="0094150A" w:rsidRDefault="0094150A" w:rsidP="0094150A">
      <w:pPr>
        <w:shd w:val="clear" w:color="auto" w:fill="FFFFFF"/>
        <w:spacing w:after="100" w:line="240" w:lineRule="auto"/>
        <w:jc w:val="both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A web-streaming information session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will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take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place on 17 March 2020 to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explain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the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opportunities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offered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by the Intra-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Africa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Academic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Mobility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Scheme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and in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particular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its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fourth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Call for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proposals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. Speakers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will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offer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advice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 and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tips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on how to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prepare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and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submit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project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proposals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.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Interested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participants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can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follow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the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event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 xml:space="preserve"> online via </w:t>
      </w:r>
      <w:proofErr w:type="spell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our</w:t>
      </w:r>
      <w:proofErr w:type="spellEnd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 </w:t>
      </w:r>
      <w:hyperlink r:id="rId7" w:tgtFrame="_blank" w:history="1">
        <w:r w:rsidRPr="0094150A">
          <w:rPr>
            <w:rFonts w:ascii="Verdana" w:eastAsia="Times New Roman" w:hAnsi="Verdana" w:cs="Times New Roman"/>
            <w:b/>
            <w:bCs/>
            <w:color w:val="1155CC"/>
            <w:sz w:val="18"/>
            <w:szCs w:val="18"/>
            <w:u w:val="single"/>
            <w:lang w:eastAsia="fr-FR"/>
          </w:rPr>
          <w:t>live web stream</w:t>
        </w:r>
      </w:hyperlink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 </w:t>
      </w:r>
      <w:proofErr w:type="gramStart"/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here:</w:t>
      </w:r>
      <w:proofErr w:type="gramEnd"/>
      <w:r w:rsidRPr="0094150A">
        <w:rPr>
          <w:rFonts w:ascii="Verdana" w:eastAsia="Times New Roman" w:hAnsi="Verdana" w:cs="Times New Roman"/>
          <w:b/>
          <w:bCs/>
          <w:color w:val="000080"/>
          <w:sz w:val="18"/>
          <w:szCs w:val="18"/>
          <w:lang w:eastAsia="fr-FR"/>
        </w:rPr>
        <w:t> </w:t>
      </w:r>
      <w:hyperlink r:id="rId8" w:tgtFrame="_blank" w:history="1">
        <w:r w:rsidRPr="0094150A">
          <w:rPr>
            <w:rFonts w:ascii="Verdana" w:eastAsia="Times New Roman" w:hAnsi="Verdana" w:cs="Times New Roman"/>
            <w:b/>
            <w:bCs/>
            <w:color w:val="0563C1"/>
            <w:sz w:val="18"/>
            <w:szCs w:val="18"/>
            <w:u w:val="single"/>
            <w:lang w:eastAsia="fr-FR"/>
          </w:rPr>
          <w:t>https://eacea.ec.europa.eu/intra-africa/events/intra-africa-academic-mobility-scheme-4th-call-for-proposals_en</w:t>
        </w:r>
      </w:hyperlink>
      <w:r w:rsidRPr="009415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fr-FR"/>
        </w:rPr>
        <w:t>.</w:t>
      </w:r>
    </w:p>
    <w:p w:rsidR="0094150A" w:rsidRPr="0094150A" w:rsidRDefault="0094150A" w:rsidP="009415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Calibri" w:eastAsia="Times New Roman" w:hAnsi="Calibri" w:cs="Times New Roman"/>
          <w:color w:val="222222"/>
          <w:lang w:eastAsia="fr-FR"/>
        </w:rPr>
        <w:t> </w:t>
      </w:r>
    </w:p>
    <w:p w:rsidR="0094150A" w:rsidRPr="0094150A" w:rsidRDefault="0094150A" w:rsidP="009415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Calibri" w:eastAsia="Times New Roman" w:hAnsi="Calibri" w:cs="Times New Roman"/>
          <w:b/>
          <w:bCs/>
          <w:color w:val="222222"/>
          <w:lang w:eastAsia="fr-FR"/>
        </w:rPr>
        <w:t xml:space="preserve">FOR MORE </w:t>
      </w:r>
      <w:proofErr w:type="gramStart"/>
      <w:r w:rsidRPr="0094150A">
        <w:rPr>
          <w:rFonts w:ascii="Calibri" w:eastAsia="Times New Roman" w:hAnsi="Calibri" w:cs="Times New Roman"/>
          <w:b/>
          <w:bCs/>
          <w:color w:val="222222"/>
          <w:lang w:eastAsia="fr-FR"/>
        </w:rPr>
        <w:t>INFORMATION:</w:t>
      </w:r>
      <w:proofErr w:type="gramEnd"/>
    </w:p>
    <w:p w:rsidR="0094150A" w:rsidRPr="0094150A" w:rsidRDefault="0094150A" w:rsidP="009415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Calibri" w:eastAsia="Times New Roman" w:hAnsi="Calibri" w:cs="Times New Roman"/>
          <w:color w:val="222222"/>
          <w:lang w:eastAsia="fr-FR"/>
        </w:rPr>
        <w:t> </w:t>
      </w:r>
    </w:p>
    <w:p w:rsidR="0094150A" w:rsidRPr="0094150A" w:rsidRDefault="0094150A" w:rsidP="009415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Calibri" w:eastAsia="Times New Roman" w:hAnsi="Calibri" w:cs="Times New Roman"/>
          <w:color w:val="222222"/>
          <w:lang w:eastAsia="fr-FR"/>
        </w:rPr>
        <w:t> </w:t>
      </w:r>
    </w:p>
    <w:p w:rsidR="0094150A" w:rsidRPr="0094150A" w:rsidRDefault="0094150A" w:rsidP="009415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Calibri" w:eastAsia="Times New Roman" w:hAnsi="Calibri" w:cs="Times New Roman"/>
          <w:b/>
          <w:bCs/>
          <w:color w:val="222222"/>
          <w:lang w:eastAsia="fr-FR"/>
        </w:rPr>
        <w:t xml:space="preserve">Call for </w:t>
      </w:r>
      <w:proofErr w:type="spellStart"/>
      <w:r w:rsidRPr="0094150A">
        <w:rPr>
          <w:rFonts w:ascii="Calibri" w:eastAsia="Times New Roman" w:hAnsi="Calibri" w:cs="Times New Roman"/>
          <w:b/>
          <w:bCs/>
          <w:color w:val="222222"/>
          <w:lang w:eastAsia="fr-FR"/>
        </w:rPr>
        <w:t>proposals</w:t>
      </w:r>
      <w:proofErr w:type="spellEnd"/>
      <w:r w:rsidRPr="0094150A">
        <w:rPr>
          <w:rFonts w:ascii="Calibri" w:eastAsia="Times New Roman" w:hAnsi="Calibri" w:cs="Times New Roman"/>
          <w:b/>
          <w:bCs/>
          <w:color w:val="222222"/>
          <w:lang w:eastAsia="fr-FR"/>
        </w:rPr>
        <w:t xml:space="preserve"> EACEA/07/2020</w:t>
      </w:r>
    </w:p>
    <w:p w:rsidR="0094150A" w:rsidRPr="0094150A" w:rsidRDefault="0094150A" w:rsidP="009415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hyperlink r:id="rId9" w:tgtFrame="_blank" w:history="1">
        <w:r w:rsidRPr="0094150A">
          <w:rPr>
            <w:rFonts w:ascii="Calibri" w:eastAsia="Times New Roman" w:hAnsi="Calibri" w:cs="Times New Roman"/>
            <w:color w:val="0563C1"/>
            <w:u w:val="single"/>
            <w:lang w:eastAsia="fr-FR"/>
          </w:rPr>
          <w:t>https://eacea.ec.europa.eu/intra-africa/funding/intra-africa-academic-mobility-scheme-2020_en</w:t>
        </w:r>
      </w:hyperlink>
      <w:r w:rsidRPr="0094150A">
        <w:rPr>
          <w:rFonts w:ascii="Calibri" w:eastAsia="Times New Roman" w:hAnsi="Calibri" w:cs="Times New Roman"/>
          <w:color w:val="222222"/>
          <w:lang w:eastAsia="fr-FR"/>
        </w:rPr>
        <w:t>,</w:t>
      </w:r>
    </w:p>
    <w:p w:rsidR="0094150A" w:rsidRPr="0094150A" w:rsidRDefault="0094150A" w:rsidP="009415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also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>available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t xml:space="preserve"> on the</w:t>
      </w:r>
      <w:r w:rsidRPr="0094150A">
        <w:rPr>
          <w:rFonts w:ascii="Calibri" w:eastAsia="Times New Roman" w:hAnsi="Calibri" w:cs="Times New Roman"/>
          <w:color w:val="0563C1"/>
          <w:u w:val="single"/>
          <w:lang w:eastAsia="fr-FR"/>
        </w:rPr>
        <w:t> </w:t>
      </w:r>
      <w:proofErr w:type="spellStart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fldChar w:fldCharType="begin"/>
      </w: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instrText xml:space="preserve"> HYPERLINK "https://ec.europa.eu/info/funding-tenders/opportunities/portal/screen/opportunities/topic-details/panaf-mobaf-2020;freeTextSearchKeyword=Intra-Africa;typeCodes=0,1;statusCodes=31094501,31094502,31094503;programCode=null;programDivisionCode=null;focusAreaCode=null;crossCuttingPriorityCode=null;callCode=Default;sortQuery=openingDate;orderBy=asc;onlyTenders=false;topicListKey=topicSearchTablePageState" \t "_blank" </w:instrText>
      </w:r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fldChar w:fldCharType="separate"/>
      </w:r>
      <w:r w:rsidRPr="0094150A">
        <w:rPr>
          <w:rFonts w:ascii="Calibri" w:eastAsia="Times New Roman" w:hAnsi="Calibri" w:cs="Times New Roman"/>
          <w:color w:val="0563C1"/>
          <w:u w:val="single"/>
          <w:lang w:eastAsia="fr-FR"/>
        </w:rPr>
        <w:t>Funding</w:t>
      </w:r>
      <w:proofErr w:type="spellEnd"/>
      <w:r w:rsidRPr="0094150A">
        <w:rPr>
          <w:rFonts w:ascii="Calibri" w:eastAsia="Times New Roman" w:hAnsi="Calibri" w:cs="Times New Roman"/>
          <w:color w:val="0563C1"/>
          <w:u w:val="single"/>
          <w:lang w:eastAsia="fr-FR"/>
        </w:rPr>
        <w:t xml:space="preserve"> &amp; tender </w:t>
      </w:r>
      <w:proofErr w:type="spellStart"/>
      <w:r w:rsidRPr="0094150A">
        <w:rPr>
          <w:rFonts w:ascii="Calibri" w:eastAsia="Times New Roman" w:hAnsi="Calibri" w:cs="Times New Roman"/>
          <w:color w:val="0563C1"/>
          <w:u w:val="single"/>
          <w:lang w:eastAsia="fr-FR"/>
        </w:rPr>
        <w:t>opportunities</w:t>
      </w:r>
      <w:proofErr w:type="spellEnd"/>
      <w:r w:rsidRPr="0094150A">
        <w:rPr>
          <w:rFonts w:ascii="Verdana" w:eastAsia="Times New Roman" w:hAnsi="Verdana" w:cs="Times New Roman"/>
          <w:color w:val="222222"/>
          <w:sz w:val="18"/>
          <w:szCs w:val="18"/>
          <w:lang w:eastAsia="fr-FR"/>
        </w:rPr>
        <w:fldChar w:fldCharType="end"/>
      </w:r>
      <w:r w:rsidRPr="0094150A">
        <w:rPr>
          <w:rFonts w:ascii="Calibri" w:eastAsia="Times New Roman" w:hAnsi="Calibri" w:cs="Times New Roman"/>
          <w:color w:val="222222"/>
          <w:lang w:eastAsia="fr-FR"/>
        </w:rPr>
        <w:t xml:space="preserve"> portal of the </w:t>
      </w:r>
      <w:proofErr w:type="spellStart"/>
      <w:r w:rsidRPr="0094150A">
        <w:rPr>
          <w:rFonts w:ascii="Calibri" w:eastAsia="Times New Roman" w:hAnsi="Calibri" w:cs="Times New Roman"/>
          <w:color w:val="222222"/>
          <w:lang w:eastAsia="fr-FR"/>
        </w:rPr>
        <w:t>European</w:t>
      </w:r>
      <w:proofErr w:type="spellEnd"/>
      <w:r w:rsidRPr="0094150A">
        <w:rPr>
          <w:rFonts w:ascii="Calibri" w:eastAsia="Times New Roman" w:hAnsi="Calibri" w:cs="Times New Roman"/>
          <w:color w:val="222222"/>
          <w:lang w:eastAsia="fr-FR"/>
        </w:rPr>
        <w:t xml:space="preserve"> Commission</w:t>
      </w:r>
    </w:p>
    <w:p w:rsidR="0094150A" w:rsidRPr="0094150A" w:rsidRDefault="0094150A" w:rsidP="009415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Calibri" w:eastAsia="Times New Roman" w:hAnsi="Calibri" w:cs="Times New Roman"/>
          <w:color w:val="222222"/>
          <w:lang w:eastAsia="fr-FR"/>
        </w:rPr>
        <w:t> </w:t>
      </w:r>
    </w:p>
    <w:p w:rsidR="0094150A" w:rsidRPr="0094150A" w:rsidRDefault="0094150A" w:rsidP="009415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proofErr w:type="gramStart"/>
      <w:r w:rsidRPr="0094150A">
        <w:rPr>
          <w:rFonts w:ascii="Calibri" w:eastAsia="Times New Roman" w:hAnsi="Calibri" w:cs="Times New Roman"/>
          <w:b/>
          <w:bCs/>
          <w:i/>
          <w:iCs/>
          <w:color w:val="222222"/>
          <w:lang w:eastAsia="fr-FR"/>
        </w:rPr>
        <w:t>Contact:</w:t>
      </w:r>
      <w:proofErr w:type="gramEnd"/>
    </w:p>
    <w:p w:rsidR="0094150A" w:rsidRPr="0094150A" w:rsidRDefault="0094150A" w:rsidP="0094150A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hyperlink r:id="rId10" w:tgtFrame="_blank" w:history="1">
        <w:r w:rsidRPr="0094150A">
          <w:rPr>
            <w:rFonts w:ascii="Calibri" w:eastAsia="Times New Roman" w:hAnsi="Calibri" w:cs="Times New Roman"/>
            <w:color w:val="0563C1"/>
            <w:sz w:val="20"/>
            <w:szCs w:val="20"/>
            <w:u w:val="single"/>
            <w:lang w:eastAsia="fr-FR"/>
          </w:rPr>
          <w:t>EACEA-IntraAfrica-IntraACP@ec.europa.eu</w:t>
        </w:r>
      </w:hyperlink>
    </w:p>
    <w:p w:rsidR="0094150A" w:rsidRPr="0094150A" w:rsidRDefault="0094150A" w:rsidP="0094150A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32"/>
          <w:szCs w:val="32"/>
          <w:lang w:eastAsia="fr-FR"/>
        </w:rPr>
      </w:pPr>
      <w:r w:rsidRPr="0094150A">
        <w:rPr>
          <w:rFonts w:ascii="Calibri" w:eastAsia="Times New Roman" w:hAnsi="Calibri" w:cs="Times New Roman"/>
          <w:color w:val="222222"/>
          <w:lang w:eastAsia="fr-FR"/>
        </w:rPr>
        <w:t> </w:t>
      </w:r>
    </w:p>
    <w:p w:rsidR="0085683B" w:rsidRDefault="0085683B"/>
    <w:sectPr w:rsidR="0085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0A"/>
    <w:rsid w:val="001228F1"/>
    <w:rsid w:val="0085683B"/>
    <w:rsid w:val="0094150A"/>
    <w:rsid w:val="00A0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DDD87-D569-4ECD-B03A-38D9373E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9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90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cea.ec.europa.eu/intra-africa/events/intra-africa-academic-mobility-scheme-4th-call-for-proposals_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cast.ec.europa.eu/event-title-intra-africa-academic-mobility-scheme-3rd-call-for-proposa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cea.ec.europa.eu/intra-africa/funding/intra-africa-academic-mobility-scheme-2020_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acea.ec.europa.eu/intra_acp_mobility/index_en.php" TargetMode="External"/><Relationship Id="rId10" Type="http://schemas.openxmlformats.org/officeDocument/2006/relationships/hyperlink" Target="mailto:EACEA-IntraAfrica-IntraACP@ec.europa.eu" TargetMode="External"/><Relationship Id="rId4" Type="http://schemas.openxmlformats.org/officeDocument/2006/relationships/hyperlink" Target="https://ec.europa.eu/europeaid/regions/africa/continental-cooperation/pan-african-programme_en" TargetMode="External"/><Relationship Id="rId9" Type="http://schemas.openxmlformats.org/officeDocument/2006/relationships/hyperlink" Target="https://eacea.ec.europa.eu/intra-africa/funding/intra-africa-academic-mobility-scheme-2020_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2020-02-20T11:08:00Z</dcterms:created>
  <dcterms:modified xsi:type="dcterms:W3CDTF">2020-02-20T11:08:00Z</dcterms:modified>
</cp:coreProperties>
</file>