
<file path=[Content_Types].xml><?xml version="1.0" encoding="utf-8"?>
<Types xmlns="http://schemas.openxmlformats.org/package/2006/content-types">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6585824"/>
    <w:bookmarkStart w:id="1" w:name="_Toc367885025"/>
    <w:bookmarkStart w:id="2" w:name="_GoBack"/>
    <w:bookmarkEnd w:id="2"/>
    <w:p w14:paraId="7DC5DF79" w14:textId="2D783669" w:rsidR="00711069" w:rsidRDefault="00711069" w:rsidP="006801EC">
      <w:pPr>
        <w:sectPr w:rsidR="00711069" w:rsidSect="006801EC">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737" w:right="312" w:bottom="300" w:left="369" w:header="0" w:footer="0" w:gutter="0"/>
          <w:cols w:space="720"/>
          <w:titlePg/>
          <w:docGrid w:linePitch="299"/>
        </w:sectPr>
      </w:pPr>
      <w:r>
        <w:fldChar w:fldCharType="begin"/>
      </w:r>
      <w:r>
        <w:instrText xml:space="preserve"> MACROBUTTON InsertCVP.main  \* MERGEFORMAT</w:instrText>
      </w:r>
      <w:bookmarkStart w:id="3" w:name="_MON_1490603478"/>
      <w:bookmarkEnd w:id="3"/>
      <w:r w:rsidR="006801EC">
        <w:object w:dxaOrig="11096" w:dyaOrig="15274" w14:anchorId="74D677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4.95pt;height:763.45pt" o:ole="">
            <v:imagedata r:id="rId18" o:title=""/>
          </v:shape>
          <o:OLEObject Type="Embed" ProgID="Word.Document.8" ShapeID="_x0000_i1025" DrawAspect="Content" ObjectID="_1491123812" r:id="rId19">
            <o:FieldCodes>\s</o:FieldCodes>
          </o:OLEObject>
        </w:object>
      </w:r>
      <w:r>
        <w:instrText xml:space="preserve"> </w:instrText>
      </w:r>
      <w:r>
        <w:fldChar w:fldCharType="end"/>
      </w:r>
    </w:p>
    <w:bookmarkEnd w:id="0"/>
    <w:bookmarkEnd w:id="1"/>
    <w:p w14:paraId="316094AE" w14:textId="6104F5DB" w:rsidR="0097548B" w:rsidRDefault="0097548B" w:rsidP="0097548B">
      <w:pPr>
        <w:pStyle w:val="BodyText"/>
        <w:spacing w:after="0"/>
        <w:jc w:val="center"/>
        <w:rPr>
          <w:b/>
        </w:rPr>
      </w:pPr>
      <w:r w:rsidRPr="00A72F7E">
        <w:rPr>
          <w:b/>
        </w:rPr>
        <w:lastRenderedPageBreak/>
        <w:t>ABSTRACT</w:t>
      </w:r>
      <w:r>
        <w:rPr>
          <w:b/>
        </w:rPr>
        <w:t>/RESUMÉ</w:t>
      </w:r>
    </w:p>
    <w:p w14:paraId="136BE925" w14:textId="61374ACC" w:rsidR="0097548B" w:rsidRPr="0097548B" w:rsidRDefault="0097548B" w:rsidP="0097548B">
      <w:pPr>
        <w:pStyle w:val="BodyText"/>
        <w:spacing w:before="240"/>
        <w:jc w:val="center"/>
        <w:rPr>
          <w:b/>
        </w:rPr>
      </w:pPr>
      <w:r w:rsidRPr="0097548B">
        <w:rPr>
          <w:b/>
        </w:rPr>
        <w:t>THE REAL PICTURE OF INEQUALITY IN OECD COUNTRIES: A CHARACTERISATION COMBINING THE BOTTOM 99% AND THE TOP 1%</w:t>
      </w:r>
    </w:p>
    <w:p w14:paraId="4F48F3FF" w14:textId="5F5A36EB" w:rsidR="00A72F7E" w:rsidRPr="00A72F7E" w:rsidRDefault="00F05C9A" w:rsidP="00573767">
      <w:pPr>
        <w:pStyle w:val="Abstract"/>
        <w:pBdr>
          <w:top w:val="none" w:sz="0" w:space="0" w:color="auto"/>
          <w:left w:val="none" w:sz="0" w:space="0" w:color="auto"/>
          <w:bottom w:val="none" w:sz="0" w:space="0" w:color="auto"/>
          <w:right w:val="none" w:sz="0" w:space="0" w:color="auto"/>
        </w:pBdr>
        <w:spacing w:after="120"/>
      </w:pPr>
      <w:bookmarkStart w:id="4" w:name="_Toc366585825"/>
      <w:bookmarkStart w:id="5" w:name="_Toc367885026"/>
      <w:bookmarkStart w:id="6" w:name="_Toc373497975"/>
      <w:bookmarkStart w:id="7" w:name="_Toc381714189"/>
      <w:r w:rsidRPr="00F05C9A">
        <w:t>The distribution</w:t>
      </w:r>
      <w:r>
        <w:t xml:space="preserve"> of income has become a universal concern, both among policy</w:t>
      </w:r>
      <w:r w:rsidR="00B62D59">
        <w:t>-</w:t>
      </w:r>
      <w:r>
        <w:t xml:space="preserve">makers and society at large. But although the economic, political and ethical challenges raised by greater income inequality are clear </w:t>
      </w:r>
      <w:r w:rsidR="00B97104">
        <w:t xml:space="preserve">and </w:t>
      </w:r>
      <w:r>
        <w:t xml:space="preserve">widely accepted, what is meant by income inequality </w:t>
      </w:r>
      <w:r w:rsidR="00B97104">
        <w:t xml:space="preserve">appears less well defined. While standard income inequality figures are based on official statistics that covered most of the population, reporting a steady rise of inequality, a </w:t>
      </w:r>
      <w:r w:rsidR="00143612">
        <w:t xml:space="preserve">new </w:t>
      </w:r>
      <w:r w:rsidR="00B97104">
        <w:t>wave of quantification</w:t>
      </w:r>
      <w:r w:rsidR="00143612">
        <w:t>,</w:t>
      </w:r>
      <w:r w:rsidR="00B97104">
        <w:t xml:space="preserve"> devoted more specifically to top incomes</w:t>
      </w:r>
      <w:r w:rsidR="00143612">
        <w:t>,</w:t>
      </w:r>
      <w:r w:rsidR="00B97104">
        <w:t xml:space="preserve"> reports substantially faster inequality growth in recent years.</w:t>
      </w:r>
      <w:r>
        <w:t xml:space="preserve"> </w:t>
      </w:r>
      <w:r w:rsidR="00B97104">
        <w:t>These latter findings sparked a debate about the real trends on inequality and the validity of the numbers derived from official sources. This divide in the quantification of inequality stems mainly from the fact that both sources assess inequality on different population</w:t>
      </w:r>
      <w:r w:rsidR="00143612">
        <w:t>s</w:t>
      </w:r>
      <w:r w:rsidR="00B97104">
        <w:t>, being either</w:t>
      </w:r>
      <w:r w:rsidR="00143612">
        <w:t xml:space="preserve"> the top 1% or the bottom 99%. But a complete treatment of inequality requires </w:t>
      </w:r>
      <w:r w:rsidR="001166AD">
        <w:t xml:space="preserve">naturally </w:t>
      </w:r>
      <w:r w:rsidR="00143612">
        <w:t>a picture of the 100%. Against this background, this paper reconstitutes a comprehensive picture of inequality in OECD countries that combines both sources. It results in a significant increase of the level of inequality measured by standard statistics based on official figures: the Gini coefficient corrected for top incomes is in 2011 on average 6</w:t>
      </w:r>
      <w:r w:rsidR="00B62D59">
        <w:t> </w:t>
      </w:r>
      <w:r w:rsidR="00143612">
        <w:t>percentage points higher, moving to 0.37 from 0.31</w:t>
      </w:r>
      <w:r w:rsidR="001166AD">
        <w:t xml:space="preserve"> for the average OECD country</w:t>
      </w:r>
      <w:r w:rsidR="00143612">
        <w:t>; similarly, the gap between the mean income of the richest and the poorest 10% rises from 10 to 15. Inequality trends are also significantly altered.</w:t>
      </w:r>
    </w:p>
    <w:p w14:paraId="3CC54F02" w14:textId="77777777" w:rsidR="004030CD" w:rsidRDefault="001166AD" w:rsidP="00B47CBE">
      <w:pPr>
        <w:pStyle w:val="BodyText"/>
        <w:rPr>
          <w:i/>
        </w:rPr>
      </w:pPr>
      <w:bookmarkStart w:id="8" w:name="_Toc416797070"/>
      <w:r w:rsidRPr="001166AD">
        <w:rPr>
          <w:i/>
        </w:rPr>
        <w:t xml:space="preserve">Classification </w:t>
      </w:r>
      <w:r w:rsidRPr="006D3ABA">
        <w:t>JEL: D31; D63; O15</w:t>
      </w:r>
      <w:bookmarkEnd w:id="8"/>
    </w:p>
    <w:p w14:paraId="7874E39A" w14:textId="75D69C06" w:rsidR="001166AD" w:rsidRDefault="001166AD" w:rsidP="00E63505">
      <w:pPr>
        <w:pStyle w:val="BodyText"/>
      </w:pPr>
      <w:r w:rsidRPr="001166AD">
        <w:rPr>
          <w:i/>
        </w:rPr>
        <w:t xml:space="preserve">Keywords: </w:t>
      </w:r>
      <w:r w:rsidR="000C3E55">
        <w:t>Income, inequality, top incomes, household surveys</w:t>
      </w:r>
      <w:r>
        <w:t xml:space="preserve"> </w:t>
      </w:r>
    </w:p>
    <w:p w14:paraId="452C89B1" w14:textId="4B456E06" w:rsidR="0097548B" w:rsidRPr="00573767" w:rsidRDefault="0097548B" w:rsidP="00573767">
      <w:pPr>
        <w:pStyle w:val="BodyText"/>
        <w:spacing w:after="120"/>
        <w:ind w:firstLine="0"/>
        <w:jc w:val="center"/>
        <w:rPr>
          <w:lang w:val="fr-FR"/>
        </w:rPr>
      </w:pPr>
      <w:r w:rsidRPr="00573767">
        <w:rPr>
          <w:lang w:val="fr-FR"/>
        </w:rPr>
        <w:t>**********************************</w:t>
      </w:r>
    </w:p>
    <w:p w14:paraId="419AA8C2" w14:textId="15D3C83F" w:rsidR="0097548B" w:rsidRPr="00D92078" w:rsidRDefault="00D92078" w:rsidP="00573767">
      <w:pPr>
        <w:pStyle w:val="BodyText"/>
        <w:spacing w:after="120"/>
        <w:ind w:firstLine="0"/>
        <w:jc w:val="center"/>
        <w:rPr>
          <w:lang w:val="fr-FR"/>
        </w:rPr>
      </w:pPr>
      <w:r w:rsidRPr="00D92078">
        <w:rPr>
          <w:b/>
          <w:lang w:val="fr-FR"/>
        </w:rPr>
        <w:t>LE VRAI NIVEAU DES INEGALITEES DANS LES PAYS DE L’</w:t>
      </w:r>
      <w:r>
        <w:rPr>
          <w:b/>
          <w:lang w:val="fr-FR"/>
        </w:rPr>
        <w:t xml:space="preserve">OCDE : </w:t>
      </w:r>
      <w:r w:rsidRPr="00D92078">
        <w:rPr>
          <w:b/>
          <w:lang w:val="fr-FR"/>
        </w:rPr>
        <w:t>UNE CHARACTERISATION COMBINANT LES 99%</w:t>
      </w:r>
      <w:r>
        <w:rPr>
          <w:b/>
          <w:lang w:val="fr-FR"/>
        </w:rPr>
        <w:t xml:space="preserve"> ET LES 1%</w:t>
      </w:r>
      <w:r w:rsidR="0097548B" w:rsidRPr="00D92078">
        <w:rPr>
          <w:lang w:val="fr-FR"/>
        </w:rPr>
        <w:t xml:space="preserve"> </w:t>
      </w:r>
    </w:p>
    <w:p w14:paraId="14CA0378" w14:textId="4562FC59" w:rsidR="0097548B" w:rsidRPr="00D92078" w:rsidRDefault="00D92078" w:rsidP="00D92078">
      <w:pPr>
        <w:pStyle w:val="BodyText"/>
        <w:ind w:firstLine="0"/>
        <w:rPr>
          <w:lang w:val="fr-FR"/>
        </w:rPr>
      </w:pPr>
      <w:r w:rsidRPr="00D92078">
        <w:rPr>
          <w:lang w:val="fr-FR"/>
        </w:rPr>
        <w:t xml:space="preserve">La </w:t>
      </w:r>
      <w:r>
        <w:rPr>
          <w:lang w:val="fr-FR"/>
        </w:rPr>
        <w:t>distribution</w:t>
      </w:r>
      <w:r w:rsidRPr="00D92078">
        <w:rPr>
          <w:lang w:val="fr-FR"/>
        </w:rPr>
        <w:t xml:space="preserve"> des revenus est devenue une préoccupation universelle, tant </w:t>
      </w:r>
      <w:r>
        <w:rPr>
          <w:lang w:val="fr-FR"/>
        </w:rPr>
        <w:t>pour</w:t>
      </w:r>
      <w:r w:rsidRPr="00D92078">
        <w:rPr>
          <w:lang w:val="fr-FR"/>
        </w:rPr>
        <w:t xml:space="preserve"> les décideurs </w:t>
      </w:r>
      <w:r w:rsidR="009A38C9">
        <w:rPr>
          <w:lang w:val="fr-FR"/>
        </w:rPr>
        <w:t>publiques</w:t>
      </w:r>
      <w:r>
        <w:rPr>
          <w:lang w:val="fr-FR"/>
        </w:rPr>
        <w:t xml:space="preserve"> que</w:t>
      </w:r>
      <w:r w:rsidRPr="00D92078">
        <w:rPr>
          <w:lang w:val="fr-FR"/>
        </w:rPr>
        <w:t xml:space="preserve"> la société en général. Mais bien que les défis économiques,</w:t>
      </w:r>
      <w:r w:rsidR="009A38C9">
        <w:rPr>
          <w:lang w:val="fr-FR"/>
        </w:rPr>
        <w:t xml:space="preserve"> politiques et éthiques soulevé</w:t>
      </w:r>
      <w:r w:rsidRPr="00D92078">
        <w:rPr>
          <w:lang w:val="fr-FR"/>
        </w:rPr>
        <w:t>s par une plus grande inégalité des revenus soient clai</w:t>
      </w:r>
      <w:r>
        <w:rPr>
          <w:lang w:val="fr-FR"/>
        </w:rPr>
        <w:t>rs et largement acceptée</w:t>
      </w:r>
      <w:r w:rsidR="009A38C9">
        <w:rPr>
          <w:lang w:val="fr-FR"/>
        </w:rPr>
        <w:t>s</w:t>
      </w:r>
      <w:r>
        <w:rPr>
          <w:lang w:val="fr-FR"/>
        </w:rPr>
        <w:t xml:space="preserve">, ce que l’on entend par </w:t>
      </w:r>
      <w:r w:rsidRPr="00D92078">
        <w:rPr>
          <w:lang w:val="fr-FR"/>
        </w:rPr>
        <w:t xml:space="preserve">inégalité des revenus semble moins bien défini. Bien que les chiffres </w:t>
      </w:r>
      <w:r>
        <w:rPr>
          <w:lang w:val="fr-FR"/>
        </w:rPr>
        <w:t xml:space="preserve">standards sur les inégalités, </w:t>
      </w:r>
      <w:r w:rsidRPr="00D92078">
        <w:rPr>
          <w:lang w:val="fr-FR"/>
        </w:rPr>
        <w:t xml:space="preserve">basés sur des statistiques officielles </w:t>
      </w:r>
      <w:r>
        <w:rPr>
          <w:lang w:val="fr-FR"/>
        </w:rPr>
        <w:t>couvrant la plupart de la population, font</w:t>
      </w:r>
      <w:r w:rsidRPr="00D92078">
        <w:rPr>
          <w:lang w:val="fr-FR"/>
        </w:rPr>
        <w:t xml:space="preserve"> état d'une augmentation constante de</w:t>
      </w:r>
      <w:r>
        <w:rPr>
          <w:lang w:val="fr-FR"/>
        </w:rPr>
        <w:t xml:space="preserve">s </w:t>
      </w:r>
      <w:r w:rsidRPr="00D92078">
        <w:rPr>
          <w:lang w:val="fr-FR"/>
        </w:rPr>
        <w:t>inégalité</w:t>
      </w:r>
      <w:r>
        <w:rPr>
          <w:lang w:val="fr-FR"/>
        </w:rPr>
        <w:t>s</w:t>
      </w:r>
      <w:r w:rsidRPr="00D92078">
        <w:rPr>
          <w:lang w:val="fr-FR"/>
        </w:rPr>
        <w:t>, une nouvelle vague de quantification, consacré</w:t>
      </w:r>
      <w:r>
        <w:rPr>
          <w:lang w:val="fr-FR"/>
        </w:rPr>
        <w:t>e plus spécifiquement aux</w:t>
      </w:r>
      <w:r w:rsidRPr="00D92078">
        <w:rPr>
          <w:lang w:val="fr-FR"/>
        </w:rPr>
        <w:t xml:space="preserve"> hauts revenus, </w:t>
      </w:r>
      <w:r>
        <w:rPr>
          <w:lang w:val="fr-FR"/>
        </w:rPr>
        <w:t xml:space="preserve">a démontré une </w:t>
      </w:r>
      <w:r w:rsidRPr="00D92078">
        <w:rPr>
          <w:lang w:val="fr-FR"/>
        </w:rPr>
        <w:t>croissance de</w:t>
      </w:r>
      <w:r>
        <w:rPr>
          <w:lang w:val="fr-FR"/>
        </w:rPr>
        <w:t xml:space="preserve">s </w:t>
      </w:r>
      <w:r w:rsidRPr="00D92078">
        <w:rPr>
          <w:lang w:val="fr-FR"/>
        </w:rPr>
        <w:t>inégalité</w:t>
      </w:r>
      <w:r>
        <w:rPr>
          <w:lang w:val="fr-FR"/>
        </w:rPr>
        <w:t>s</w:t>
      </w:r>
      <w:r w:rsidRPr="00D92078">
        <w:rPr>
          <w:lang w:val="fr-FR"/>
        </w:rPr>
        <w:t xml:space="preserve"> </w:t>
      </w:r>
      <w:r>
        <w:rPr>
          <w:lang w:val="fr-FR"/>
        </w:rPr>
        <w:t>rapide</w:t>
      </w:r>
      <w:r w:rsidRPr="00D92078">
        <w:rPr>
          <w:lang w:val="fr-FR"/>
        </w:rPr>
        <w:t xml:space="preserve"> au cours des dernières ann</w:t>
      </w:r>
      <w:r>
        <w:rPr>
          <w:lang w:val="fr-FR"/>
        </w:rPr>
        <w:t xml:space="preserve">ées. Ces derniers résultats ont notamment </w:t>
      </w:r>
      <w:r w:rsidRPr="00D92078">
        <w:rPr>
          <w:lang w:val="fr-FR"/>
        </w:rPr>
        <w:t>suscité</w:t>
      </w:r>
      <w:r w:rsidR="009A38C9">
        <w:rPr>
          <w:lang w:val="fr-FR"/>
        </w:rPr>
        <w:t>s</w:t>
      </w:r>
      <w:r w:rsidRPr="00D92078">
        <w:rPr>
          <w:lang w:val="fr-FR"/>
        </w:rPr>
        <w:t xml:space="preserve"> un déb</w:t>
      </w:r>
      <w:r>
        <w:rPr>
          <w:lang w:val="fr-FR"/>
        </w:rPr>
        <w:t>at sur les tendances réelles de</w:t>
      </w:r>
      <w:r w:rsidRPr="00D92078">
        <w:rPr>
          <w:lang w:val="fr-FR"/>
        </w:rPr>
        <w:t xml:space="preserve"> l'inégalité et la validité des </w:t>
      </w:r>
      <w:r>
        <w:rPr>
          <w:lang w:val="fr-FR"/>
        </w:rPr>
        <w:t>chiffres</w:t>
      </w:r>
      <w:r w:rsidRPr="00D92078">
        <w:rPr>
          <w:lang w:val="fr-FR"/>
        </w:rPr>
        <w:t xml:space="preserve"> provenant de sources officielles. </w:t>
      </w:r>
      <w:r w:rsidR="009A38C9">
        <w:rPr>
          <w:lang w:val="fr-FR"/>
        </w:rPr>
        <w:t>Mais c</w:t>
      </w:r>
      <w:r w:rsidRPr="00D92078">
        <w:rPr>
          <w:lang w:val="fr-FR"/>
        </w:rPr>
        <w:t>ette fracture dans la q</w:t>
      </w:r>
      <w:r>
        <w:rPr>
          <w:lang w:val="fr-FR"/>
        </w:rPr>
        <w:t>uantification de l'inégalité s’</w:t>
      </w:r>
      <w:r w:rsidRPr="00D92078">
        <w:rPr>
          <w:lang w:val="fr-FR"/>
        </w:rPr>
        <w:t>explique principalement par le f</w:t>
      </w:r>
      <w:r>
        <w:rPr>
          <w:lang w:val="fr-FR"/>
        </w:rPr>
        <w:t>ait que les deux sources évaluent</w:t>
      </w:r>
      <w:r w:rsidRPr="00D92078">
        <w:rPr>
          <w:lang w:val="fr-FR"/>
        </w:rPr>
        <w:t xml:space="preserve"> l'inégal</w:t>
      </w:r>
      <w:r w:rsidR="009A38C9">
        <w:rPr>
          <w:lang w:val="fr-FR"/>
        </w:rPr>
        <w:t>ité sur différentes populations :</w:t>
      </w:r>
      <w:r w:rsidRPr="00D92078">
        <w:rPr>
          <w:lang w:val="fr-FR"/>
        </w:rPr>
        <w:t xml:space="preserve"> soit le</w:t>
      </w:r>
      <w:r>
        <w:rPr>
          <w:lang w:val="fr-FR"/>
        </w:rPr>
        <w:t xml:space="preserve">s </w:t>
      </w:r>
      <w:r w:rsidRPr="00D92078">
        <w:rPr>
          <w:lang w:val="fr-FR"/>
        </w:rPr>
        <w:t xml:space="preserve">1% </w:t>
      </w:r>
      <w:r>
        <w:rPr>
          <w:lang w:val="fr-FR"/>
        </w:rPr>
        <w:t xml:space="preserve">des ménages les plus riches, soit les </w:t>
      </w:r>
      <w:r w:rsidRPr="00D92078">
        <w:rPr>
          <w:lang w:val="fr-FR"/>
        </w:rPr>
        <w:t>99%</w:t>
      </w:r>
      <w:r>
        <w:rPr>
          <w:lang w:val="fr-FR"/>
        </w:rPr>
        <w:t xml:space="preserve"> des ménages les plus pauvres</w:t>
      </w:r>
      <w:r w:rsidRPr="00D92078">
        <w:rPr>
          <w:lang w:val="fr-FR"/>
        </w:rPr>
        <w:t xml:space="preserve">. </w:t>
      </w:r>
      <w:r w:rsidR="009A38C9">
        <w:rPr>
          <w:lang w:val="fr-FR"/>
        </w:rPr>
        <w:t>Cependant,</w:t>
      </w:r>
      <w:r w:rsidRPr="00D92078">
        <w:rPr>
          <w:lang w:val="fr-FR"/>
        </w:rPr>
        <w:t xml:space="preserve"> un traitement </w:t>
      </w:r>
      <w:r w:rsidR="009A38C9">
        <w:rPr>
          <w:lang w:val="fr-FR"/>
        </w:rPr>
        <w:t>exhaustif</w:t>
      </w:r>
      <w:r w:rsidRPr="00D92078">
        <w:rPr>
          <w:lang w:val="fr-FR"/>
        </w:rPr>
        <w:t xml:space="preserve"> de l'inégalité nécessite naturellement une image de</w:t>
      </w:r>
      <w:r>
        <w:rPr>
          <w:lang w:val="fr-FR"/>
        </w:rPr>
        <w:t>s</w:t>
      </w:r>
      <w:r w:rsidRPr="00D92078">
        <w:rPr>
          <w:lang w:val="fr-FR"/>
        </w:rPr>
        <w:t xml:space="preserve"> 100%. Dans ce contexte, </w:t>
      </w:r>
      <w:r>
        <w:rPr>
          <w:lang w:val="fr-FR"/>
        </w:rPr>
        <w:t>cet article</w:t>
      </w:r>
      <w:r w:rsidRPr="00D92078">
        <w:rPr>
          <w:lang w:val="fr-FR"/>
        </w:rPr>
        <w:t xml:space="preserve"> </w:t>
      </w:r>
      <w:r>
        <w:rPr>
          <w:lang w:val="fr-FR"/>
        </w:rPr>
        <w:t>propose</w:t>
      </w:r>
      <w:r w:rsidRPr="00D92078">
        <w:rPr>
          <w:lang w:val="fr-FR"/>
        </w:rPr>
        <w:t xml:space="preserve"> un tableau complet de l'inégalité dans les pays de l'OCDE </w:t>
      </w:r>
      <w:r>
        <w:rPr>
          <w:lang w:val="fr-FR"/>
        </w:rPr>
        <w:t>combinant</w:t>
      </w:r>
      <w:r w:rsidRPr="00D92078">
        <w:rPr>
          <w:lang w:val="fr-FR"/>
        </w:rPr>
        <w:t xml:space="preserve"> les deux sources. </w:t>
      </w:r>
      <w:r>
        <w:rPr>
          <w:lang w:val="fr-FR"/>
        </w:rPr>
        <w:t>Il en résulte</w:t>
      </w:r>
      <w:r w:rsidRPr="00D92078">
        <w:rPr>
          <w:lang w:val="fr-FR"/>
        </w:rPr>
        <w:t xml:space="preserve"> une augmentation significati</w:t>
      </w:r>
      <w:r w:rsidR="009A38C9">
        <w:rPr>
          <w:lang w:val="fr-FR"/>
        </w:rPr>
        <w:t>ve du niveau d'inégalité mesuré</w:t>
      </w:r>
      <w:r w:rsidRPr="00D92078">
        <w:rPr>
          <w:lang w:val="fr-FR"/>
        </w:rPr>
        <w:t xml:space="preserve"> par les statistiques </w:t>
      </w:r>
      <w:r>
        <w:rPr>
          <w:lang w:val="fr-FR"/>
        </w:rPr>
        <w:t>officie</w:t>
      </w:r>
      <w:r w:rsidRPr="00D92078">
        <w:rPr>
          <w:lang w:val="fr-FR"/>
        </w:rPr>
        <w:t>l</w:t>
      </w:r>
      <w:r>
        <w:rPr>
          <w:lang w:val="fr-FR"/>
        </w:rPr>
        <w:t>l</w:t>
      </w:r>
      <w:r w:rsidRPr="00D92078">
        <w:rPr>
          <w:lang w:val="fr-FR"/>
        </w:rPr>
        <w:t xml:space="preserve">es: le coefficient de Gini corrigé pour </w:t>
      </w:r>
      <w:r>
        <w:rPr>
          <w:lang w:val="fr-FR"/>
        </w:rPr>
        <w:t xml:space="preserve">les </w:t>
      </w:r>
      <w:r w:rsidRPr="00D92078">
        <w:rPr>
          <w:lang w:val="fr-FR"/>
        </w:rPr>
        <w:t xml:space="preserve">hauts revenus est en 2011 </w:t>
      </w:r>
      <w:r>
        <w:rPr>
          <w:lang w:val="fr-FR"/>
        </w:rPr>
        <w:t>de</w:t>
      </w:r>
      <w:r w:rsidRPr="00D92078">
        <w:rPr>
          <w:lang w:val="fr-FR"/>
        </w:rPr>
        <w:t xml:space="preserve"> 6 points </w:t>
      </w:r>
      <w:r>
        <w:rPr>
          <w:lang w:val="fr-FR"/>
        </w:rPr>
        <w:t>supérieur</w:t>
      </w:r>
      <w:r w:rsidRPr="00D92078">
        <w:rPr>
          <w:lang w:val="fr-FR"/>
        </w:rPr>
        <w:t xml:space="preserve">, </w:t>
      </w:r>
      <w:r>
        <w:rPr>
          <w:lang w:val="fr-FR"/>
        </w:rPr>
        <w:t>passant de 0,31 de 0,37</w:t>
      </w:r>
      <w:r w:rsidRPr="00D92078">
        <w:rPr>
          <w:lang w:val="fr-FR"/>
        </w:rPr>
        <w:t xml:space="preserve"> pour la moyenne des pays de l'OCDE; de même, l'écart entre le revenu moyen des </w:t>
      </w:r>
      <w:r>
        <w:rPr>
          <w:lang w:val="fr-FR"/>
        </w:rPr>
        <w:t>10% des ménages les plus riches et le revenu moyen des 10% des ménages les</w:t>
      </w:r>
      <w:r w:rsidRPr="00D92078">
        <w:rPr>
          <w:lang w:val="fr-FR"/>
        </w:rPr>
        <w:t xml:space="preserve"> plus pauvres </w:t>
      </w:r>
      <w:r>
        <w:rPr>
          <w:lang w:val="fr-FR"/>
        </w:rPr>
        <w:t xml:space="preserve">passe de </w:t>
      </w:r>
      <w:r w:rsidRPr="00D92078">
        <w:rPr>
          <w:lang w:val="fr-FR"/>
        </w:rPr>
        <w:t xml:space="preserve">10 à 15. </w:t>
      </w:r>
      <w:r>
        <w:rPr>
          <w:lang w:val="fr-FR"/>
        </w:rPr>
        <w:t>La dynamique des inégalités est</w:t>
      </w:r>
      <w:r w:rsidRPr="00D92078">
        <w:rPr>
          <w:lang w:val="fr-FR"/>
        </w:rPr>
        <w:t xml:space="preserve"> également significativement modifiée.</w:t>
      </w:r>
    </w:p>
    <w:p w14:paraId="6376176D" w14:textId="44697A41" w:rsidR="0097548B" w:rsidRPr="00573767" w:rsidRDefault="006D3ABA" w:rsidP="00573767">
      <w:pPr>
        <w:pStyle w:val="BodyText"/>
        <w:spacing w:after="120"/>
        <w:rPr>
          <w:i/>
          <w:lang w:val="fr-FR"/>
        </w:rPr>
      </w:pPr>
      <w:r w:rsidRPr="00573767">
        <w:rPr>
          <w:i/>
          <w:lang w:val="fr-FR"/>
        </w:rPr>
        <w:t>Codes JEL : D31; D63; O15</w:t>
      </w:r>
    </w:p>
    <w:p w14:paraId="678EC519" w14:textId="370A21B0" w:rsidR="00AC121E" w:rsidRPr="00973C31" w:rsidRDefault="00AC121E" w:rsidP="00E63505">
      <w:pPr>
        <w:pStyle w:val="BodyText"/>
        <w:rPr>
          <w:lang w:val="fr-FR"/>
        </w:rPr>
      </w:pPr>
      <w:r w:rsidRPr="00973C31">
        <w:rPr>
          <w:i/>
          <w:lang w:val="fr-FR"/>
        </w:rPr>
        <w:t xml:space="preserve">Mots clé: </w:t>
      </w:r>
      <w:r w:rsidR="00973C31" w:rsidRPr="00973C31">
        <w:rPr>
          <w:i/>
          <w:lang w:val="fr-FR"/>
        </w:rPr>
        <w:t>Revenu, Inégalité, hauts-revenus, enqu</w:t>
      </w:r>
      <w:r w:rsidR="00973C31">
        <w:rPr>
          <w:i/>
          <w:lang w:val="fr-FR"/>
        </w:rPr>
        <w:t>êtes auprès des ménages</w:t>
      </w:r>
    </w:p>
    <w:p w14:paraId="1D83E256" w14:textId="49480BA2" w:rsidR="00AC121E" w:rsidRPr="00973C31" w:rsidRDefault="00AC121E">
      <w:pPr>
        <w:tabs>
          <w:tab w:val="clear" w:pos="850"/>
          <w:tab w:val="clear" w:pos="1191"/>
          <w:tab w:val="clear" w:pos="1531"/>
        </w:tabs>
        <w:jc w:val="left"/>
        <w:rPr>
          <w:lang w:val="fr-FR"/>
        </w:rPr>
      </w:pPr>
    </w:p>
    <w:tbl>
      <w:tblPr>
        <w:tblStyle w:val="TableGrid"/>
        <w:tblW w:w="0" w:type="auto"/>
        <w:tblLook w:val="04A0" w:firstRow="1" w:lastRow="0" w:firstColumn="1" w:lastColumn="0" w:noHBand="0" w:noVBand="1"/>
      </w:tblPr>
      <w:tblGrid>
        <w:gridCol w:w="9684"/>
      </w:tblGrid>
      <w:tr w:rsidR="00AC121E" w:rsidRPr="006350EB" w14:paraId="383960E5" w14:textId="77777777" w:rsidTr="00E81D2E">
        <w:tc>
          <w:tcPr>
            <w:tcW w:w="9684" w:type="dxa"/>
          </w:tcPr>
          <w:p w14:paraId="754A94C9" w14:textId="77777777" w:rsidR="00AC121E" w:rsidRPr="003A0BF6" w:rsidRDefault="00AC121E" w:rsidP="00E81D2E">
            <w:pPr>
              <w:pStyle w:val="BodyText"/>
              <w:spacing w:before="240"/>
              <w:ind w:firstLine="0"/>
              <w:rPr>
                <w:rFonts w:ascii="Arial" w:hAnsi="Arial" w:cs="Arial"/>
                <w:sz w:val="20"/>
                <w:szCs w:val="20"/>
              </w:rPr>
            </w:pPr>
            <w:r w:rsidRPr="003A0BF6">
              <w:rPr>
                <w:rFonts w:ascii="Arial" w:hAnsi="Arial" w:cs="Arial"/>
                <w:sz w:val="20"/>
                <w:szCs w:val="20"/>
              </w:rPr>
              <w:t>OECD Working Papers should not be reported as representing the official views of the OECD or of its member countries. The opinions expressed and arguments employed are those of the author(s).</w:t>
            </w:r>
          </w:p>
          <w:p w14:paraId="493AE518" w14:textId="77777777" w:rsidR="00AC121E" w:rsidRPr="003A0BF6" w:rsidRDefault="00AC121E" w:rsidP="00E81D2E">
            <w:pPr>
              <w:pStyle w:val="BodyText"/>
              <w:spacing w:before="240"/>
              <w:ind w:firstLine="0"/>
              <w:rPr>
                <w:rFonts w:ascii="Arial" w:hAnsi="Arial" w:cs="Arial"/>
                <w:sz w:val="20"/>
                <w:szCs w:val="20"/>
              </w:rPr>
            </w:pPr>
            <w:r w:rsidRPr="003A0BF6">
              <w:rPr>
                <w:rFonts w:ascii="Arial" w:hAnsi="Arial" w:cs="Arial"/>
                <w:sz w:val="20"/>
                <w:szCs w:val="20"/>
              </w:rPr>
              <w:t>Working Papers describe preliminary results or research in progress by the author(s) and are published to stimulate discussion on a broad range of issues on which the OECD works. Comments on Working Papers are welcomed, and may be sent to the Economics Department, OECD, 2 rue André-Pascal, 75775 Paris Cedex 16, France.</w:t>
            </w:r>
          </w:p>
          <w:p w14:paraId="7373B025" w14:textId="77777777" w:rsidR="00AC121E" w:rsidRPr="006350EB" w:rsidRDefault="00AC121E" w:rsidP="00E81D2E">
            <w:pPr>
              <w:spacing w:before="240"/>
              <w:rPr>
                <w:rFonts w:cs="Arial"/>
                <w:b/>
                <w:bCs/>
                <w:szCs w:val="20"/>
                <w:lang w:val="en-US"/>
              </w:rPr>
            </w:pPr>
            <w:r w:rsidRPr="003A0BF6">
              <w:rPr>
                <w:rFonts w:ascii="Arial" w:hAnsi="Arial" w:cs="Arial"/>
                <w:sz w:val="20"/>
                <w:szCs w:val="20"/>
              </w:rPr>
              <w:t>Comment on the Papers is invited, and may be sent to OECD Economics Department, 2 rue André Pascal, 75775 Paris Cedex 16, France, or by e-mail to eco.contact@oecd.org.</w:t>
            </w:r>
          </w:p>
        </w:tc>
      </w:tr>
    </w:tbl>
    <w:p w14:paraId="0C4708C9" w14:textId="77777777" w:rsidR="00AC121E" w:rsidRPr="00731B25" w:rsidRDefault="00AC121E" w:rsidP="00AC121E">
      <w:pPr>
        <w:spacing w:before="5160"/>
        <w:rPr>
          <w:rFonts w:ascii="Arial" w:hAnsi="Arial" w:cs="Arial"/>
          <w:sz w:val="20"/>
          <w:szCs w:val="20"/>
        </w:rPr>
      </w:pPr>
      <w:r w:rsidRPr="00731B25">
        <w:rPr>
          <w:rFonts w:ascii="Arial" w:hAnsi="Arial" w:cs="Arial"/>
          <w:sz w:val="20"/>
          <w:szCs w:val="20"/>
        </w:rPr>
        <w:t>This document and any map included herein are without prejudice to the status of or sovereignty over any territory, to the delimitation of international frontiers and boundaries and to the name of any territory, city or area.</w:t>
      </w:r>
    </w:p>
    <w:p w14:paraId="1C28C776" w14:textId="77777777" w:rsidR="00AC121E" w:rsidRPr="00731B25" w:rsidRDefault="00AC121E" w:rsidP="00AC121E">
      <w:pPr>
        <w:rPr>
          <w:rFonts w:ascii="Arial" w:hAnsi="Arial" w:cs="Arial"/>
          <w:sz w:val="20"/>
          <w:szCs w:val="20"/>
        </w:rPr>
      </w:pPr>
    </w:p>
    <w:p w14:paraId="6378B56F" w14:textId="77777777" w:rsidR="00AC121E" w:rsidRPr="00731B25" w:rsidRDefault="00AC121E" w:rsidP="00AC121E">
      <w:pPr>
        <w:ind w:right="-30"/>
        <w:rPr>
          <w:rFonts w:ascii="Arial" w:hAnsi="Arial" w:cs="Arial"/>
          <w:iCs/>
          <w:color w:val="000000"/>
          <w:sz w:val="20"/>
          <w:szCs w:val="20"/>
        </w:rPr>
      </w:pPr>
      <w:r w:rsidRPr="00731B25">
        <w:rPr>
          <w:rFonts w:ascii="Arial" w:hAnsi="Arial" w:cs="Arial"/>
          <w:iCs/>
          <w:color w:val="000000"/>
          <w:sz w:val="20"/>
          <w:szCs w:val="20"/>
        </w:rPr>
        <w:t>The statistical data for Israel are supplied by and under the responsibility of the relevant Israeli authorities. The use of such data by the OECD is without prejudice to the status of the Golan Heights, East Jerusalem and Israeli settlements in the West Bank under the terms of international law.</w:t>
      </w:r>
    </w:p>
    <w:p w14:paraId="28D54CAD" w14:textId="77777777" w:rsidR="00AC121E" w:rsidRPr="00731B25" w:rsidRDefault="00AC121E" w:rsidP="00AC121E">
      <w:pPr>
        <w:autoSpaceDE w:val="0"/>
        <w:autoSpaceDN w:val="0"/>
        <w:spacing w:before="1320"/>
        <w:rPr>
          <w:rFonts w:ascii="Arial" w:hAnsi="Arial" w:cs="Arial"/>
          <w:b/>
          <w:bCs/>
          <w:sz w:val="19"/>
          <w:szCs w:val="19"/>
          <w:lang w:val="en-US"/>
        </w:rPr>
      </w:pPr>
      <w:r>
        <w:rPr>
          <w:rFonts w:ascii="Arial" w:hAnsi="Arial" w:cs="Arial"/>
          <w:b/>
          <w:bCs/>
          <w:sz w:val="19"/>
          <w:szCs w:val="19"/>
          <w:lang w:val="en-US"/>
        </w:rPr>
        <w:t>© OECD (2015</w:t>
      </w:r>
      <w:r w:rsidRPr="00731B25">
        <w:rPr>
          <w:rFonts w:ascii="Arial" w:hAnsi="Arial" w:cs="Arial"/>
          <w:b/>
          <w:bCs/>
          <w:sz w:val="19"/>
          <w:szCs w:val="19"/>
          <w:lang w:val="en-US"/>
        </w:rPr>
        <w:t>)</w:t>
      </w:r>
    </w:p>
    <w:p w14:paraId="19EB4B29" w14:textId="77777777" w:rsidR="00AC121E" w:rsidRPr="00731B25" w:rsidRDefault="00AC121E" w:rsidP="00AC121E">
      <w:pPr>
        <w:pBdr>
          <w:top w:val="single" w:sz="4" w:space="1" w:color="auto"/>
          <w:bottom w:val="single" w:sz="4" w:space="0" w:color="auto"/>
        </w:pBdr>
        <w:autoSpaceDE w:val="0"/>
        <w:autoSpaceDN w:val="0"/>
        <w:rPr>
          <w:rFonts w:ascii="Arial" w:hAnsi="Arial" w:cs="Arial"/>
        </w:rPr>
      </w:pPr>
      <w:r w:rsidRPr="00731B25">
        <w:rPr>
          <w:rFonts w:ascii="Arial" w:hAnsi="Arial" w:cs="Arial"/>
          <w:bCs/>
          <w:sz w:val="19"/>
          <w:szCs w:val="19"/>
          <w:lang w:val="en-US"/>
        </w:rPr>
        <w:t xml:space="preserve">You can copy, download or print OECD content for your own use, and you can include excerpts from OECD publications, databases and multimedia products in your own documents, presentations, blogs, websites and teaching materials, provided that suitable acknowledgment of OECD as source and copyright owner is given. All requests for commercial use and translation rights should be submitted to </w:t>
      </w:r>
      <w:r w:rsidRPr="00731B25">
        <w:rPr>
          <w:rFonts w:ascii="Arial" w:hAnsi="Arial" w:cs="Arial"/>
          <w:b/>
          <w:sz w:val="19"/>
          <w:szCs w:val="19"/>
          <w:lang w:val="en-US"/>
        </w:rPr>
        <w:t>rights@oecd.org</w:t>
      </w:r>
    </w:p>
    <w:p w14:paraId="5A499043" w14:textId="77777777" w:rsidR="00AC121E" w:rsidRPr="00AC121E" w:rsidRDefault="00AC121E" w:rsidP="006D3ABA">
      <w:pPr>
        <w:pStyle w:val="BodyText"/>
        <w:ind w:firstLine="0"/>
        <w:jc w:val="left"/>
      </w:pPr>
    </w:p>
    <w:p w14:paraId="374C9005" w14:textId="1911AA73" w:rsidR="0097548B" w:rsidRPr="00AC121E" w:rsidRDefault="0097548B">
      <w:pPr>
        <w:tabs>
          <w:tab w:val="clear" w:pos="850"/>
          <w:tab w:val="clear" w:pos="1191"/>
          <w:tab w:val="clear" w:pos="1531"/>
        </w:tabs>
        <w:jc w:val="left"/>
        <w:rPr>
          <w:b/>
          <w:bCs/>
        </w:rPr>
      </w:pPr>
      <w:r w:rsidRPr="00AC121E">
        <w:br w:type="page"/>
      </w:r>
    </w:p>
    <w:p w14:paraId="31E9CA18" w14:textId="77777777" w:rsidR="000B0CC0" w:rsidRDefault="000B0CC0">
      <w:pPr>
        <w:pStyle w:val="TableofContentsHeading"/>
        <w:ind w:left="708" w:hanging="708"/>
      </w:pPr>
      <w:bookmarkStart w:id="9" w:name="TOC"/>
      <w:r>
        <w:lastRenderedPageBreak/>
        <w:t>Table of contents</w:t>
      </w:r>
    </w:p>
    <w:p w14:paraId="112E4539" w14:textId="77777777" w:rsidR="000B0CC0" w:rsidRPr="00B5128B" w:rsidRDefault="000B0CC0">
      <w:pPr>
        <w:pStyle w:val="TOC1"/>
        <w:rPr>
          <w:rFonts w:asciiTheme="minorHAnsi" w:eastAsiaTheme="minorEastAsia" w:hAnsiTheme="minorHAnsi" w:cstheme="minorBidi"/>
          <w:caps w:val="0"/>
          <w:noProof/>
          <w:sz w:val="20"/>
          <w:lang w:eastAsia="en-GB"/>
        </w:rPr>
      </w:pPr>
      <w:r w:rsidRPr="00B5128B">
        <w:rPr>
          <w:b/>
          <w:noProof/>
          <w:sz w:val="20"/>
        </w:rPr>
        <w:fldChar w:fldCharType="begin"/>
      </w:r>
      <w:r w:rsidRPr="00B5128B">
        <w:rPr>
          <w:b/>
          <w:noProof/>
          <w:sz w:val="20"/>
        </w:rPr>
        <w:instrText xml:space="preserve"> TOC \o "1-3" \t "Summary Heading,1,Preface Heading,1,Conclusion Heading,1,Bibliography Heading,1,Appendix Heading,1,Annex Heading,1,Glossary Heading,1,Index Heading,1,Executive Summary Heading,1,Foreword Heading,1,Annexes Heading,1,Part Heading,1,Introduction Heading,1" \h</w:instrText>
      </w:r>
      <w:r w:rsidRPr="00B5128B">
        <w:rPr>
          <w:b/>
          <w:noProof/>
          <w:sz w:val="20"/>
        </w:rPr>
        <w:fldChar w:fldCharType="separate"/>
      </w:r>
      <w:hyperlink w:anchor="_Toc416860221" w:history="1">
        <w:r w:rsidRPr="00B5128B">
          <w:rPr>
            <w:rStyle w:val="Hyperlink"/>
            <w:noProof/>
            <w:sz w:val="20"/>
          </w:rPr>
          <w:t>The real picture of inequality in oecd countries: a characterisation combining the bottom 99% and the top 1%</w:t>
        </w:r>
        <w:r w:rsidRPr="00B5128B">
          <w:rPr>
            <w:noProof/>
            <w:sz w:val="20"/>
          </w:rPr>
          <w:tab/>
        </w:r>
        <w:r w:rsidRPr="00B5128B">
          <w:rPr>
            <w:noProof/>
            <w:sz w:val="20"/>
          </w:rPr>
          <w:fldChar w:fldCharType="begin"/>
        </w:r>
        <w:r w:rsidRPr="00B5128B">
          <w:rPr>
            <w:noProof/>
            <w:sz w:val="20"/>
          </w:rPr>
          <w:instrText xml:space="preserve"> PAGEREF _Toc416860221 \h </w:instrText>
        </w:r>
        <w:r w:rsidRPr="00B5128B">
          <w:rPr>
            <w:noProof/>
            <w:sz w:val="20"/>
          </w:rPr>
        </w:r>
        <w:r w:rsidRPr="00B5128B">
          <w:rPr>
            <w:noProof/>
            <w:sz w:val="20"/>
          </w:rPr>
          <w:fldChar w:fldCharType="separate"/>
        </w:r>
        <w:r w:rsidR="002114FC">
          <w:rPr>
            <w:noProof/>
            <w:sz w:val="20"/>
          </w:rPr>
          <w:t>5</w:t>
        </w:r>
        <w:r w:rsidRPr="00B5128B">
          <w:rPr>
            <w:noProof/>
            <w:sz w:val="20"/>
          </w:rPr>
          <w:fldChar w:fldCharType="end"/>
        </w:r>
      </w:hyperlink>
    </w:p>
    <w:p w14:paraId="37225268" w14:textId="77777777" w:rsidR="000B0CC0" w:rsidRPr="00B5128B" w:rsidRDefault="00A56D55">
      <w:pPr>
        <w:pStyle w:val="TOC2"/>
        <w:rPr>
          <w:rFonts w:asciiTheme="minorHAnsi" w:eastAsiaTheme="minorEastAsia" w:hAnsiTheme="minorHAnsi" w:cstheme="minorBidi"/>
          <w:noProof/>
          <w:sz w:val="20"/>
          <w:lang w:eastAsia="en-GB"/>
        </w:rPr>
      </w:pPr>
      <w:hyperlink w:anchor="_Toc416860222" w:history="1">
        <w:r w:rsidR="000B0CC0" w:rsidRPr="00B5128B">
          <w:rPr>
            <w:rStyle w:val="Hyperlink"/>
            <w:noProof/>
            <w:sz w:val="20"/>
          </w:rPr>
          <w:t>Introduction and main findings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_Toc416860222 \h </w:instrText>
        </w:r>
        <w:r w:rsidR="000B0CC0" w:rsidRPr="00B5128B">
          <w:rPr>
            <w:noProof/>
            <w:sz w:val="20"/>
          </w:rPr>
        </w:r>
        <w:r w:rsidR="000B0CC0" w:rsidRPr="00B5128B">
          <w:rPr>
            <w:noProof/>
            <w:sz w:val="20"/>
          </w:rPr>
          <w:fldChar w:fldCharType="separate"/>
        </w:r>
        <w:r w:rsidR="002114FC">
          <w:rPr>
            <w:noProof/>
            <w:sz w:val="20"/>
          </w:rPr>
          <w:t>5</w:t>
        </w:r>
        <w:r w:rsidR="000B0CC0" w:rsidRPr="00B5128B">
          <w:rPr>
            <w:noProof/>
            <w:sz w:val="20"/>
          </w:rPr>
          <w:fldChar w:fldCharType="end"/>
        </w:r>
      </w:hyperlink>
    </w:p>
    <w:p w14:paraId="3AC02A30" w14:textId="77777777" w:rsidR="000B0CC0" w:rsidRPr="00B5128B" w:rsidRDefault="00A56D55">
      <w:pPr>
        <w:pStyle w:val="TOC2"/>
        <w:rPr>
          <w:rFonts w:asciiTheme="minorHAnsi" w:eastAsiaTheme="minorEastAsia" w:hAnsiTheme="minorHAnsi" w:cstheme="minorBidi"/>
          <w:noProof/>
          <w:sz w:val="20"/>
          <w:lang w:eastAsia="en-GB"/>
        </w:rPr>
      </w:pPr>
      <w:hyperlink w:anchor="_Toc416860223" w:history="1">
        <w:r w:rsidR="000B0CC0" w:rsidRPr="00B5128B">
          <w:rPr>
            <w:rStyle w:val="Hyperlink"/>
            <w:noProof/>
            <w:sz w:val="20"/>
          </w:rPr>
          <w:t>Data sources for measuring inequality</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_Toc416860223 \h </w:instrText>
        </w:r>
        <w:r w:rsidR="000B0CC0" w:rsidRPr="00B5128B">
          <w:rPr>
            <w:noProof/>
            <w:sz w:val="20"/>
          </w:rPr>
        </w:r>
        <w:r w:rsidR="000B0CC0" w:rsidRPr="00B5128B">
          <w:rPr>
            <w:noProof/>
            <w:sz w:val="20"/>
          </w:rPr>
          <w:fldChar w:fldCharType="separate"/>
        </w:r>
        <w:r w:rsidR="002114FC">
          <w:rPr>
            <w:noProof/>
            <w:sz w:val="20"/>
          </w:rPr>
          <w:t>7</w:t>
        </w:r>
        <w:r w:rsidR="000B0CC0" w:rsidRPr="00B5128B">
          <w:rPr>
            <w:noProof/>
            <w:sz w:val="20"/>
          </w:rPr>
          <w:fldChar w:fldCharType="end"/>
        </w:r>
      </w:hyperlink>
    </w:p>
    <w:p w14:paraId="791F3512" w14:textId="77777777" w:rsidR="000B0CC0" w:rsidRPr="00B5128B" w:rsidRDefault="00A56D55">
      <w:pPr>
        <w:pStyle w:val="TOC3"/>
        <w:rPr>
          <w:rFonts w:asciiTheme="minorHAnsi" w:eastAsiaTheme="minorEastAsia" w:hAnsiTheme="minorHAnsi" w:cstheme="minorBidi"/>
          <w:noProof/>
          <w:sz w:val="20"/>
          <w:lang w:eastAsia="en-GB"/>
        </w:rPr>
      </w:pPr>
      <w:hyperlink w:anchor="_Toc416860224" w:history="1">
        <w:r w:rsidR="000B0CC0" w:rsidRPr="00B5128B">
          <w:rPr>
            <w:rStyle w:val="Hyperlink"/>
            <w:noProof/>
            <w:sz w:val="20"/>
          </w:rPr>
          <w:t>Household surveys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_Toc416860224 \h </w:instrText>
        </w:r>
        <w:r w:rsidR="000B0CC0" w:rsidRPr="00B5128B">
          <w:rPr>
            <w:noProof/>
            <w:sz w:val="20"/>
          </w:rPr>
        </w:r>
        <w:r w:rsidR="000B0CC0" w:rsidRPr="00B5128B">
          <w:rPr>
            <w:noProof/>
            <w:sz w:val="20"/>
          </w:rPr>
          <w:fldChar w:fldCharType="separate"/>
        </w:r>
        <w:r w:rsidR="002114FC">
          <w:rPr>
            <w:noProof/>
            <w:sz w:val="20"/>
          </w:rPr>
          <w:t>7</w:t>
        </w:r>
        <w:r w:rsidR="000B0CC0" w:rsidRPr="00B5128B">
          <w:rPr>
            <w:noProof/>
            <w:sz w:val="20"/>
          </w:rPr>
          <w:fldChar w:fldCharType="end"/>
        </w:r>
      </w:hyperlink>
    </w:p>
    <w:p w14:paraId="3D43F83D" w14:textId="77777777" w:rsidR="000B0CC0" w:rsidRPr="00B5128B" w:rsidRDefault="00A56D55">
      <w:pPr>
        <w:pStyle w:val="TOC3"/>
        <w:rPr>
          <w:rFonts w:asciiTheme="minorHAnsi" w:eastAsiaTheme="minorEastAsia" w:hAnsiTheme="minorHAnsi" w:cstheme="minorBidi"/>
          <w:noProof/>
          <w:sz w:val="20"/>
          <w:lang w:eastAsia="en-GB"/>
        </w:rPr>
      </w:pPr>
      <w:hyperlink w:anchor="_Toc416860225" w:history="1">
        <w:r w:rsidR="000B0CC0" w:rsidRPr="00B5128B">
          <w:rPr>
            <w:rStyle w:val="Hyperlink"/>
            <w:noProof/>
            <w:sz w:val="20"/>
          </w:rPr>
          <w:t>Secondary cross-national datasets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_Toc416860225 \h </w:instrText>
        </w:r>
        <w:r w:rsidR="000B0CC0" w:rsidRPr="00B5128B">
          <w:rPr>
            <w:noProof/>
            <w:sz w:val="20"/>
          </w:rPr>
        </w:r>
        <w:r w:rsidR="000B0CC0" w:rsidRPr="00B5128B">
          <w:rPr>
            <w:noProof/>
            <w:sz w:val="20"/>
          </w:rPr>
          <w:fldChar w:fldCharType="separate"/>
        </w:r>
        <w:r w:rsidR="002114FC">
          <w:rPr>
            <w:noProof/>
            <w:sz w:val="20"/>
          </w:rPr>
          <w:t>8</w:t>
        </w:r>
        <w:r w:rsidR="000B0CC0" w:rsidRPr="00B5128B">
          <w:rPr>
            <w:noProof/>
            <w:sz w:val="20"/>
          </w:rPr>
          <w:fldChar w:fldCharType="end"/>
        </w:r>
      </w:hyperlink>
    </w:p>
    <w:p w14:paraId="73970A02" w14:textId="77777777" w:rsidR="000B0CC0" w:rsidRPr="00B5128B" w:rsidRDefault="00A56D55">
      <w:pPr>
        <w:pStyle w:val="TOC3"/>
        <w:rPr>
          <w:rFonts w:asciiTheme="minorHAnsi" w:eastAsiaTheme="minorEastAsia" w:hAnsiTheme="minorHAnsi" w:cstheme="minorBidi"/>
          <w:noProof/>
          <w:sz w:val="20"/>
          <w:lang w:eastAsia="en-GB"/>
        </w:rPr>
      </w:pPr>
      <w:hyperlink w:anchor="_Toc416860226" w:history="1">
        <w:r w:rsidR="000B0CC0" w:rsidRPr="00B5128B">
          <w:rPr>
            <w:rStyle w:val="Hyperlink"/>
            <w:noProof/>
            <w:sz w:val="20"/>
          </w:rPr>
          <w:t>Tabulations from tax data</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_Toc416860226 \h </w:instrText>
        </w:r>
        <w:r w:rsidR="000B0CC0" w:rsidRPr="00B5128B">
          <w:rPr>
            <w:noProof/>
            <w:sz w:val="20"/>
          </w:rPr>
        </w:r>
        <w:r w:rsidR="000B0CC0" w:rsidRPr="00B5128B">
          <w:rPr>
            <w:noProof/>
            <w:sz w:val="20"/>
          </w:rPr>
          <w:fldChar w:fldCharType="separate"/>
        </w:r>
        <w:r w:rsidR="002114FC">
          <w:rPr>
            <w:noProof/>
            <w:sz w:val="20"/>
          </w:rPr>
          <w:t>9</w:t>
        </w:r>
        <w:r w:rsidR="000B0CC0" w:rsidRPr="00B5128B">
          <w:rPr>
            <w:noProof/>
            <w:sz w:val="20"/>
          </w:rPr>
          <w:fldChar w:fldCharType="end"/>
        </w:r>
      </w:hyperlink>
    </w:p>
    <w:p w14:paraId="0467E45E" w14:textId="77777777" w:rsidR="000B0CC0" w:rsidRPr="00B5128B" w:rsidRDefault="00A56D55">
      <w:pPr>
        <w:pStyle w:val="TOC2"/>
        <w:rPr>
          <w:rFonts w:asciiTheme="minorHAnsi" w:eastAsiaTheme="minorEastAsia" w:hAnsiTheme="minorHAnsi" w:cstheme="minorBidi"/>
          <w:noProof/>
          <w:sz w:val="20"/>
          <w:lang w:eastAsia="en-GB"/>
        </w:rPr>
      </w:pPr>
      <w:hyperlink w:anchor="_Toc416860227" w:history="1">
        <w:r w:rsidR="000B0CC0" w:rsidRPr="00B5128B">
          <w:rPr>
            <w:rStyle w:val="Hyperlink"/>
            <w:noProof/>
            <w:sz w:val="20"/>
          </w:rPr>
          <w:t>Estimation of top income shares from household surveys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_Toc416860227 \h </w:instrText>
        </w:r>
        <w:r w:rsidR="000B0CC0" w:rsidRPr="00B5128B">
          <w:rPr>
            <w:noProof/>
            <w:sz w:val="20"/>
          </w:rPr>
        </w:r>
        <w:r w:rsidR="000B0CC0" w:rsidRPr="00B5128B">
          <w:rPr>
            <w:noProof/>
            <w:sz w:val="20"/>
          </w:rPr>
          <w:fldChar w:fldCharType="separate"/>
        </w:r>
        <w:r w:rsidR="002114FC">
          <w:rPr>
            <w:noProof/>
            <w:sz w:val="20"/>
          </w:rPr>
          <w:t>12</w:t>
        </w:r>
        <w:r w:rsidR="000B0CC0" w:rsidRPr="00B5128B">
          <w:rPr>
            <w:noProof/>
            <w:sz w:val="20"/>
          </w:rPr>
          <w:fldChar w:fldCharType="end"/>
        </w:r>
      </w:hyperlink>
    </w:p>
    <w:p w14:paraId="20B0A45F" w14:textId="77777777" w:rsidR="000B0CC0" w:rsidRPr="00B5128B" w:rsidRDefault="00A56D55">
      <w:pPr>
        <w:pStyle w:val="TOC3"/>
        <w:rPr>
          <w:rFonts w:asciiTheme="minorHAnsi" w:eastAsiaTheme="minorEastAsia" w:hAnsiTheme="minorHAnsi" w:cstheme="minorBidi"/>
          <w:noProof/>
          <w:sz w:val="20"/>
          <w:lang w:eastAsia="en-GB"/>
        </w:rPr>
      </w:pPr>
      <w:hyperlink w:anchor="_Toc416860228" w:history="1">
        <w:r w:rsidR="000B0CC0" w:rsidRPr="00B5128B">
          <w:rPr>
            <w:rStyle w:val="Hyperlink"/>
            <w:noProof/>
            <w:sz w:val="20"/>
          </w:rPr>
          <w:t>Methodology</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_Toc416860228 \h </w:instrText>
        </w:r>
        <w:r w:rsidR="000B0CC0" w:rsidRPr="00B5128B">
          <w:rPr>
            <w:noProof/>
            <w:sz w:val="20"/>
          </w:rPr>
        </w:r>
        <w:r w:rsidR="000B0CC0" w:rsidRPr="00B5128B">
          <w:rPr>
            <w:noProof/>
            <w:sz w:val="20"/>
          </w:rPr>
          <w:fldChar w:fldCharType="separate"/>
        </w:r>
        <w:r w:rsidR="002114FC">
          <w:rPr>
            <w:noProof/>
            <w:sz w:val="20"/>
          </w:rPr>
          <w:t>12</w:t>
        </w:r>
        <w:r w:rsidR="000B0CC0" w:rsidRPr="00B5128B">
          <w:rPr>
            <w:noProof/>
            <w:sz w:val="20"/>
          </w:rPr>
          <w:fldChar w:fldCharType="end"/>
        </w:r>
      </w:hyperlink>
    </w:p>
    <w:p w14:paraId="339E8929" w14:textId="77777777" w:rsidR="000B0CC0" w:rsidRPr="00B5128B" w:rsidRDefault="00A56D55">
      <w:pPr>
        <w:pStyle w:val="TOC3"/>
        <w:rPr>
          <w:rFonts w:asciiTheme="minorHAnsi" w:eastAsiaTheme="minorEastAsia" w:hAnsiTheme="minorHAnsi" w:cstheme="minorBidi"/>
          <w:noProof/>
          <w:sz w:val="20"/>
          <w:lang w:eastAsia="en-GB"/>
        </w:rPr>
      </w:pPr>
      <w:hyperlink w:anchor="_Toc416860229" w:history="1">
        <w:r w:rsidR="000B0CC0" w:rsidRPr="00B5128B">
          <w:rPr>
            <w:rStyle w:val="Hyperlink"/>
            <w:noProof/>
            <w:sz w:val="20"/>
          </w:rPr>
          <w:t>Data sources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_Toc416860229 \h </w:instrText>
        </w:r>
        <w:r w:rsidR="000B0CC0" w:rsidRPr="00B5128B">
          <w:rPr>
            <w:noProof/>
            <w:sz w:val="20"/>
          </w:rPr>
        </w:r>
        <w:r w:rsidR="000B0CC0" w:rsidRPr="00B5128B">
          <w:rPr>
            <w:noProof/>
            <w:sz w:val="20"/>
          </w:rPr>
          <w:fldChar w:fldCharType="separate"/>
        </w:r>
        <w:r w:rsidR="002114FC">
          <w:rPr>
            <w:noProof/>
            <w:sz w:val="20"/>
          </w:rPr>
          <w:t>14</w:t>
        </w:r>
        <w:r w:rsidR="000B0CC0" w:rsidRPr="00B5128B">
          <w:rPr>
            <w:noProof/>
            <w:sz w:val="20"/>
          </w:rPr>
          <w:fldChar w:fldCharType="end"/>
        </w:r>
      </w:hyperlink>
    </w:p>
    <w:p w14:paraId="6400A9A8" w14:textId="77777777" w:rsidR="000B0CC0" w:rsidRPr="00B5128B" w:rsidRDefault="00A56D55">
      <w:pPr>
        <w:pStyle w:val="TOC3"/>
        <w:rPr>
          <w:rFonts w:asciiTheme="minorHAnsi" w:eastAsiaTheme="minorEastAsia" w:hAnsiTheme="minorHAnsi" w:cstheme="minorBidi"/>
          <w:noProof/>
          <w:sz w:val="20"/>
          <w:lang w:eastAsia="en-GB"/>
        </w:rPr>
      </w:pPr>
      <w:hyperlink w:anchor="_Toc416860230" w:history="1">
        <w:r w:rsidR="000B0CC0" w:rsidRPr="00B5128B">
          <w:rPr>
            <w:rStyle w:val="Hyperlink"/>
            <w:noProof/>
            <w:sz w:val="20"/>
          </w:rPr>
          <w:t>Estimation and comparison with the WTID</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_Toc416860230 \h </w:instrText>
        </w:r>
        <w:r w:rsidR="000B0CC0" w:rsidRPr="00B5128B">
          <w:rPr>
            <w:noProof/>
            <w:sz w:val="20"/>
          </w:rPr>
        </w:r>
        <w:r w:rsidR="000B0CC0" w:rsidRPr="00B5128B">
          <w:rPr>
            <w:noProof/>
            <w:sz w:val="20"/>
          </w:rPr>
          <w:fldChar w:fldCharType="separate"/>
        </w:r>
        <w:r w:rsidR="002114FC">
          <w:rPr>
            <w:noProof/>
            <w:sz w:val="20"/>
          </w:rPr>
          <w:t>14</w:t>
        </w:r>
        <w:r w:rsidR="000B0CC0" w:rsidRPr="00B5128B">
          <w:rPr>
            <w:noProof/>
            <w:sz w:val="20"/>
          </w:rPr>
          <w:fldChar w:fldCharType="end"/>
        </w:r>
      </w:hyperlink>
    </w:p>
    <w:p w14:paraId="087981FA" w14:textId="77777777" w:rsidR="000B0CC0" w:rsidRPr="00B5128B" w:rsidRDefault="00A56D55">
      <w:pPr>
        <w:pStyle w:val="TOC3"/>
        <w:rPr>
          <w:rFonts w:asciiTheme="minorHAnsi" w:eastAsiaTheme="minorEastAsia" w:hAnsiTheme="minorHAnsi" w:cstheme="minorBidi"/>
          <w:noProof/>
          <w:sz w:val="20"/>
          <w:lang w:eastAsia="en-GB"/>
        </w:rPr>
      </w:pPr>
      <w:hyperlink w:anchor="_Toc416860231" w:history="1">
        <w:r w:rsidR="000B0CC0" w:rsidRPr="00B5128B">
          <w:rPr>
            <w:rStyle w:val="Hyperlink"/>
            <w:noProof/>
            <w:sz w:val="20"/>
          </w:rPr>
          <w:t>Top income shares in all OECD countries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_Toc416860231 \h </w:instrText>
        </w:r>
        <w:r w:rsidR="000B0CC0" w:rsidRPr="00B5128B">
          <w:rPr>
            <w:noProof/>
            <w:sz w:val="20"/>
          </w:rPr>
        </w:r>
        <w:r w:rsidR="000B0CC0" w:rsidRPr="00B5128B">
          <w:rPr>
            <w:noProof/>
            <w:sz w:val="20"/>
          </w:rPr>
          <w:fldChar w:fldCharType="separate"/>
        </w:r>
        <w:r w:rsidR="002114FC">
          <w:rPr>
            <w:noProof/>
            <w:sz w:val="20"/>
          </w:rPr>
          <w:t>18</w:t>
        </w:r>
        <w:r w:rsidR="000B0CC0" w:rsidRPr="00B5128B">
          <w:rPr>
            <w:noProof/>
            <w:sz w:val="20"/>
          </w:rPr>
          <w:fldChar w:fldCharType="end"/>
        </w:r>
      </w:hyperlink>
    </w:p>
    <w:p w14:paraId="387C1589" w14:textId="77777777" w:rsidR="000B0CC0" w:rsidRPr="00B5128B" w:rsidRDefault="00A56D55">
      <w:pPr>
        <w:pStyle w:val="TOC2"/>
        <w:rPr>
          <w:rFonts w:asciiTheme="minorHAnsi" w:eastAsiaTheme="minorEastAsia" w:hAnsiTheme="minorHAnsi" w:cstheme="minorBidi"/>
          <w:noProof/>
          <w:sz w:val="20"/>
          <w:lang w:eastAsia="en-GB"/>
        </w:rPr>
      </w:pPr>
      <w:hyperlink w:anchor="_Toc416860232" w:history="1">
        <w:r w:rsidR="000B0CC0" w:rsidRPr="00B5128B">
          <w:rPr>
            <w:rStyle w:val="Hyperlink"/>
            <w:noProof/>
            <w:sz w:val="20"/>
          </w:rPr>
          <w:t>The full extent of income inequality in OECD countries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_Toc416860232 \h </w:instrText>
        </w:r>
        <w:r w:rsidR="000B0CC0" w:rsidRPr="00B5128B">
          <w:rPr>
            <w:noProof/>
            <w:sz w:val="20"/>
          </w:rPr>
        </w:r>
        <w:r w:rsidR="000B0CC0" w:rsidRPr="00B5128B">
          <w:rPr>
            <w:noProof/>
            <w:sz w:val="20"/>
          </w:rPr>
          <w:fldChar w:fldCharType="separate"/>
        </w:r>
        <w:r w:rsidR="002114FC">
          <w:rPr>
            <w:noProof/>
            <w:sz w:val="20"/>
          </w:rPr>
          <w:t>18</w:t>
        </w:r>
        <w:r w:rsidR="000B0CC0" w:rsidRPr="00B5128B">
          <w:rPr>
            <w:noProof/>
            <w:sz w:val="20"/>
          </w:rPr>
          <w:fldChar w:fldCharType="end"/>
        </w:r>
      </w:hyperlink>
    </w:p>
    <w:p w14:paraId="0B52E7B6" w14:textId="77777777" w:rsidR="000B0CC0" w:rsidRPr="00B5128B" w:rsidRDefault="00A56D55">
      <w:pPr>
        <w:pStyle w:val="TOC3"/>
        <w:rPr>
          <w:rFonts w:asciiTheme="minorHAnsi" w:eastAsiaTheme="minorEastAsia" w:hAnsiTheme="minorHAnsi" w:cstheme="minorBidi"/>
          <w:noProof/>
          <w:sz w:val="20"/>
          <w:lang w:eastAsia="en-GB"/>
        </w:rPr>
      </w:pPr>
      <w:hyperlink w:anchor="_Toc416860233" w:history="1">
        <w:r w:rsidR="000B0CC0" w:rsidRPr="00B5128B">
          <w:rPr>
            <w:rStyle w:val="Hyperlink"/>
            <w:noProof/>
            <w:sz w:val="20"/>
            <w:lang w:val="en-US"/>
          </w:rPr>
          <w:t>Effects of the adjustment on mean incomes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_Toc416860233 \h </w:instrText>
        </w:r>
        <w:r w:rsidR="000B0CC0" w:rsidRPr="00B5128B">
          <w:rPr>
            <w:noProof/>
            <w:sz w:val="20"/>
          </w:rPr>
        </w:r>
        <w:r w:rsidR="000B0CC0" w:rsidRPr="00B5128B">
          <w:rPr>
            <w:noProof/>
            <w:sz w:val="20"/>
          </w:rPr>
          <w:fldChar w:fldCharType="separate"/>
        </w:r>
        <w:r w:rsidR="002114FC">
          <w:rPr>
            <w:noProof/>
            <w:sz w:val="20"/>
          </w:rPr>
          <w:t>19</w:t>
        </w:r>
        <w:r w:rsidR="000B0CC0" w:rsidRPr="00B5128B">
          <w:rPr>
            <w:noProof/>
            <w:sz w:val="20"/>
          </w:rPr>
          <w:fldChar w:fldCharType="end"/>
        </w:r>
      </w:hyperlink>
    </w:p>
    <w:p w14:paraId="068FFAC7" w14:textId="77777777" w:rsidR="000B0CC0" w:rsidRPr="00B5128B" w:rsidRDefault="00A56D55">
      <w:pPr>
        <w:pStyle w:val="TOC3"/>
        <w:rPr>
          <w:rFonts w:asciiTheme="minorHAnsi" w:eastAsiaTheme="minorEastAsia" w:hAnsiTheme="minorHAnsi" w:cstheme="minorBidi"/>
          <w:noProof/>
          <w:sz w:val="20"/>
          <w:lang w:eastAsia="en-GB"/>
        </w:rPr>
      </w:pPr>
      <w:hyperlink w:anchor="_Toc416860234" w:history="1">
        <w:r w:rsidR="000B0CC0" w:rsidRPr="00B5128B">
          <w:rPr>
            <w:rStyle w:val="Hyperlink"/>
            <w:noProof/>
            <w:sz w:val="20"/>
          </w:rPr>
          <w:t>Inequality across the 100%</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_Toc416860234 \h </w:instrText>
        </w:r>
        <w:r w:rsidR="000B0CC0" w:rsidRPr="00B5128B">
          <w:rPr>
            <w:noProof/>
            <w:sz w:val="20"/>
          </w:rPr>
        </w:r>
        <w:r w:rsidR="000B0CC0" w:rsidRPr="00B5128B">
          <w:rPr>
            <w:noProof/>
            <w:sz w:val="20"/>
          </w:rPr>
          <w:fldChar w:fldCharType="separate"/>
        </w:r>
        <w:r w:rsidR="002114FC">
          <w:rPr>
            <w:noProof/>
            <w:sz w:val="20"/>
          </w:rPr>
          <w:t>21</w:t>
        </w:r>
        <w:r w:rsidR="000B0CC0" w:rsidRPr="00B5128B">
          <w:rPr>
            <w:noProof/>
            <w:sz w:val="20"/>
          </w:rPr>
          <w:fldChar w:fldCharType="end"/>
        </w:r>
      </w:hyperlink>
    </w:p>
    <w:p w14:paraId="5C94469C" w14:textId="77777777" w:rsidR="000B0CC0" w:rsidRPr="00B5128B" w:rsidRDefault="00A56D55">
      <w:pPr>
        <w:pStyle w:val="TOC2"/>
        <w:rPr>
          <w:rFonts w:asciiTheme="minorHAnsi" w:eastAsiaTheme="minorEastAsia" w:hAnsiTheme="minorHAnsi" w:cstheme="minorBidi"/>
          <w:noProof/>
          <w:sz w:val="20"/>
          <w:lang w:eastAsia="en-GB"/>
        </w:rPr>
      </w:pPr>
      <w:hyperlink w:anchor="_Toc416860235" w:history="1">
        <w:r w:rsidR="000B0CC0" w:rsidRPr="00B5128B">
          <w:rPr>
            <w:rStyle w:val="Hyperlink"/>
            <w:noProof/>
            <w:sz w:val="20"/>
          </w:rPr>
          <w:t>Conclusion</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_Toc416860235 \h </w:instrText>
        </w:r>
        <w:r w:rsidR="000B0CC0" w:rsidRPr="00B5128B">
          <w:rPr>
            <w:noProof/>
            <w:sz w:val="20"/>
          </w:rPr>
        </w:r>
        <w:r w:rsidR="000B0CC0" w:rsidRPr="00B5128B">
          <w:rPr>
            <w:noProof/>
            <w:sz w:val="20"/>
          </w:rPr>
          <w:fldChar w:fldCharType="separate"/>
        </w:r>
        <w:r w:rsidR="002114FC">
          <w:rPr>
            <w:noProof/>
            <w:sz w:val="20"/>
          </w:rPr>
          <w:t>25</w:t>
        </w:r>
        <w:r w:rsidR="000B0CC0" w:rsidRPr="00B5128B">
          <w:rPr>
            <w:noProof/>
            <w:sz w:val="20"/>
          </w:rPr>
          <w:fldChar w:fldCharType="end"/>
        </w:r>
      </w:hyperlink>
    </w:p>
    <w:p w14:paraId="3F65AFDB" w14:textId="77777777" w:rsidR="000B0CC0" w:rsidRPr="00B5128B" w:rsidRDefault="00A56D55">
      <w:pPr>
        <w:pStyle w:val="TOC1"/>
        <w:rPr>
          <w:rFonts w:asciiTheme="minorHAnsi" w:eastAsiaTheme="minorEastAsia" w:hAnsiTheme="minorHAnsi" w:cstheme="minorBidi"/>
          <w:caps w:val="0"/>
          <w:noProof/>
          <w:sz w:val="20"/>
          <w:lang w:eastAsia="en-GB"/>
        </w:rPr>
      </w:pPr>
      <w:hyperlink w:anchor="_Toc416860236" w:history="1">
        <w:r w:rsidR="000B0CC0" w:rsidRPr="00B5128B">
          <w:rPr>
            <w:rStyle w:val="Hyperlink"/>
            <w:noProof/>
            <w:sz w:val="20"/>
          </w:rPr>
          <w:t>bibliography</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_Toc416860236 \h </w:instrText>
        </w:r>
        <w:r w:rsidR="000B0CC0" w:rsidRPr="00B5128B">
          <w:rPr>
            <w:noProof/>
            <w:sz w:val="20"/>
          </w:rPr>
        </w:r>
        <w:r w:rsidR="000B0CC0" w:rsidRPr="00B5128B">
          <w:rPr>
            <w:noProof/>
            <w:sz w:val="20"/>
          </w:rPr>
          <w:fldChar w:fldCharType="separate"/>
        </w:r>
        <w:r w:rsidR="002114FC">
          <w:rPr>
            <w:noProof/>
            <w:sz w:val="20"/>
          </w:rPr>
          <w:t>26</w:t>
        </w:r>
        <w:r w:rsidR="000B0CC0" w:rsidRPr="00B5128B">
          <w:rPr>
            <w:noProof/>
            <w:sz w:val="20"/>
          </w:rPr>
          <w:fldChar w:fldCharType="end"/>
        </w:r>
      </w:hyperlink>
    </w:p>
    <w:p w14:paraId="3B182E97" w14:textId="77777777" w:rsidR="000B0CC0" w:rsidRPr="00B5128B" w:rsidRDefault="00A56D55">
      <w:pPr>
        <w:pStyle w:val="TOC1"/>
        <w:rPr>
          <w:rFonts w:asciiTheme="minorHAnsi" w:eastAsiaTheme="minorEastAsia" w:hAnsiTheme="minorHAnsi" w:cstheme="minorBidi"/>
          <w:caps w:val="0"/>
          <w:noProof/>
          <w:sz w:val="20"/>
          <w:lang w:eastAsia="en-GB"/>
        </w:rPr>
      </w:pPr>
      <w:hyperlink w:anchor="_Toc416860237" w:history="1">
        <w:r w:rsidR="000B0CC0" w:rsidRPr="00B5128B">
          <w:rPr>
            <w:rStyle w:val="Hyperlink"/>
            <w:noProof/>
            <w:sz w:val="20"/>
          </w:rPr>
          <w:t>Annex 1: Conditionnal estimate of an income distribution upper tail from household survey</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_Toc416860237 \h </w:instrText>
        </w:r>
        <w:r w:rsidR="000B0CC0" w:rsidRPr="00B5128B">
          <w:rPr>
            <w:noProof/>
            <w:sz w:val="20"/>
          </w:rPr>
        </w:r>
        <w:r w:rsidR="000B0CC0" w:rsidRPr="00B5128B">
          <w:rPr>
            <w:noProof/>
            <w:sz w:val="20"/>
          </w:rPr>
          <w:fldChar w:fldCharType="separate"/>
        </w:r>
        <w:r w:rsidR="002114FC">
          <w:rPr>
            <w:noProof/>
            <w:sz w:val="20"/>
          </w:rPr>
          <w:t>29</w:t>
        </w:r>
        <w:r w:rsidR="000B0CC0" w:rsidRPr="00B5128B">
          <w:rPr>
            <w:noProof/>
            <w:sz w:val="20"/>
          </w:rPr>
          <w:fldChar w:fldCharType="end"/>
        </w:r>
      </w:hyperlink>
    </w:p>
    <w:p w14:paraId="29C01C04" w14:textId="77777777" w:rsidR="000B0CC0" w:rsidRPr="00B5128B" w:rsidRDefault="00A56D55">
      <w:pPr>
        <w:pStyle w:val="TOC1"/>
        <w:rPr>
          <w:rFonts w:asciiTheme="minorHAnsi" w:eastAsiaTheme="minorEastAsia" w:hAnsiTheme="minorHAnsi" w:cstheme="minorBidi"/>
          <w:caps w:val="0"/>
          <w:noProof/>
          <w:sz w:val="20"/>
          <w:lang w:eastAsia="en-GB"/>
        </w:rPr>
      </w:pPr>
      <w:hyperlink w:anchor="_Toc416860238" w:history="1">
        <w:r w:rsidR="000B0CC0" w:rsidRPr="00B5128B">
          <w:rPr>
            <w:rStyle w:val="Hyperlink"/>
            <w:noProof/>
            <w:sz w:val="20"/>
          </w:rPr>
          <w:t>Annex 2: adjusted vs. non-adjusted ratios of mean income of the richest 10% to the median in oecd countries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_Toc416860238 \h </w:instrText>
        </w:r>
        <w:r w:rsidR="000B0CC0" w:rsidRPr="00B5128B">
          <w:rPr>
            <w:noProof/>
            <w:sz w:val="20"/>
          </w:rPr>
        </w:r>
        <w:r w:rsidR="000B0CC0" w:rsidRPr="00B5128B">
          <w:rPr>
            <w:noProof/>
            <w:sz w:val="20"/>
          </w:rPr>
          <w:fldChar w:fldCharType="separate"/>
        </w:r>
        <w:r w:rsidR="002114FC">
          <w:rPr>
            <w:noProof/>
            <w:sz w:val="20"/>
          </w:rPr>
          <w:t>32</w:t>
        </w:r>
        <w:r w:rsidR="000B0CC0" w:rsidRPr="00B5128B">
          <w:rPr>
            <w:noProof/>
            <w:sz w:val="20"/>
          </w:rPr>
          <w:fldChar w:fldCharType="end"/>
        </w:r>
      </w:hyperlink>
    </w:p>
    <w:p w14:paraId="49FF9208" w14:textId="77777777" w:rsidR="000B0CC0" w:rsidRPr="00B5128B" w:rsidRDefault="00A56D55">
      <w:pPr>
        <w:pStyle w:val="TOC1"/>
        <w:rPr>
          <w:rFonts w:asciiTheme="minorHAnsi" w:eastAsiaTheme="minorEastAsia" w:hAnsiTheme="minorHAnsi" w:cstheme="minorBidi"/>
          <w:caps w:val="0"/>
          <w:noProof/>
          <w:sz w:val="20"/>
          <w:lang w:eastAsia="en-GB"/>
        </w:rPr>
      </w:pPr>
      <w:hyperlink w:anchor="_Toc416860239" w:history="1">
        <w:r w:rsidR="000B0CC0" w:rsidRPr="00B5128B">
          <w:rPr>
            <w:rStyle w:val="Hyperlink"/>
            <w:noProof/>
            <w:sz w:val="20"/>
          </w:rPr>
          <w:t>Annex 3: adjusted vs. non-adjusted generalised means curves in oecd countries (from mid-1990’s to late-2000’s)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_Toc416860239 \h </w:instrText>
        </w:r>
        <w:r w:rsidR="000B0CC0" w:rsidRPr="00B5128B">
          <w:rPr>
            <w:noProof/>
            <w:sz w:val="20"/>
          </w:rPr>
        </w:r>
        <w:r w:rsidR="000B0CC0" w:rsidRPr="00B5128B">
          <w:rPr>
            <w:noProof/>
            <w:sz w:val="20"/>
          </w:rPr>
          <w:fldChar w:fldCharType="separate"/>
        </w:r>
        <w:r w:rsidR="002114FC">
          <w:rPr>
            <w:noProof/>
            <w:sz w:val="20"/>
          </w:rPr>
          <w:t>37</w:t>
        </w:r>
        <w:r w:rsidR="000B0CC0" w:rsidRPr="00B5128B">
          <w:rPr>
            <w:noProof/>
            <w:sz w:val="20"/>
          </w:rPr>
          <w:fldChar w:fldCharType="end"/>
        </w:r>
      </w:hyperlink>
    </w:p>
    <w:p w14:paraId="7C60DCC0" w14:textId="1F015B6F" w:rsidR="000B0CC0" w:rsidRPr="00B5128B" w:rsidRDefault="000B0CC0">
      <w:pPr>
        <w:rPr>
          <w:b/>
          <w:noProof/>
          <w:sz w:val="20"/>
        </w:rPr>
      </w:pPr>
      <w:r w:rsidRPr="00B5128B">
        <w:rPr>
          <w:b/>
          <w:noProof/>
          <w:sz w:val="20"/>
        </w:rPr>
        <w:fldChar w:fldCharType="end"/>
      </w:r>
      <w:r w:rsidRPr="00B5128B">
        <w:rPr>
          <w:b/>
          <w:noProof/>
          <w:sz w:val="20"/>
        </w:rPr>
        <w:fldChar w:fldCharType="begin"/>
      </w:r>
      <w:r w:rsidRPr="00B5128B">
        <w:rPr>
          <w:b/>
          <w:noProof/>
          <w:sz w:val="20"/>
        </w:rPr>
        <w:instrText xml:space="preserve"> SEQ ccount \h \r0 </w:instrText>
      </w:r>
      <w:r w:rsidRPr="00B5128B">
        <w:rPr>
          <w:b/>
          <w:noProof/>
          <w:sz w:val="20"/>
        </w:rPr>
        <w:fldChar w:fldCharType="end"/>
      </w:r>
    </w:p>
    <w:p w14:paraId="3AAFAB20" w14:textId="77777777" w:rsidR="000B0CC0" w:rsidRPr="00B5128B" w:rsidRDefault="000B0CC0">
      <w:pPr>
        <w:keepNext/>
        <w:spacing w:after="240"/>
        <w:rPr>
          <w:b/>
          <w:noProof/>
          <w:sz w:val="20"/>
        </w:rPr>
      </w:pPr>
      <w:r w:rsidRPr="00B5128B">
        <w:rPr>
          <w:b/>
          <w:noProof/>
          <w:sz w:val="20"/>
        </w:rPr>
        <w:t>Tables</w:t>
      </w:r>
    </w:p>
    <w:p w14:paraId="65FA8729" w14:textId="3498FA67" w:rsidR="000B0CC0" w:rsidRPr="00B5128B" w:rsidRDefault="000B0CC0" w:rsidP="00573767">
      <w:pPr>
        <w:pStyle w:val="TOC2"/>
        <w:tabs>
          <w:tab w:val="left" w:pos="851"/>
        </w:tabs>
        <w:rPr>
          <w:rFonts w:asciiTheme="minorHAnsi" w:eastAsiaTheme="minorEastAsia" w:hAnsiTheme="minorHAnsi" w:cstheme="minorBidi"/>
          <w:noProof/>
          <w:sz w:val="20"/>
          <w:lang w:eastAsia="en-GB"/>
        </w:rPr>
      </w:pPr>
      <w:r w:rsidRPr="00B5128B">
        <w:rPr>
          <w:b/>
          <w:noProof/>
          <w:sz w:val="20"/>
        </w:rPr>
        <w:fldChar w:fldCharType="begin"/>
      </w:r>
      <w:r w:rsidRPr="00B5128B">
        <w:rPr>
          <w:b/>
          <w:noProof/>
          <w:sz w:val="20"/>
        </w:rPr>
        <w:instrText xml:space="preserve"> TOC \f t \h</w:instrText>
      </w:r>
      <w:r w:rsidRPr="00B5128B">
        <w:rPr>
          <w:b/>
          <w:noProof/>
          <w:sz w:val="20"/>
        </w:rPr>
        <w:fldChar w:fldCharType="separate"/>
      </w:r>
      <w:hyperlink w:anchor="_Toc416860240" w:history="1">
        <w:r w:rsidRPr="00B5128B">
          <w:rPr>
            <w:rStyle w:val="Hyperlink"/>
            <w:noProof/>
            <w:sz w:val="20"/>
          </w:rPr>
          <w:t xml:space="preserve">1. </w:t>
        </w:r>
        <w:r w:rsidRPr="00B5128B">
          <w:rPr>
            <w:rStyle w:val="Hyperlink"/>
            <w:noProof/>
            <w:sz w:val="20"/>
          </w:rPr>
          <w:tab/>
          <w:t>Example of tax data tabulation for the United States (2007)</w:t>
        </w:r>
        <w:r w:rsidRPr="00B5128B">
          <w:rPr>
            <w:noProof/>
            <w:sz w:val="20"/>
          </w:rPr>
          <w:tab/>
        </w:r>
        <w:r w:rsidRPr="00B5128B">
          <w:rPr>
            <w:noProof/>
            <w:sz w:val="20"/>
          </w:rPr>
          <w:fldChar w:fldCharType="begin"/>
        </w:r>
        <w:r w:rsidRPr="00B5128B">
          <w:rPr>
            <w:noProof/>
            <w:sz w:val="20"/>
          </w:rPr>
          <w:instrText xml:space="preserve"> PAGEREF _Toc416860240 \h </w:instrText>
        </w:r>
        <w:r w:rsidRPr="00B5128B">
          <w:rPr>
            <w:noProof/>
            <w:sz w:val="20"/>
          </w:rPr>
        </w:r>
        <w:r w:rsidRPr="00B5128B">
          <w:rPr>
            <w:noProof/>
            <w:sz w:val="20"/>
          </w:rPr>
          <w:fldChar w:fldCharType="separate"/>
        </w:r>
        <w:r w:rsidR="002114FC">
          <w:rPr>
            <w:noProof/>
            <w:sz w:val="20"/>
          </w:rPr>
          <w:t>10</w:t>
        </w:r>
        <w:r w:rsidRPr="00B5128B">
          <w:rPr>
            <w:noProof/>
            <w:sz w:val="20"/>
          </w:rPr>
          <w:fldChar w:fldCharType="end"/>
        </w:r>
      </w:hyperlink>
    </w:p>
    <w:p w14:paraId="57200FCD" w14:textId="6BCB1855" w:rsidR="000B0CC0" w:rsidRPr="00B5128B" w:rsidRDefault="00A56D55" w:rsidP="00573767">
      <w:pPr>
        <w:pStyle w:val="TOC2"/>
        <w:tabs>
          <w:tab w:val="left" w:pos="851"/>
          <w:tab w:val="left" w:pos="1320"/>
        </w:tabs>
        <w:rPr>
          <w:rFonts w:asciiTheme="minorHAnsi" w:eastAsiaTheme="minorEastAsia" w:hAnsiTheme="minorHAnsi" w:cstheme="minorBidi"/>
          <w:noProof/>
          <w:sz w:val="20"/>
          <w:lang w:eastAsia="en-GB"/>
        </w:rPr>
      </w:pPr>
      <w:hyperlink w:anchor="_Toc416860241" w:history="1">
        <w:r w:rsidR="000B0CC0" w:rsidRPr="00B5128B">
          <w:rPr>
            <w:rStyle w:val="Hyperlink"/>
            <w:noProof/>
            <w:sz w:val="20"/>
            <w:lang w:eastAsia="en-GB"/>
          </w:rPr>
          <w:t>2.</w:t>
        </w:r>
        <w:r w:rsidR="000B0CC0" w:rsidRPr="00B5128B">
          <w:rPr>
            <w:rFonts w:asciiTheme="minorHAnsi" w:eastAsiaTheme="minorEastAsia" w:hAnsiTheme="minorHAnsi" w:cstheme="minorBidi"/>
            <w:noProof/>
            <w:sz w:val="20"/>
            <w:lang w:eastAsia="en-GB"/>
          </w:rPr>
          <w:tab/>
        </w:r>
        <w:r w:rsidR="000B0CC0" w:rsidRPr="00B5128B">
          <w:rPr>
            <w:rStyle w:val="Hyperlink"/>
            <w:noProof/>
            <w:sz w:val="20"/>
            <w:lang w:eastAsia="en-GB"/>
          </w:rPr>
          <w:t xml:space="preserve">Summary of the differences between the OECD data and the World Top Incomes Database </w:t>
        </w:r>
        <w:r w:rsidR="000B0CC0" w:rsidRPr="00B5128B">
          <w:rPr>
            <w:rStyle w:val="Hyperlink"/>
            <w:noProof/>
            <w:sz w:val="20"/>
            <w:lang w:eastAsia="en-GB"/>
          </w:rPr>
          <w:tab/>
        </w:r>
        <w:r w:rsidR="000B0CC0" w:rsidRPr="00B5128B">
          <w:rPr>
            <w:rStyle w:val="Hyperlink"/>
            <w:noProof/>
            <w:sz w:val="20"/>
            <w:lang w:eastAsia="en-GB"/>
          </w:rPr>
          <w:br/>
        </w:r>
        <w:r w:rsidR="000B0CC0" w:rsidRPr="00B5128B">
          <w:rPr>
            <w:rStyle w:val="Hyperlink"/>
            <w:noProof/>
            <w:sz w:val="20"/>
            <w:lang w:eastAsia="en-GB"/>
          </w:rPr>
          <w:tab/>
        </w:r>
        <w:r w:rsidR="000B0CC0" w:rsidRPr="00B5128B">
          <w:rPr>
            <w:rStyle w:val="Hyperlink"/>
            <w:noProof/>
            <w:sz w:val="20"/>
            <w:lang w:eastAsia="en-GB"/>
          </w:rPr>
          <w:tab/>
        </w:r>
        <w:r w:rsidR="000B0CC0" w:rsidRPr="00B5128B">
          <w:rPr>
            <w:rStyle w:val="Hyperlink"/>
            <w:noProof/>
            <w:sz w:val="20"/>
            <w:lang w:eastAsia="en-GB"/>
          </w:rPr>
          <w:tab/>
        </w:r>
        <w:r w:rsidR="000B0CC0" w:rsidRPr="00B5128B">
          <w:rPr>
            <w:noProof/>
            <w:sz w:val="20"/>
          </w:rPr>
          <w:fldChar w:fldCharType="begin"/>
        </w:r>
        <w:r w:rsidR="000B0CC0" w:rsidRPr="00B5128B">
          <w:rPr>
            <w:noProof/>
            <w:sz w:val="20"/>
          </w:rPr>
          <w:instrText xml:space="preserve"> PAGEREF _Toc416860241 \h </w:instrText>
        </w:r>
        <w:r w:rsidR="000B0CC0" w:rsidRPr="00B5128B">
          <w:rPr>
            <w:noProof/>
            <w:sz w:val="20"/>
          </w:rPr>
        </w:r>
        <w:r w:rsidR="000B0CC0" w:rsidRPr="00B5128B">
          <w:rPr>
            <w:noProof/>
            <w:sz w:val="20"/>
          </w:rPr>
          <w:fldChar w:fldCharType="separate"/>
        </w:r>
        <w:r w:rsidR="002114FC">
          <w:rPr>
            <w:noProof/>
            <w:sz w:val="20"/>
          </w:rPr>
          <w:t>17</w:t>
        </w:r>
        <w:r w:rsidR="000B0CC0" w:rsidRPr="00B5128B">
          <w:rPr>
            <w:noProof/>
            <w:sz w:val="20"/>
          </w:rPr>
          <w:fldChar w:fldCharType="end"/>
        </w:r>
      </w:hyperlink>
    </w:p>
    <w:p w14:paraId="1CD00D59" w14:textId="07B40373" w:rsidR="000B0CC0" w:rsidRPr="00B5128B" w:rsidRDefault="000B0CC0" w:rsidP="00573767">
      <w:pPr>
        <w:tabs>
          <w:tab w:val="clear" w:pos="850"/>
          <w:tab w:val="left" w:pos="851"/>
        </w:tabs>
        <w:rPr>
          <w:sz w:val="20"/>
        </w:rPr>
      </w:pPr>
      <w:r w:rsidRPr="00B5128B">
        <w:rPr>
          <w:b/>
          <w:noProof/>
          <w:sz w:val="20"/>
        </w:rPr>
        <w:fldChar w:fldCharType="end"/>
      </w:r>
      <w:r w:rsidRPr="00B5128B">
        <w:rPr>
          <w:b/>
          <w:noProof/>
          <w:sz w:val="20"/>
        </w:rPr>
        <w:fldChar w:fldCharType="begin"/>
      </w:r>
      <w:r w:rsidRPr="00B5128B">
        <w:rPr>
          <w:b/>
          <w:noProof/>
          <w:sz w:val="20"/>
        </w:rPr>
        <w:instrText xml:space="preserve"> SEQ Table \h \r0 </w:instrText>
      </w:r>
      <w:r w:rsidRPr="00B5128B">
        <w:rPr>
          <w:b/>
          <w:noProof/>
          <w:sz w:val="20"/>
        </w:rPr>
        <w:fldChar w:fldCharType="end"/>
      </w:r>
    </w:p>
    <w:p w14:paraId="6E0A64A1" w14:textId="77777777" w:rsidR="000B0CC0" w:rsidRPr="00B5128B" w:rsidRDefault="000B0CC0" w:rsidP="00573767">
      <w:pPr>
        <w:keepNext/>
        <w:tabs>
          <w:tab w:val="clear" w:pos="850"/>
          <w:tab w:val="left" w:pos="851"/>
        </w:tabs>
        <w:spacing w:after="240"/>
        <w:rPr>
          <w:b/>
          <w:noProof/>
          <w:sz w:val="20"/>
        </w:rPr>
      </w:pPr>
      <w:r w:rsidRPr="00B5128B">
        <w:rPr>
          <w:b/>
          <w:noProof/>
          <w:sz w:val="20"/>
        </w:rPr>
        <w:t>Figures</w:t>
      </w:r>
    </w:p>
    <w:p w14:paraId="54C09547" w14:textId="47B4151B" w:rsidR="000B0CC0" w:rsidRPr="00B5128B" w:rsidRDefault="000B0CC0" w:rsidP="00573767">
      <w:pPr>
        <w:pStyle w:val="TOC2"/>
        <w:tabs>
          <w:tab w:val="left" w:pos="851"/>
          <w:tab w:val="left" w:pos="1320"/>
        </w:tabs>
        <w:rPr>
          <w:rFonts w:asciiTheme="minorHAnsi" w:eastAsiaTheme="minorEastAsia" w:hAnsiTheme="minorHAnsi" w:cstheme="minorBidi"/>
          <w:noProof/>
          <w:sz w:val="20"/>
          <w:lang w:eastAsia="en-GB"/>
        </w:rPr>
      </w:pPr>
      <w:r w:rsidRPr="00B5128B">
        <w:rPr>
          <w:b/>
          <w:noProof/>
          <w:sz w:val="20"/>
        </w:rPr>
        <w:fldChar w:fldCharType="begin"/>
      </w:r>
      <w:r w:rsidRPr="00B5128B">
        <w:rPr>
          <w:b/>
          <w:noProof/>
          <w:sz w:val="20"/>
        </w:rPr>
        <w:instrText xml:space="preserve"> TOC \f f \h</w:instrText>
      </w:r>
      <w:r w:rsidRPr="00B5128B">
        <w:rPr>
          <w:b/>
          <w:noProof/>
          <w:sz w:val="20"/>
        </w:rPr>
        <w:fldChar w:fldCharType="separate"/>
      </w:r>
      <w:hyperlink w:anchor="_Toc416860583" w:history="1">
        <w:r w:rsidRPr="00B5128B">
          <w:rPr>
            <w:rStyle w:val="Hyperlink"/>
            <w:noProof/>
            <w:sz w:val="20"/>
          </w:rPr>
          <w:t>1.</w:t>
        </w:r>
        <w:r w:rsidRPr="00B5128B">
          <w:rPr>
            <w:rFonts w:asciiTheme="minorHAnsi" w:eastAsiaTheme="minorEastAsia" w:hAnsiTheme="minorHAnsi" w:cstheme="minorBidi"/>
            <w:noProof/>
            <w:sz w:val="20"/>
            <w:lang w:eastAsia="en-GB"/>
          </w:rPr>
          <w:tab/>
        </w:r>
        <w:r w:rsidRPr="00B5128B">
          <w:rPr>
            <w:rStyle w:val="Hyperlink"/>
            <w:noProof/>
            <w:sz w:val="20"/>
          </w:rPr>
          <w:t>Reversed Pareto Coefficient : comparison between IDD a</w:t>
        </w:r>
        <w:r w:rsidR="00573767">
          <w:rPr>
            <w:rStyle w:val="Hyperlink"/>
            <w:noProof/>
            <w:sz w:val="20"/>
          </w:rPr>
          <w:t xml:space="preserve">nd WTID data for selected OECD </w:t>
        </w:r>
        <w:r w:rsidRPr="00B5128B">
          <w:rPr>
            <w:rStyle w:val="Hyperlink"/>
            <w:noProof/>
            <w:sz w:val="20"/>
          </w:rPr>
          <w:t>countries</w:t>
        </w:r>
        <w:r w:rsidRPr="00B5128B">
          <w:rPr>
            <w:noProof/>
            <w:sz w:val="20"/>
          </w:rPr>
          <w:tab/>
        </w:r>
        <w:r w:rsidRPr="00B5128B">
          <w:rPr>
            <w:noProof/>
            <w:sz w:val="20"/>
          </w:rPr>
          <w:fldChar w:fldCharType="begin"/>
        </w:r>
        <w:r w:rsidRPr="00B5128B">
          <w:rPr>
            <w:noProof/>
            <w:sz w:val="20"/>
          </w:rPr>
          <w:instrText xml:space="preserve"> PAGEREF _Toc416860583 \h </w:instrText>
        </w:r>
        <w:r w:rsidRPr="00B5128B">
          <w:rPr>
            <w:noProof/>
            <w:sz w:val="20"/>
          </w:rPr>
        </w:r>
        <w:r w:rsidRPr="00B5128B">
          <w:rPr>
            <w:noProof/>
            <w:sz w:val="20"/>
          </w:rPr>
          <w:fldChar w:fldCharType="separate"/>
        </w:r>
        <w:r w:rsidR="002114FC">
          <w:rPr>
            <w:noProof/>
            <w:sz w:val="20"/>
          </w:rPr>
          <w:t>15</w:t>
        </w:r>
        <w:r w:rsidRPr="00B5128B">
          <w:rPr>
            <w:noProof/>
            <w:sz w:val="20"/>
          </w:rPr>
          <w:fldChar w:fldCharType="end"/>
        </w:r>
      </w:hyperlink>
    </w:p>
    <w:p w14:paraId="7B2BA016" w14:textId="12D79630" w:rsidR="000B0CC0" w:rsidRPr="00B5128B" w:rsidRDefault="00A56D55" w:rsidP="00573767">
      <w:pPr>
        <w:pStyle w:val="TOC2"/>
        <w:tabs>
          <w:tab w:val="left" w:pos="851"/>
          <w:tab w:val="left" w:pos="1320"/>
        </w:tabs>
        <w:rPr>
          <w:rFonts w:asciiTheme="minorHAnsi" w:eastAsiaTheme="minorEastAsia" w:hAnsiTheme="minorHAnsi" w:cstheme="minorBidi"/>
          <w:noProof/>
          <w:sz w:val="20"/>
          <w:lang w:eastAsia="en-GB"/>
        </w:rPr>
      </w:pPr>
      <w:hyperlink w:anchor="_Toc416860584" w:history="1">
        <w:r w:rsidR="000B0CC0" w:rsidRPr="00B5128B">
          <w:rPr>
            <w:rStyle w:val="Hyperlink"/>
            <w:noProof/>
            <w:sz w:val="20"/>
          </w:rPr>
          <w:t>2.</w:t>
        </w:r>
        <w:r w:rsidR="000B0CC0" w:rsidRPr="00B5128B">
          <w:rPr>
            <w:rFonts w:asciiTheme="minorHAnsi" w:eastAsiaTheme="minorEastAsia" w:hAnsiTheme="minorHAnsi" w:cstheme="minorBidi"/>
            <w:noProof/>
            <w:sz w:val="20"/>
            <w:lang w:eastAsia="en-GB"/>
          </w:rPr>
          <w:tab/>
        </w:r>
        <w:r w:rsidR="000B0CC0" w:rsidRPr="00B5128B">
          <w:rPr>
            <w:rStyle w:val="Hyperlink"/>
            <w:noProof/>
            <w:sz w:val="20"/>
          </w:rPr>
          <w:t>Top 1% income shares : comparison between IDD a</w:t>
        </w:r>
        <w:r w:rsidR="00573767">
          <w:rPr>
            <w:rStyle w:val="Hyperlink"/>
            <w:noProof/>
            <w:sz w:val="20"/>
          </w:rPr>
          <w:t xml:space="preserve">nd WTID data for selected OECD </w:t>
        </w:r>
        <w:r w:rsidR="000B0CC0" w:rsidRPr="00B5128B">
          <w:rPr>
            <w:rStyle w:val="Hyperlink"/>
            <w:noProof/>
            <w:sz w:val="20"/>
          </w:rPr>
          <w:t>countries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_Toc416860584 \h </w:instrText>
        </w:r>
        <w:r w:rsidR="000B0CC0" w:rsidRPr="00B5128B">
          <w:rPr>
            <w:noProof/>
            <w:sz w:val="20"/>
          </w:rPr>
        </w:r>
        <w:r w:rsidR="000B0CC0" w:rsidRPr="00B5128B">
          <w:rPr>
            <w:noProof/>
            <w:sz w:val="20"/>
          </w:rPr>
          <w:fldChar w:fldCharType="separate"/>
        </w:r>
        <w:r w:rsidR="002114FC">
          <w:rPr>
            <w:noProof/>
            <w:sz w:val="20"/>
          </w:rPr>
          <w:t>16</w:t>
        </w:r>
        <w:r w:rsidR="000B0CC0" w:rsidRPr="00B5128B">
          <w:rPr>
            <w:noProof/>
            <w:sz w:val="20"/>
          </w:rPr>
          <w:fldChar w:fldCharType="end"/>
        </w:r>
      </w:hyperlink>
    </w:p>
    <w:p w14:paraId="53A977E2" w14:textId="65509482" w:rsidR="000B0CC0" w:rsidRPr="00B5128B" w:rsidRDefault="00A56D55" w:rsidP="00573767">
      <w:pPr>
        <w:pStyle w:val="TOC2"/>
        <w:tabs>
          <w:tab w:val="left" w:pos="851"/>
          <w:tab w:val="left" w:pos="1320"/>
        </w:tabs>
        <w:rPr>
          <w:rFonts w:asciiTheme="minorHAnsi" w:eastAsiaTheme="minorEastAsia" w:hAnsiTheme="minorHAnsi" w:cstheme="minorBidi"/>
          <w:noProof/>
          <w:sz w:val="20"/>
          <w:lang w:eastAsia="en-GB"/>
        </w:rPr>
      </w:pPr>
      <w:hyperlink w:anchor="_Toc416860585" w:history="1">
        <w:r w:rsidR="000B0CC0" w:rsidRPr="00B5128B">
          <w:rPr>
            <w:rStyle w:val="Hyperlink"/>
            <w:noProof/>
            <w:sz w:val="20"/>
            <w:lang w:eastAsia="en-GB"/>
          </w:rPr>
          <w:t>3.</w:t>
        </w:r>
        <w:r w:rsidR="000B0CC0" w:rsidRPr="00B5128B">
          <w:rPr>
            <w:rFonts w:asciiTheme="minorHAnsi" w:eastAsiaTheme="minorEastAsia" w:hAnsiTheme="minorHAnsi" w:cstheme="minorBidi"/>
            <w:noProof/>
            <w:sz w:val="20"/>
            <w:lang w:eastAsia="en-GB"/>
          </w:rPr>
          <w:tab/>
        </w:r>
        <w:r w:rsidR="000B0CC0" w:rsidRPr="00B5128B">
          <w:rPr>
            <w:rStyle w:val="Hyperlink"/>
            <w:noProof/>
            <w:sz w:val="20"/>
            <w:lang w:eastAsia="en-GB"/>
          </w:rPr>
          <w:t>Top 1% income shares in OECD countries (2005 and 2010)</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_Toc416860585 \h </w:instrText>
        </w:r>
        <w:r w:rsidR="000B0CC0" w:rsidRPr="00B5128B">
          <w:rPr>
            <w:noProof/>
            <w:sz w:val="20"/>
          </w:rPr>
        </w:r>
        <w:r w:rsidR="000B0CC0" w:rsidRPr="00B5128B">
          <w:rPr>
            <w:noProof/>
            <w:sz w:val="20"/>
          </w:rPr>
          <w:fldChar w:fldCharType="separate"/>
        </w:r>
        <w:r w:rsidR="002114FC">
          <w:rPr>
            <w:noProof/>
            <w:sz w:val="20"/>
          </w:rPr>
          <w:t>18</w:t>
        </w:r>
        <w:r w:rsidR="000B0CC0" w:rsidRPr="00B5128B">
          <w:rPr>
            <w:noProof/>
            <w:sz w:val="20"/>
          </w:rPr>
          <w:fldChar w:fldCharType="end"/>
        </w:r>
      </w:hyperlink>
    </w:p>
    <w:p w14:paraId="2768F7BD" w14:textId="468BA447" w:rsidR="000B0CC0" w:rsidRPr="00B5128B" w:rsidRDefault="00A56D55" w:rsidP="00573767">
      <w:pPr>
        <w:pStyle w:val="TOC2"/>
        <w:tabs>
          <w:tab w:val="left" w:pos="851"/>
          <w:tab w:val="left" w:pos="1320"/>
        </w:tabs>
        <w:rPr>
          <w:rFonts w:asciiTheme="minorHAnsi" w:eastAsiaTheme="minorEastAsia" w:hAnsiTheme="minorHAnsi" w:cstheme="minorBidi"/>
          <w:noProof/>
          <w:sz w:val="20"/>
          <w:lang w:eastAsia="en-GB"/>
        </w:rPr>
      </w:pPr>
      <w:hyperlink w:anchor="_Toc416860586" w:history="1">
        <w:r w:rsidR="000B0CC0" w:rsidRPr="00B5128B">
          <w:rPr>
            <w:rStyle w:val="Hyperlink"/>
            <w:noProof/>
            <w:sz w:val="20"/>
          </w:rPr>
          <w:t>4.</w:t>
        </w:r>
        <w:r w:rsidR="000B0CC0" w:rsidRPr="00B5128B">
          <w:rPr>
            <w:rFonts w:asciiTheme="minorHAnsi" w:eastAsiaTheme="minorEastAsia" w:hAnsiTheme="minorHAnsi" w:cstheme="minorBidi"/>
            <w:noProof/>
            <w:sz w:val="20"/>
            <w:lang w:eastAsia="en-GB"/>
          </w:rPr>
          <w:tab/>
        </w:r>
        <w:r w:rsidR="000B0CC0" w:rsidRPr="00B5128B">
          <w:rPr>
            <w:rStyle w:val="Hyperlink"/>
            <w:noProof/>
            <w:sz w:val="20"/>
          </w:rPr>
          <w:t>Adjusted vs. non-adjusted mean income (as a multiple of median income)</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_Toc416860586 \h </w:instrText>
        </w:r>
        <w:r w:rsidR="000B0CC0" w:rsidRPr="00B5128B">
          <w:rPr>
            <w:noProof/>
            <w:sz w:val="20"/>
          </w:rPr>
        </w:r>
        <w:r w:rsidR="000B0CC0" w:rsidRPr="00B5128B">
          <w:rPr>
            <w:noProof/>
            <w:sz w:val="20"/>
          </w:rPr>
          <w:fldChar w:fldCharType="separate"/>
        </w:r>
        <w:r w:rsidR="002114FC">
          <w:rPr>
            <w:noProof/>
            <w:sz w:val="20"/>
          </w:rPr>
          <w:t>20</w:t>
        </w:r>
        <w:r w:rsidR="000B0CC0" w:rsidRPr="00B5128B">
          <w:rPr>
            <w:noProof/>
            <w:sz w:val="20"/>
          </w:rPr>
          <w:fldChar w:fldCharType="end"/>
        </w:r>
      </w:hyperlink>
    </w:p>
    <w:p w14:paraId="6C62F199" w14:textId="77777777" w:rsidR="008F69C5" w:rsidRDefault="000B0CC0" w:rsidP="00573767">
      <w:pPr>
        <w:pStyle w:val="TOC2"/>
        <w:tabs>
          <w:tab w:val="left" w:pos="851"/>
          <w:tab w:val="left" w:pos="1320"/>
        </w:tabs>
        <w:rPr>
          <w:rStyle w:val="Hyperlink"/>
          <w:noProof/>
          <w:sz w:val="20"/>
        </w:rPr>
      </w:pPr>
      <w:r w:rsidRPr="008F69C5">
        <w:rPr>
          <w:rStyle w:val="Hyperlink"/>
          <w:noProof/>
          <w:sz w:val="20"/>
        </w:rPr>
        <w:fldChar w:fldCharType="begin"/>
      </w:r>
      <w:r w:rsidRPr="00B5128B">
        <w:rPr>
          <w:rStyle w:val="Hyperlink"/>
          <w:noProof/>
          <w:sz w:val="20"/>
        </w:rPr>
        <w:instrText xml:space="preserve"> </w:instrText>
      </w:r>
      <w:r w:rsidRPr="00B5128B">
        <w:rPr>
          <w:noProof/>
          <w:sz w:val="20"/>
        </w:rPr>
        <w:instrText>HYPERLINK \l "_Toc416860587"</w:instrText>
      </w:r>
      <w:r w:rsidRPr="00B5128B">
        <w:rPr>
          <w:rStyle w:val="Hyperlink"/>
          <w:noProof/>
          <w:sz w:val="20"/>
        </w:rPr>
        <w:instrText xml:space="preserve"> </w:instrText>
      </w:r>
      <w:r w:rsidRPr="008F69C5">
        <w:rPr>
          <w:rStyle w:val="Hyperlink"/>
          <w:noProof/>
          <w:sz w:val="20"/>
        </w:rPr>
        <w:fldChar w:fldCharType="separate"/>
      </w:r>
      <w:r w:rsidRPr="00B5128B">
        <w:rPr>
          <w:rStyle w:val="Hyperlink"/>
          <w:noProof/>
          <w:sz w:val="20"/>
        </w:rPr>
        <w:t>5.</w:t>
      </w:r>
      <w:r w:rsidRPr="00B5128B">
        <w:rPr>
          <w:rFonts w:asciiTheme="minorHAnsi" w:eastAsiaTheme="minorEastAsia" w:hAnsiTheme="minorHAnsi" w:cstheme="minorBidi"/>
          <w:noProof/>
          <w:sz w:val="20"/>
          <w:lang w:eastAsia="en-GB"/>
        </w:rPr>
        <w:tab/>
      </w:r>
      <w:r w:rsidRPr="00B5128B">
        <w:rPr>
          <w:rStyle w:val="Hyperlink"/>
          <w:noProof/>
          <w:sz w:val="20"/>
        </w:rPr>
        <w:t xml:space="preserve">Adjusted vs. unadjusted top decile mean income for selected OECD countries (as a multiple </w:t>
      </w:r>
      <w:r w:rsidRPr="00B5128B">
        <w:rPr>
          <w:rStyle w:val="Hyperlink"/>
          <w:noProof/>
          <w:sz w:val="20"/>
        </w:rPr>
        <w:tab/>
        <w:t>of</w:t>
      </w:r>
    </w:p>
    <w:p w14:paraId="00F4D0F3" w14:textId="629A8B24" w:rsidR="000B0CC0" w:rsidRPr="008F69C5" w:rsidRDefault="008F69C5" w:rsidP="00573767">
      <w:pPr>
        <w:pStyle w:val="TOC2"/>
        <w:tabs>
          <w:tab w:val="left" w:pos="851"/>
          <w:tab w:val="left" w:pos="1320"/>
        </w:tabs>
        <w:rPr>
          <w:rFonts w:asciiTheme="minorHAnsi" w:eastAsiaTheme="minorEastAsia" w:hAnsiTheme="minorHAnsi" w:cstheme="minorBidi"/>
          <w:noProof/>
          <w:sz w:val="20"/>
          <w:lang w:eastAsia="en-GB"/>
        </w:rPr>
      </w:pPr>
      <w:r>
        <w:rPr>
          <w:rStyle w:val="Hyperlink"/>
          <w:noProof/>
          <w:sz w:val="20"/>
        </w:rPr>
        <w:tab/>
      </w:r>
      <w:r w:rsidR="000B0CC0" w:rsidRPr="008F69C5">
        <w:rPr>
          <w:rStyle w:val="Hyperlink"/>
          <w:noProof/>
          <w:sz w:val="20"/>
        </w:rPr>
        <w:t>median income)</w:t>
      </w:r>
      <w:r w:rsidR="000B0CC0" w:rsidRPr="008F69C5">
        <w:rPr>
          <w:noProof/>
          <w:sz w:val="20"/>
        </w:rPr>
        <w:tab/>
      </w:r>
      <w:r w:rsidR="000B0CC0" w:rsidRPr="008F69C5">
        <w:rPr>
          <w:noProof/>
          <w:sz w:val="20"/>
        </w:rPr>
        <w:fldChar w:fldCharType="begin"/>
      </w:r>
      <w:r w:rsidR="000B0CC0" w:rsidRPr="008F69C5">
        <w:rPr>
          <w:noProof/>
          <w:sz w:val="20"/>
        </w:rPr>
        <w:instrText xml:space="preserve"> PAGEREF _Toc416860587 \h </w:instrText>
      </w:r>
      <w:r w:rsidR="000B0CC0" w:rsidRPr="008F69C5">
        <w:rPr>
          <w:noProof/>
          <w:sz w:val="20"/>
        </w:rPr>
      </w:r>
      <w:r w:rsidR="000B0CC0" w:rsidRPr="008F69C5">
        <w:rPr>
          <w:noProof/>
          <w:sz w:val="20"/>
        </w:rPr>
        <w:fldChar w:fldCharType="separate"/>
      </w:r>
      <w:r w:rsidR="002114FC">
        <w:rPr>
          <w:noProof/>
          <w:sz w:val="20"/>
        </w:rPr>
        <w:t>21</w:t>
      </w:r>
      <w:r w:rsidR="000B0CC0" w:rsidRPr="008F69C5">
        <w:rPr>
          <w:noProof/>
          <w:sz w:val="20"/>
        </w:rPr>
        <w:fldChar w:fldCharType="end"/>
      </w:r>
      <w:r w:rsidR="000B0CC0" w:rsidRPr="008F69C5">
        <w:rPr>
          <w:rStyle w:val="Hyperlink"/>
          <w:noProof/>
          <w:sz w:val="20"/>
        </w:rPr>
        <w:fldChar w:fldCharType="end"/>
      </w:r>
    </w:p>
    <w:p w14:paraId="4B00B219" w14:textId="46C82777" w:rsidR="000B0CC0" w:rsidRPr="00B5128B" w:rsidRDefault="00A56D55" w:rsidP="00573767">
      <w:pPr>
        <w:pStyle w:val="TOC2"/>
        <w:tabs>
          <w:tab w:val="left" w:pos="851"/>
          <w:tab w:val="left" w:pos="1320"/>
        </w:tabs>
        <w:rPr>
          <w:rFonts w:asciiTheme="minorHAnsi" w:eastAsiaTheme="minorEastAsia" w:hAnsiTheme="minorHAnsi" w:cstheme="minorBidi"/>
          <w:noProof/>
          <w:sz w:val="20"/>
          <w:lang w:eastAsia="en-GB"/>
        </w:rPr>
      </w:pPr>
      <w:hyperlink w:anchor="_Toc416860588" w:history="1">
        <w:r w:rsidR="000B0CC0" w:rsidRPr="00B5128B">
          <w:rPr>
            <w:rStyle w:val="Hyperlink"/>
            <w:noProof/>
            <w:sz w:val="20"/>
          </w:rPr>
          <w:t>6.</w:t>
        </w:r>
        <w:r w:rsidR="000B0CC0" w:rsidRPr="00B5128B">
          <w:rPr>
            <w:rFonts w:asciiTheme="minorHAnsi" w:eastAsiaTheme="minorEastAsia" w:hAnsiTheme="minorHAnsi" w:cstheme="minorBidi"/>
            <w:noProof/>
            <w:sz w:val="20"/>
            <w:lang w:eastAsia="en-GB"/>
          </w:rPr>
          <w:tab/>
        </w:r>
        <w:r w:rsidR="000B0CC0" w:rsidRPr="00B5128B">
          <w:rPr>
            <w:rStyle w:val="Hyperlink"/>
            <w:noProof/>
            <w:sz w:val="20"/>
          </w:rPr>
          <w:t>Impact of the adjustment on standard indexes of income inequality</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_Toc416860588 \h </w:instrText>
        </w:r>
        <w:r w:rsidR="000B0CC0" w:rsidRPr="00B5128B">
          <w:rPr>
            <w:noProof/>
            <w:sz w:val="20"/>
          </w:rPr>
        </w:r>
        <w:r w:rsidR="000B0CC0" w:rsidRPr="00B5128B">
          <w:rPr>
            <w:noProof/>
            <w:sz w:val="20"/>
          </w:rPr>
          <w:fldChar w:fldCharType="separate"/>
        </w:r>
        <w:r w:rsidR="002114FC">
          <w:rPr>
            <w:noProof/>
            <w:sz w:val="20"/>
          </w:rPr>
          <w:t>22</w:t>
        </w:r>
        <w:r w:rsidR="000B0CC0" w:rsidRPr="00B5128B">
          <w:rPr>
            <w:noProof/>
            <w:sz w:val="20"/>
          </w:rPr>
          <w:fldChar w:fldCharType="end"/>
        </w:r>
      </w:hyperlink>
    </w:p>
    <w:p w14:paraId="53CF09C2" w14:textId="73A979D7" w:rsidR="000B0CC0" w:rsidRPr="00B5128B" w:rsidRDefault="000B0CC0" w:rsidP="00573767">
      <w:pPr>
        <w:pStyle w:val="TOC2"/>
        <w:tabs>
          <w:tab w:val="left" w:pos="851"/>
          <w:tab w:val="left" w:pos="1320"/>
        </w:tabs>
        <w:rPr>
          <w:rStyle w:val="Hyperlink"/>
          <w:noProof/>
          <w:sz w:val="20"/>
        </w:rPr>
      </w:pPr>
      <w:r w:rsidRPr="00B5128B">
        <w:rPr>
          <w:rStyle w:val="Hyperlink"/>
          <w:noProof/>
          <w:sz w:val="20"/>
        </w:rPr>
        <w:fldChar w:fldCharType="begin"/>
      </w:r>
      <w:r w:rsidRPr="00B5128B">
        <w:rPr>
          <w:rStyle w:val="Hyperlink"/>
          <w:noProof/>
          <w:sz w:val="20"/>
        </w:rPr>
        <w:instrText xml:space="preserve"> </w:instrText>
      </w:r>
      <w:r w:rsidRPr="00B5128B">
        <w:rPr>
          <w:noProof/>
          <w:sz w:val="20"/>
        </w:rPr>
        <w:instrText>HYPERLINK \l "_Toc416860589"</w:instrText>
      </w:r>
      <w:r w:rsidRPr="00B5128B">
        <w:rPr>
          <w:rStyle w:val="Hyperlink"/>
          <w:noProof/>
          <w:sz w:val="20"/>
        </w:rPr>
        <w:instrText xml:space="preserve"> </w:instrText>
      </w:r>
      <w:r w:rsidRPr="00B5128B">
        <w:rPr>
          <w:rStyle w:val="Hyperlink"/>
          <w:noProof/>
          <w:sz w:val="20"/>
        </w:rPr>
        <w:fldChar w:fldCharType="separate"/>
      </w:r>
      <w:r w:rsidRPr="00B5128B">
        <w:rPr>
          <w:rStyle w:val="Hyperlink"/>
          <w:noProof/>
          <w:sz w:val="20"/>
        </w:rPr>
        <w:t>7.</w:t>
      </w:r>
      <w:r w:rsidRPr="00B5128B">
        <w:rPr>
          <w:rFonts w:asciiTheme="minorHAnsi" w:eastAsiaTheme="minorEastAsia" w:hAnsiTheme="minorHAnsi" w:cstheme="minorBidi"/>
          <w:noProof/>
          <w:sz w:val="20"/>
          <w:lang w:eastAsia="en-GB"/>
        </w:rPr>
        <w:tab/>
      </w:r>
      <w:r w:rsidRPr="00B5128B">
        <w:rPr>
          <w:rStyle w:val="Hyperlink"/>
          <w:noProof/>
          <w:sz w:val="20"/>
        </w:rPr>
        <w:t xml:space="preserve">Growth in household income across the distribution between the mid-1990s and </w:t>
      </w:r>
    </w:p>
    <w:p w14:paraId="74BD4F48" w14:textId="4ABF1123" w:rsidR="000B0CC0" w:rsidRPr="00B5128B" w:rsidRDefault="00B5128B" w:rsidP="00573767">
      <w:pPr>
        <w:pStyle w:val="TOC2"/>
        <w:tabs>
          <w:tab w:val="left" w:pos="851"/>
          <w:tab w:val="left" w:pos="1320"/>
        </w:tabs>
        <w:rPr>
          <w:rFonts w:asciiTheme="minorHAnsi" w:eastAsiaTheme="minorEastAsia" w:hAnsiTheme="minorHAnsi" w:cstheme="minorBidi"/>
          <w:noProof/>
          <w:sz w:val="20"/>
          <w:lang w:eastAsia="en-GB"/>
        </w:rPr>
      </w:pPr>
      <w:r w:rsidRPr="00B5128B">
        <w:rPr>
          <w:rStyle w:val="Hyperlink"/>
          <w:noProof/>
          <w:sz w:val="20"/>
        </w:rPr>
        <w:tab/>
      </w:r>
      <w:r w:rsidR="000B0CC0" w:rsidRPr="00B5128B">
        <w:rPr>
          <w:rStyle w:val="Hyperlink"/>
          <w:noProof/>
          <w:sz w:val="20"/>
        </w:rPr>
        <w:t>late 2000s: selected countries</w:t>
      </w:r>
      <w:r w:rsidR="000B0CC0" w:rsidRPr="00B5128B">
        <w:rPr>
          <w:noProof/>
          <w:sz w:val="20"/>
        </w:rPr>
        <w:tab/>
      </w:r>
      <w:r w:rsidR="000B0CC0" w:rsidRPr="00B5128B">
        <w:rPr>
          <w:noProof/>
          <w:sz w:val="20"/>
        </w:rPr>
        <w:fldChar w:fldCharType="begin"/>
      </w:r>
      <w:r w:rsidR="000B0CC0" w:rsidRPr="00B5128B">
        <w:rPr>
          <w:noProof/>
          <w:sz w:val="20"/>
        </w:rPr>
        <w:instrText xml:space="preserve"> PAGEREF _Toc416860589 \h </w:instrText>
      </w:r>
      <w:r w:rsidR="000B0CC0" w:rsidRPr="00B5128B">
        <w:rPr>
          <w:noProof/>
          <w:sz w:val="20"/>
        </w:rPr>
      </w:r>
      <w:r w:rsidR="000B0CC0" w:rsidRPr="00B5128B">
        <w:rPr>
          <w:noProof/>
          <w:sz w:val="20"/>
        </w:rPr>
        <w:fldChar w:fldCharType="separate"/>
      </w:r>
      <w:r w:rsidR="002114FC">
        <w:rPr>
          <w:noProof/>
          <w:sz w:val="20"/>
        </w:rPr>
        <w:t>24</w:t>
      </w:r>
      <w:r w:rsidR="000B0CC0" w:rsidRPr="00B5128B">
        <w:rPr>
          <w:noProof/>
          <w:sz w:val="20"/>
        </w:rPr>
        <w:fldChar w:fldCharType="end"/>
      </w:r>
      <w:r w:rsidR="000B0CC0" w:rsidRPr="00B5128B">
        <w:rPr>
          <w:rStyle w:val="Hyperlink"/>
          <w:noProof/>
          <w:sz w:val="20"/>
        </w:rPr>
        <w:fldChar w:fldCharType="end"/>
      </w:r>
    </w:p>
    <w:p w14:paraId="1FC35526" w14:textId="5B7656F1" w:rsidR="000B0CC0" w:rsidRPr="00B5128B" w:rsidRDefault="000B0CC0" w:rsidP="00573767">
      <w:pPr>
        <w:tabs>
          <w:tab w:val="clear" w:pos="850"/>
          <w:tab w:val="left" w:pos="851"/>
        </w:tabs>
        <w:rPr>
          <w:b/>
          <w:noProof/>
          <w:sz w:val="20"/>
        </w:rPr>
      </w:pPr>
      <w:r w:rsidRPr="00B5128B">
        <w:rPr>
          <w:b/>
          <w:noProof/>
          <w:sz w:val="20"/>
        </w:rPr>
        <w:fldChar w:fldCharType="end"/>
      </w:r>
      <w:r w:rsidRPr="00B5128B">
        <w:rPr>
          <w:b/>
          <w:noProof/>
          <w:sz w:val="20"/>
        </w:rPr>
        <w:fldChar w:fldCharType="begin"/>
      </w:r>
      <w:r w:rsidRPr="00B5128B">
        <w:rPr>
          <w:b/>
          <w:noProof/>
          <w:sz w:val="20"/>
        </w:rPr>
        <w:instrText xml:space="preserve"> SEQ Figure \h \r0 </w:instrText>
      </w:r>
      <w:r w:rsidRPr="00B5128B">
        <w:rPr>
          <w:b/>
          <w:noProof/>
          <w:sz w:val="20"/>
        </w:rPr>
        <w:fldChar w:fldCharType="end"/>
      </w:r>
    </w:p>
    <w:p w14:paraId="52F79BDB" w14:textId="77777777" w:rsidR="000B0CC0" w:rsidRPr="00B5128B" w:rsidRDefault="000B0CC0" w:rsidP="008F69C5">
      <w:pPr>
        <w:keepNext/>
        <w:tabs>
          <w:tab w:val="left" w:pos="993"/>
        </w:tabs>
        <w:spacing w:after="240"/>
        <w:rPr>
          <w:b/>
          <w:noProof/>
          <w:sz w:val="20"/>
        </w:rPr>
      </w:pPr>
      <w:r w:rsidRPr="00B5128B">
        <w:rPr>
          <w:b/>
          <w:noProof/>
          <w:sz w:val="20"/>
        </w:rPr>
        <w:t>Boxes</w:t>
      </w:r>
    </w:p>
    <w:p w14:paraId="1033D708" w14:textId="77777777" w:rsidR="000B0CC0" w:rsidRPr="00B5128B" w:rsidRDefault="000B0CC0" w:rsidP="008F69C5">
      <w:pPr>
        <w:pStyle w:val="TOC2"/>
        <w:tabs>
          <w:tab w:val="left" w:pos="993"/>
        </w:tabs>
        <w:rPr>
          <w:rFonts w:asciiTheme="minorHAnsi" w:eastAsiaTheme="minorEastAsia" w:hAnsiTheme="minorHAnsi" w:cstheme="minorBidi"/>
          <w:noProof/>
          <w:sz w:val="20"/>
          <w:lang w:eastAsia="en-GB"/>
        </w:rPr>
      </w:pPr>
      <w:r w:rsidRPr="00B5128B">
        <w:rPr>
          <w:b/>
          <w:noProof/>
          <w:sz w:val="20"/>
        </w:rPr>
        <w:fldChar w:fldCharType="begin"/>
      </w:r>
      <w:r w:rsidRPr="00B5128B">
        <w:rPr>
          <w:b/>
          <w:noProof/>
          <w:sz w:val="20"/>
        </w:rPr>
        <w:instrText xml:space="preserve"> TOC \t "Text Box Heading,2,Box Heading,2" </w:instrText>
      </w:r>
      <w:r w:rsidRPr="00B5128B">
        <w:rPr>
          <w:b/>
          <w:noProof/>
          <w:sz w:val="20"/>
        </w:rPr>
        <w:fldChar w:fldCharType="separate"/>
      </w:r>
      <w:r w:rsidRPr="00B5128B">
        <w:rPr>
          <w:noProof/>
          <w:sz w:val="20"/>
        </w:rPr>
        <w:fldChar w:fldCharType="begin"/>
      </w:r>
      <w:r w:rsidRPr="00B5128B">
        <w:rPr>
          <w:noProof/>
          <w:sz w:val="20"/>
        </w:rPr>
        <w:instrText xml:space="preserve"> MACROBUTTON NUMBERING Box </w:instrText>
      </w:r>
      <w:r w:rsidRPr="00B5128B">
        <w:rPr>
          <w:noProof/>
          <w:sz w:val="20"/>
        </w:rPr>
        <w:fldChar w:fldCharType="begin"/>
      </w:r>
      <w:r w:rsidRPr="00B5128B">
        <w:rPr>
          <w:noProof/>
          <w:sz w:val="20"/>
        </w:rPr>
        <w:instrText xml:space="preserve"> SEQ  box</w:instrText>
      </w:r>
      <w:r w:rsidRPr="00B5128B">
        <w:rPr>
          <w:noProof/>
          <w:sz w:val="20"/>
        </w:rPr>
        <w:fldChar w:fldCharType="separate"/>
      </w:r>
      <w:r w:rsidR="002114FC">
        <w:rPr>
          <w:noProof/>
          <w:sz w:val="20"/>
        </w:rPr>
        <w:instrText>1</w:instrText>
      </w:r>
      <w:r w:rsidRPr="00B5128B">
        <w:rPr>
          <w:noProof/>
          <w:sz w:val="20"/>
        </w:rPr>
        <w:fldChar w:fldCharType="end"/>
      </w:r>
      <w:r w:rsidRPr="00B5128B">
        <w:rPr>
          <w:noProof/>
          <w:sz w:val="20"/>
        </w:rPr>
        <w:instrText xml:space="preserve">. </w:instrText>
      </w:r>
      <w:r w:rsidRPr="00B5128B">
        <w:rPr>
          <w:noProof/>
          <w:sz w:val="20"/>
        </w:rPr>
        <w:fldChar w:fldCharType="end"/>
      </w:r>
      <w:r w:rsidRPr="00B5128B">
        <w:rPr>
          <w:noProof/>
          <w:sz w:val="20"/>
        </w:rPr>
        <w:t>Pareto distribution</w:t>
      </w:r>
      <w:r w:rsidRPr="00B5128B">
        <w:rPr>
          <w:noProof/>
          <w:sz w:val="20"/>
        </w:rPr>
        <w:tab/>
      </w:r>
      <w:r w:rsidRPr="00B5128B">
        <w:rPr>
          <w:noProof/>
          <w:sz w:val="20"/>
        </w:rPr>
        <w:fldChar w:fldCharType="begin"/>
      </w:r>
      <w:r w:rsidRPr="00B5128B">
        <w:rPr>
          <w:noProof/>
          <w:sz w:val="20"/>
        </w:rPr>
        <w:instrText xml:space="preserve"> PAGEREF _Toc416860249 \h </w:instrText>
      </w:r>
      <w:r w:rsidRPr="00B5128B">
        <w:rPr>
          <w:noProof/>
          <w:sz w:val="20"/>
        </w:rPr>
      </w:r>
      <w:r w:rsidRPr="00B5128B">
        <w:rPr>
          <w:noProof/>
          <w:sz w:val="20"/>
        </w:rPr>
        <w:fldChar w:fldCharType="separate"/>
      </w:r>
      <w:r w:rsidR="002114FC">
        <w:rPr>
          <w:noProof/>
          <w:sz w:val="20"/>
        </w:rPr>
        <w:t>11</w:t>
      </w:r>
      <w:r w:rsidRPr="00B5128B">
        <w:rPr>
          <w:noProof/>
          <w:sz w:val="20"/>
        </w:rPr>
        <w:fldChar w:fldCharType="end"/>
      </w:r>
    </w:p>
    <w:p w14:paraId="2FCD1A2F" w14:textId="50527223" w:rsidR="000B0CC0" w:rsidRPr="00B5128B" w:rsidRDefault="000B0CC0" w:rsidP="008F69C5">
      <w:pPr>
        <w:pStyle w:val="TOC2"/>
        <w:tabs>
          <w:tab w:val="left" w:pos="993"/>
        </w:tabs>
        <w:rPr>
          <w:rFonts w:asciiTheme="minorHAnsi" w:eastAsiaTheme="minorEastAsia" w:hAnsiTheme="minorHAnsi" w:cstheme="minorBidi"/>
          <w:noProof/>
          <w:sz w:val="20"/>
          <w:lang w:eastAsia="en-GB"/>
        </w:rPr>
      </w:pPr>
      <w:r w:rsidRPr="00B5128B">
        <w:rPr>
          <w:noProof/>
          <w:sz w:val="20"/>
        </w:rPr>
        <w:fldChar w:fldCharType="begin"/>
      </w:r>
      <w:r w:rsidRPr="00B5128B">
        <w:rPr>
          <w:noProof/>
          <w:sz w:val="20"/>
        </w:rPr>
        <w:instrText xml:space="preserve"> MACROBUTTON NUMBERING Box </w:instrText>
      </w:r>
      <w:r w:rsidRPr="00B5128B">
        <w:rPr>
          <w:noProof/>
          <w:sz w:val="20"/>
        </w:rPr>
        <w:fldChar w:fldCharType="begin"/>
      </w:r>
      <w:r w:rsidRPr="00B5128B">
        <w:rPr>
          <w:noProof/>
          <w:sz w:val="20"/>
        </w:rPr>
        <w:instrText xml:space="preserve"> SEQ  box</w:instrText>
      </w:r>
      <w:r w:rsidRPr="00B5128B">
        <w:rPr>
          <w:noProof/>
          <w:sz w:val="20"/>
        </w:rPr>
        <w:fldChar w:fldCharType="separate"/>
      </w:r>
      <w:r w:rsidR="002114FC">
        <w:rPr>
          <w:noProof/>
          <w:sz w:val="20"/>
        </w:rPr>
        <w:instrText>2</w:instrText>
      </w:r>
      <w:r w:rsidRPr="00B5128B">
        <w:rPr>
          <w:noProof/>
          <w:sz w:val="20"/>
        </w:rPr>
        <w:fldChar w:fldCharType="end"/>
      </w:r>
      <w:r w:rsidRPr="00B5128B">
        <w:rPr>
          <w:noProof/>
          <w:sz w:val="20"/>
        </w:rPr>
        <w:instrText xml:space="preserve">. </w:instrText>
      </w:r>
      <w:r w:rsidRPr="00B5128B">
        <w:rPr>
          <w:noProof/>
          <w:sz w:val="20"/>
        </w:rPr>
        <w:fldChar w:fldCharType="end"/>
      </w:r>
      <w:r w:rsidRPr="00B5128B">
        <w:rPr>
          <w:noProof/>
          <w:sz w:val="20"/>
        </w:rPr>
        <w:t>Conditional likelihood estimator of top incomes</w:t>
      </w:r>
      <w:r w:rsidRPr="00B5128B">
        <w:rPr>
          <w:noProof/>
          <w:sz w:val="20"/>
        </w:rPr>
        <w:tab/>
      </w:r>
      <w:r w:rsidRPr="00B5128B">
        <w:rPr>
          <w:noProof/>
          <w:sz w:val="20"/>
        </w:rPr>
        <w:fldChar w:fldCharType="begin"/>
      </w:r>
      <w:r w:rsidRPr="00B5128B">
        <w:rPr>
          <w:noProof/>
          <w:sz w:val="20"/>
        </w:rPr>
        <w:instrText xml:space="preserve"> PAGEREF _Toc416860250 \h </w:instrText>
      </w:r>
      <w:r w:rsidRPr="00B5128B">
        <w:rPr>
          <w:noProof/>
          <w:sz w:val="20"/>
        </w:rPr>
      </w:r>
      <w:r w:rsidRPr="00B5128B">
        <w:rPr>
          <w:noProof/>
          <w:sz w:val="20"/>
        </w:rPr>
        <w:fldChar w:fldCharType="separate"/>
      </w:r>
      <w:r w:rsidR="002114FC">
        <w:rPr>
          <w:noProof/>
          <w:sz w:val="20"/>
        </w:rPr>
        <w:t>12</w:t>
      </w:r>
      <w:r w:rsidRPr="00B5128B">
        <w:rPr>
          <w:noProof/>
          <w:sz w:val="20"/>
        </w:rPr>
        <w:fldChar w:fldCharType="end"/>
      </w:r>
    </w:p>
    <w:p w14:paraId="578E3C81" w14:textId="121D847F" w:rsidR="000B0CC0" w:rsidRDefault="000B0CC0" w:rsidP="008F69C5">
      <w:pPr>
        <w:tabs>
          <w:tab w:val="left" w:pos="993"/>
        </w:tabs>
      </w:pPr>
      <w:r w:rsidRPr="00B5128B">
        <w:rPr>
          <w:b/>
          <w:noProof/>
          <w:sz w:val="20"/>
        </w:rPr>
        <w:fldChar w:fldCharType="end"/>
      </w:r>
      <w:r>
        <w:rPr>
          <w:b/>
          <w:noProof/>
        </w:rPr>
        <w:fldChar w:fldCharType="begin"/>
      </w:r>
      <w:r>
        <w:rPr>
          <w:b/>
          <w:noProof/>
        </w:rPr>
        <w:instrText xml:space="preserve"> SEQ box \h \r0 </w:instrText>
      </w:r>
      <w:r>
        <w:rPr>
          <w:b/>
          <w:noProof/>
        </w:rPr>
        <w:fldChar w:fldCharType="end"/>
      </w:r>
    </w:p>
    <w:p w14:paraId="5495BB5B" w14:textId="06B3FE4E" w:rsidR="000B0CC0" w:rsidRDefault="000B0CC0">
      <w:pPr>
        <w:tabs>
          <w:tab w:val="clear" w:pos="850"/>
          <w:tab w:val="clear" w:pos="1191"/>
          <w:tab w:val="clear" w:pos="1531"/>
        </w:tabs>
        <w:jc w:val="left"/>
      </w:pPr>
      <w:r>
        <w:br w:type="page"/>
      </w:r>
    </w:p>
    <w:p w14:paraId="45BBB94D" w14:textId="5D946692" w:rsidR="0097548B" w:rsidRPr="0097548B" w:rsidRDefault="0097548B" w:rsidP="0097548B">
      <w:pPr>
        <w:pStyle w:val="Heading1"/>
        <w:rPr>
          <w:color w:val="000000"/>
        </w:rPr>
      </w:pPr>
      <w:bookmarkStart w:id="10" w:name="_Toc416797617"/>
      <w:bookmarkStart w:id="11" w:name="_Toc416860221"/>
      <w:bookmarkEnd w:id="9"/>
      <w:r w:rsidRPr="0097548B">
        <w:lastRenderedPageBreak/>
        <w:t>The real picture of inequality</w:t>
      </w:r>
      <w:r w:rsidRPr="0097548B">
        <w:rPr>
          <w:color w:val="000000"/>
        </w:rPr>
        <w:t xml:space="preserve"> in oecd countries: a characterisation combining the bottom 99% and the top 1%</w:t>
      </w:r>
      <w:bookmarkEnd w:id="10"/>
      <w:bookmarkEnd w:id="11"/>
    </w:p>
    <w:p w14:paraId="4DC098BC" w14:textId="77777777" w:rsidR="0097548B" w:rsidRPr="007C66A0" w:rsidRDefault="0097548B" w:rsidP="0097548B">
      <w:pPr>
        <w:pStyle w:val="BodyText"/>
        <w:ind w:firstLine="0"/>
        <w:jc w:val="center"/>
        <w:rPr>
          <w:b/>
          <w:lang w:val="it-IT"/>
        </w:rPr>
      </w:pPr>
      <w:r w:rsidRPr="007C66A0">
        <w:rPr>
          <w:b/>
          <w:lang w:val="it-IT"/>
        </w:rPr>
        <w:t>By Nicolas Ruiz and Nicolas Woloszko</w:t>
      </w:r>
      <w:r w:rsidRPr="007C66A0">
        <w:rPr>
          <w:rStyle w:val="FootnoteReference"/>
          <w:b/>
          <w:lang w:val="it-IT"/>
        </w:rPr>
        <w:footnoteReference w:id="1"/>
      </w:r>
    </w:p>
    <w:p w14:paraId="55C4B167" w14:textId="77777777" w:rsidR="001166AD" w:rsidRPr="0097548B" w:rsidRDefault="001166AD" w:rsidP="0097548B">
      <w:pPr>
        <w:pStyle w:val="BodyText"/>
        <w:rPr>
          <w:lang w:val="it-IT"/>
        </w:rPr>
      </w:pPr>
    </w:p>
    <w:p w14:paraId="0F3DDA13" w14:textId="77777777" w:rsidR="00D92A5C" w:rsidRPr="001166AD" w:rsidRDefault="00D92A5C" w:rsidP="00BA42CD">
      <w:pPr>
        <w:pStyle w:val="Heading2"/>
      </w:pPr>
      <w:bookmarkStart w:id="12" w:name="_Toc416797618"/>
      <w:bookmarkStart w:id="13" w:name="_Toc416860222"/>
      <w:r w:rsidRPr="001166AD">
        <w:t>Introduction</w:t>
      </w:r>
      <w:bookmarkEnd w:id="4"/>
      <w:bookmarkEnd w:id="5"/>
      <w:r w:rsidRPr="001166AD">
        <w:t xml:space="preserve"> </w:t>
      </w:r>
      <w:r w:rsidR="00006079" w:rsidRPr="001166AD">
        <w:t>and main findings</w:t>
      </w:r>
      <w:bookmarkEnd w:id="6"/>
      <w:bookmarkEnd w:id="7"/>
      <w:bookmarkEnd w:id="12"/>
      <w:bookmarkEnd w:id="13"/>
    </w:p>
    <w:p w14:paraId="52E3BE9A" w14:textId="77777777" w:rsidR="00E714E2" w:rsidRDefault="00E714E2" w:rsidP="00BA42CD">
      <w:pPr>
        <w:pStyle w:val="Num-DocParagraph"/>
        <w:rPr>
          <w:lang w:val="en-US"/>
        </w:rPr>
      </w:pPr>
      <w:r>
        <w:fldChar w:fldCharType="begin"/>
      </w:r>
      <w:r>
        <w:instrText xml:space="preserve"> MACROBUTTON NUMBERING </w:instrText>
      </w:r>
      <w:r>
        <w:fldChar w:fldCharType="begin"/>
      </w:r>
      <w:r>
        <w:instrText xml:space="preserve"> SEQ  dpara</w:instrText>
      </w:r>
      <w:r>
        <w:fldChar w:fldCharType="separate"/>
      </w:r>
      <w:r w:rsidR="002114FC">
        <w:rPr>
          <w:noProof/>
        </w:rPr>
        <w:instrText>1</w:instrText>
      </w:r>
      <w:r>
        <w:fldChar w:fldCharType="end"/>
      </w:r>
      <w:r>
        <w:instrText>.</w:instrText>
      </w:r>
      <w:r>
        <w:tab/>
      </w:r>
      <w:r>
        <w:fldChar w:fldCharType="end"/>
      </w:r>
      <w:r w:rsidR="0029792C">
        <w:t>Concerns about the distribution of income weigh heavily in the public</w:t>
      </w:r>
      <w:r w:rsidR="00D92A5C" w:rsidRPr="001642CE">
        <w:t xml:space="preserve"> </w:t>
      </w:r>
      <w:r w:rsidR="00E24FCD">
        <w:t xml:space="preserve">policy </w:t>
      </w:r>
      <w:r w:rsidR="0029792C">
        <w:t xml:space="preserve">debate. Indeed, in most OECD countries and many emerging economies, the gap between the rich and the poor has widened over the past decades. The economic crisis has added urgency to deal with the policy issues related to inequality. Greater inequality raises economic, political and ethical challenges as it risks leaving behind a growing number of </w:t>
      </w:r>
      <w:r w:rsidR="001E6DBD">
        <w:t>individual in an ever changing economic landscape. It can even undermine future growth prospect in the long run</w:t>
      </w:r>
      <w:r w:rsidR="006A6463">
        <w:t>,</w:t>
      </w:r>
      <w:r w:rsidR="001E6DBD">
        <w:t xml:space="preserve"> should income inequality further translate into inequality of opportunity</w:t>
      </w:r>
      <w:r w:rsidR="006A6463">
        <w:t>, decrease in social mobility and the weakening of incentives to invest in knowledge.</w:t>
      </w:r>
    </w:p>
    <w:p w14:paraId="06140087" w14:textId="77777777" w:rsidR="005328E3" w:rsidRDefault="005328E3" w:rsidP="00BA42CD">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2</w:instrText>
      </w:r>
      <w:r>
        <w:fldChar w:fldCharType="end"/>
      </w:r>
      <w:r>
        <w:instrText>.</w:instrText>
      </w:r>
      <w:r>
        <w:tab/>
      </w:r>
      <w:r>
        <w:fldChar w:fldCharType="end"/>
      </w:r>
      <w:r w:rsidR="00E24FCD">
        <w:t>If t</w:t>
      </w:r>
      <w:r w:rsidR="00900D25">
        <w:t xml:space="preserve">he </w:t>
      </w:r>
      <w:r w:rsidR="00711767">
        <w:t xml:space="preserve">current </w:t>
      </w:r>
      <w:r w:rsidR="00900D25">
        <w:t>challenges</w:t>
      </w:r>
      <w:r w:rsidR="006575A1">
        <w:t xml:space="preserve"> are clear, </w:t>
      </w:r>
      <w:r w:rsidR="00E24FCD">
        <w:t>there</w:t>
      </w:r>
      <w:r w:rsidR="006575A1">
        <w:t xml:space="preserve"> is </w:t>
      </w:r>
      <w:r w:rsidR="00E24FCD">
        <w:t xml:space="preserve">less </w:t>
      </w:r>
      <w:r w:rsidR="006575A1">
        <w:t>common underst</w:t>
      </w:r>
      <w:r w:rsidR="00E24FCD">
        <w:t>anding</w:t>
      </w:r>
      <w:r w:rsidR="006575A1">
        <w:t xml:space="preserve"> </w:t>
      </w:r>
      <w:r w:rsidR="00E24FCD">
        <w:t>about</w:t>
      </w:r>
      <w:r w:rsidR="006575A1">
        <w:t xml:space="preserve"> </w:t>
      </w:r>
      <w:r w:rsidR="00E24FCD">
        <w:t xml:space="preserve">the definition and measurement of </w:t>
      </w:r>
      <w:r w:rsidR="006575A1">
        <w:t>income inequality.</w:t>
      </w:r>
      <w:r w:rsidR="00610CE3">
        <w:t xml:space="preserve"> </w:t>
      </w:r>
      <w:r w:rsidR="00E24FCD">
        <w:t xml:space="preserve">Going back to the 1970s and the more widespread availability of micro data sets, </w:t>
      </w:r>
      <w:r w:rsidR="003869C2">
        <w:t xml:space="preserve">income inequality </w:t>
      </w:r>
      <w:r w:rsidR="00B8066D">
        <w:t xml:space="preserve">at national levels </w:t>
      </w:r>
      <w:r w:rsidR="003869C2">
        <w:t xml:space="preserve">has been </w:t>
      </w:r>
      <w:r w:rsidR="00D33F25">
        <w:t xml:space="preserve">mostly </w:t>
      </w:r>
      <w:r w:rsidR="003869C2">
        <w:t>gauged on the basis of household surveys</w:t>
      </w:r>
      <w:r w:rsidR="00B8066D">
        <w:t xml:space="preserve">. </w:t>
      </w:r>
      <w:r w:rsidR="00E24FCD">
        <w:t>I</w:t>
      </w:r>
      <w:r w:rsidR="00B8066D">
        <w:t>nternational initiatives such a</w:t>
      </w:r>
      <w:r w:rsidR="001A6188">
        <w:t xml:space="preserve">s the OECD Income Distribution </w:t>
      </w:r>
      <w:r w:rsidR="00F25D51">
        <w:t>d</w:t>
      </w:r>
      <w:r w:rsidR="00B8066D">
        <w:t xml:space="preserve">atabase or the United Nations World Income Distribution </w:t>
      </w:r>
      <w:r w:rsidR="00F25D51">
        <w:t>d</w:t>
      </w:r>
      <w:r w:rsidR="006A6463">
        <w:t>atabase</w:t>
      </w:r>
      <w:r w:rsidR="00D33F25">
        <w:t xml:space="preserve"> </w:t>
      </w:r>
      <w:r w:rsidR="00E24FCD">
        <w:t>have since made possible the use of such data for international comparisons</w:t>
      </w:r>
      <w:r w:rsidR="00B8066D">
        <w:t xml:space="preserve">. </w:t>
      </w:r>
      <w:r w:rsidR="00E24FCD">
        <w:t>Data</w:t>
      </w:r>
      <w:r w:rsidR="00B8066D">
        <w:t xml:space="preserve"> from these sources </w:t>
      </w:r>
      <w:r w:rsidR="00E24FCD">
        <w:t xml:space="preserve">have been </w:t>
      </w:r>
      <w:r w:rsidR="00D87689">
        <w:t xml:space="preserve">used to </w:t>
      </w:r>
      <w:r w:rsidR="004030CD">
        <w:t>form</w:t>
      </w:r>
      <w:r w:rsidR="00B8066D">
        <w:t xml:space="preserve"> the backbone of official statistics to guide policy reflexion on inequality and </w:t>
      </w:r>
      <w:r w:rsidR="003200E6">
        <w:t xml:space="preserve">to </w:t>
      </w:r>
      <w:r w:rsidR="00B8066D">
        <w:t>f</w:t>
      </w:r>
      <w:r w:rsidR="003200E6">
        <w:t>e</w:t>
      </w:r>
      <w:r w:rsidR="00B8066D">
        <w:t xml:space="preserve">ed most of the </w:t>
      </w:r>
      <w:r w:rsidR="00706395">
        <w:t>research</w:t>
      </w:r>
      <w:r w:rsidR="00B8066D">
        <w:t xml:space="preserve"> </w:t>
      </w:r>
      <w:r w:rsidR="00706395">
        <w:t xml:space="preserve">works </w:t>
      </w:r>
      <w:r w:rsidR="00E24FCD">
        <w:t>related to</w:t>
      </w:r>
      <w:r w:rsidR="00921A98">
        <w:t xml:space="preserve"> the</w:t>
      </w:r>
      <w:r w:rsidR="003573AE">
        <w:t xml:space="preserve"> topic</w:t>
      </w:r>
      <w:r w:rsidR="00706395">
        <w:t>.</w:t>
      </w:r>
      <w:r w:rsidR="00B8066D">
        <w:t xml:space="preserve"> </w:t>
      </w:r>
    </w:p>
    <w:p w14:paraId="4864E1B5" w14:textId="31F3E174" w:rsidR="0070411B" w:rsidRDefault="0070411B" w:rsidP="00BA42CD">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3</w:instrText>
      </w:r>
      <w:r>
        <w:fldChar w:fldCharType="end"/>
      </w:r>
      <w:r>
        <w:instrText>.</w:instrText>
      </w:r>
      <w:r>
        <w:tab/>
      </w:r>
      <w:r>
        <w:fldChar w:fldCharType="end"/>
      </w:r>
      <w:r w:rsidR="00D87689">
        <w:t>A</w:t>
      </w:r>
      <w:r w:rsidR="00706395" w:rsidRPr="005328E3">
        <w:t xml:space="preserve"> consens</w:t>
      </w:r>
      <w:r w:rsidR="00E24FCD">
        <w:t>ual</w:t>
      </w:r>
      <w:r w:rsidR="00706395" w:rsidRPr="005328E3">
        <w:t xml:space="preserve"> finding </w:t>
      </w:r>
      <w:r w:rsidR="00E24FCD">
        <w:t>from</w:t>
      </w:r>
      <w:r w:rsidR="00706395" w:rsidRPr="005328E3">
        <w:t xml:space="preserve"> these data is that income inequality has </w:t>
      </w:r>
      <w:r w:rsidR="00A043C9" w:rsidRPr="005328E3">
        <w:t>been steadily ris</w:t>
      </w:r>
      <w:r w:rsidR="00CD59AB">
        <w:t>ing</w:t>
      </w:r>
      <w:r w:rsidR="00805132" w:rsidRPr="005328E3">
        <w:t xml:space="preserve"> between the mid-1980s and the late 2000s</w:t>
      </w:r>
      <w:r w:rsidR="00706395" w:rsidRPr="005328E3">
        <w:t xml:space="preserve">, but </w:t>
      </w:r>
      <w:r w:rsidR="00CD59AB">
        <w:t>at a much slower</w:t>
      </w:r>
      <w:r w:rsidR="003573AE" w:rsidRPr="005328E3">
        <w:t xml:space="preserve"> </w:t>
      </w:r>
      <w:r w:rsidR="00CD59AB">
        <w:t>pace after</w:t>
      </w:r>
      <w:r w:rsidR="003573AE" w:rsidRPr="005328E3">
        <w:t xml:space="preserve"> the </w:t>
      </w:r>
      <w:r w:rsidR="00CD59AB">
        <w:t>mid-</w:t>
      </w:r>
      <w:r w:rsidR="003573AE" w:rsidRPr="005328E3">
        <w:t>1990s</w:t>
      </w:r>
      <w:r w:rsidR="00A043C9" w:rsidRPr="005328E3">
        <w:t xml:space="preserve">: on average among OECD countries, the Gini coefficient on post-redistribution income has increased </w:t>
      </w:r>
      <w:r w:rsidR="00CD59AB">
        <w:t>by</w:t>
      </w:r>
      <w:r w:rsidR="00A043C9" w:rsidRPr="005328E3">
        <w:t xml:space="preserve"> 2.6 percentage points</w:t>
      </w:r>
      <w:r w:rsidR="003573AE" w:rsidRPr="005328E3">
        <w:t xml:space="preserve">, </w:t>
      </w:r>
      <w:r w:rsidR="00CD59AB">
        <w:t>with</w:t>
      </w:r>
      <w:r w:rsidR="003573AE" w:rsidRPr="005328E3">
        <w:t xml:space="preserve"> most of the increase </w:t>
      </w:r>
      <w:r w:rsidR="00CF2108" w:rsidRPr="005328E3">
        <w:t xml:space="preserve">(2.1 percentage points) </w:t>
      </w:r>
      <w:r w:rsidR="003573AE" w:rsidRPr="005328E3">
        <w:t>occur</w:t>
      </w:r>
      <w:r w:rsidR="00CD59AB">
        <w:t>ring</w:t>
      </w:r>
      <w:r w:rsidR="003573AE" w:rsidRPr="005328E3">
        <w:t xml:space="preserve"> between the mid-19</w:t>
      </w:r>
      <w:r w:rsidR="00CF2108" w:rsidRPr="005328E3">
        <w:t>8</w:t>
      </w:r>
      <w:r w:rsidR="003573AE" w:rsidRPr="005328E3">
        <w:t xml:space="preserve">0s and the mid-1990s </w:t>
      </w:r>
      <w:r w:rsidR="00A043C9" w:rsidRPr="005328E3">
        <w:t>(see OECD, 2011).</w:t>
      </w:r>
      <w:r w:rsidR="005328E3">
        <w:t xml:space="preserve"> </w:t>
      </w:r>
      <w:r w:rsidR="00CD59AB">
        <w:t xml:space="preserve"> </w:t>
      </w:r>
      <w:r w:rsidR="00F0528F">
        <w:rPr>
          <w:lang w:val="en-US"/>
        </w:rPr>
        <w:t>H</w:t>
      </w:r>
      <w:r w:rsidR="00D87689">
        <w:rPr>
          <w:lang w:val="en-US"/>
        </w:rPr>
        <w:t>oweve</w:t>
      </w:r>
      <w:r w:rsidR="00F0528F">
        <w:rPr>
          <w:lang w:val="en-US"/>
        </w:rPr>
        <w:t>r</w:t>
      </w:r>
      <w:r w:rsidR="00D87689">
        <w:rPr>
          <w:lang w:val="en-US"/>
        </w:rPr>
        <w:t xml:space="preserve">, </w:t>
      </w:r>
      <w:r w:rsidR="00805132">
        <w:rPr>
          <w:lang w:val="en-US"/>
        </w:rPr>
        <w:t xml:space="preserve">a wave of research </w:t>
      </w:r>
      <w:r w:rsidR="00CD59AB">
        <w:rPr>
          <w:lang w:val="en-US"/>
        </w:rPr>
        <w:t xml:space="preserve">based on new data has </w:t>
      </w:r>
      <w:r w:rsidR="00805132">
        <w:rPr>
          <w:lang w:val="en-US"/>
        </w:rPr>
        <w:t>challenged this</w:t>
      </w:r>
      <w:r w:rsidR="00711767">
        <w:rPr>
          <w:lang w:val="en-US"/>
        </w:rPr>
        <w:t xml:space="preserve"> conclusion. </w:t>
      </w:r>
      <w:r w:rsidR="00CD59AB">
        <w:rPr>
          <w:lang w:val="en-US"/>
        </w:rPr>
        <w:t>U</w:t>
      </w:r>
      <w:r w:rsidR="00711767">
        <w:rPr>
          <w:lang w:val="en-US"/>
        </w:rPr>
        <w:t>sing</w:t>
      </w:r>
      <w:r w:rsidR="00805132">
        <w:rPr>
          <w:lang w:val="en-US"/>
        </w:rPr>
        <w:t xml:space="preserve"> tabulation</w:t>
      </w:r>
      <w:r w:rsidR="00314F25">
        <w:rPr>
          <w:lang w:val="en-US"/>
        </w:rPr>
        <w:t>s</w:t>
      </w:r>
      <w:r w:rsidR="00805132">
        <w:rPr>
          <w:lang w:val="en-US"/>
        </w:rPr>
        <w:t xml:space="preserve"> from tax return data </w:t>
      </w:r>
      <w:r w:rsidR="00711767">
        <w:rPr>
          <w:lang w:val="en-US"/>
        </w:rPr>
        <w:t>for</w:t>
      </w:r>
      <w:r w:rsidR="00805132">
        <w:rPr>
          <w:lang w:val="en-US"/>
        </w:rPr>
        <w:t xml:space="preserve"> the United States</w:t>
      </w:r>
      <w:r w:rsidR="00CD59AB">
        <w:rPr>
          <w:lang w:val="en-US"/>
        </w:rPr>
        <w:t xml:space="preserve"> </w:t>
      </w:r>
      <w:r w:rsidR="00F0528F">
        <w:rPr>
          <w:lang w:val="en-US"/>
        </w:rPr>
        <w:t>–</w:t>
      </w:r>
      <w:r w:rsidR="00134C84">
        <w:rPr>
          <w:lang w:val="en-US"/>
        </w:rPr>
        <w:t> </w:t>
      </w:r>
      <w:r w:rsidR="00F0528F">
        <w:rPr>
          <w:lang w:val="en-US"/>
        </w:rPr>
        <w:t xml:space="preserve">a methodology later applied to </w:t>
      </w:r>
      <w:r w:rsidR="00805132">
        <w:rPr>
          <w:lang w:val="en-US"/>
        </w:rPr>
        <w:t>a wide range of countries</w:t>
      </w:r>
      <w:r w:rsidR="00F0528F">
        <w:rPr>
          <w:lang w:val="en-US"/>
        </w:rPr>
        <w:t xml:space="preserve"> </w:t>
      </w:r>
      <w:r w:rsidR="00134C84">
        <w:rPr>
          <w:lang w:val="en-US"/>
        </w:rPr>
        <w:t>–</w:t>
      </w:r>
      <w:r w:rsidR="00805132">
        <w:rPr>
          <w:lang w:val="en-US"/>
        </w:rPr>
        <w:t xml:space="preserve"> </w:t>
      </w:r>
      <w:r w:rsidR="00F0528F">
        <w:rPr>
          <w:lang w:val="en-US"/>
        </w:rPr>
        <w:t xml:space="preserve">more recent studies have </w:t>
      </w:r>
      <w:r w:rsidR="00314F25">
        <w:rPr>
          <w:lang w:val="en-US"/>
        </w:rPr>
        <w:t>show</w:t>
      </w:r>
      <w:r w:rsidR="00F0528F">
        <w:rPr>
          <w:lang w:val="en-US"/>
        </w:rPr>
        <w:t>n</w:t>
      </w:r>
      <w:r w:rsidR="00805132">
        <w:rPr>
          <w:lang w:val="en-US"/>
        </w:rPr>
        <w:t xml:space="preserve"> that the share of total income held by the very richest </w:t>
      </w:r>
      <w:r w:rsidR="00F0528F">
        <w:rPr>
          <w:lang w:val="en-US"/>
        </w:rPr>
        <w:t>households</w:t>
      </w:r>
      <w:r w:rsidR="003A189C">
        <w:rPr>
          <w:lang w:val="en-US"/>
        </w:rPr>
        <w:t xml:space="preserve"> </w:t>
      </w:r>
      <w:r w:rsidR="009516DF">
        <w:rPr>
          <w:lang w:val="en-US"/>
        </w:rPr>
        <w:t>act</w:t>
      </w:r>
      <w:r w:rsidR="001A6188">
        <w:rPr>
          <w:lang w:val="en-US"/>
        </w:rPr>
        <w:t xml:space="preserve">ually </w:t>
      </w:r>
      <w:r w:rsidR="00F0528F">
        <w:rPr>
          <w:lang w:val="en-US"/>
        </w:rPr>
        <w:t xml:space="preserve">rose </w:t>
      </w:r>
      <w:r w:rsidR="001A6188">
        <w:rPr>
          <w:lang w:val="en-US"/>
        </w:rPr>
        <w:t xml:space="preserve">faster </w:t>
      </w:r>
      <w:r w:rsidR="00F0528F">
        <w:rPr>
          <w:lang w:val="en-US"/>
        </w:rPr>
        <w:t xml:space="preserve">in the 1990s </w:t>
      </w:r>
      <w:r w:rsidR="001A6188">
        <w:rPr>
          <w:lang w:val="en-US"/>
        </w:rPr>
        <w:t>tha</w:t>
      </w:r>
      <w:r w:rsidR="00F0528F">
        <w:rPr>
          <w:lang w:val="en-US"/>
        </w:rPr>
        <w:t>n</w:t>
      </w:r>
      <w:r w:rsidR="001A6188">
        <w:rPr>
          <w:lang w:val="en-US"/>
        </w:rPr>
        <w:t xml:space="preserve"> in the 198</w:t>
      </w:r>
      <w:r w:rsidR="009516DF">
        <w:rPr>
          <w:lang w:val="en-US"/>
        </w:rPr>
        <w:t>0s</w:t>
      </w:r>
      <w:r w:rsidR="00F0528F">
        <w:rPr>
          <w:lang w:val="en-US"/>
        </w:rPr>
        <w:t xml:space="preserve"> (Piketty and Saez; 2003; Atkinson </w:t>
      </w:r>
      <w:r w:rsidR="00F0528F" w:rsidRPr="005328E3">
        <w:rPr>
          <w:i/>
          <w:lang w:val="en-US"/>
        </w:rPr>
        <w:t>et al.</w:t>
      </w:r>
      <w:r w:rsidR="00F0528F">
        <w:rPr>
          <w:lang w:val="en-US"/>
        </w:rPr>
        <w:t>, 2011)</w:t>
      </w:r>
      <w:r w:rsidR="009516DF">
        <w:rPr>
          <w:lang w:val="en-US"/>
        </w:rPr>
        <w:t>.</w:t>
      </w:r>
      <w:r w:rsidR="00314F25">
        <w:rPr>
          <w:lang w:val="en-US"/>
        </w:rPr>
        <w:t xml:space="preserve"> </w:t>
      </w:r>
      <w:r w:rsidR="009516DF">
        <w:rPr>
          <w:lang w:val="en-US"/>
        </w:rPr>
        <w:t xml:space="preserve">These findings </w:t>
      </w:r>
      <w:r w:rsidR="00F0528F">
        <w:rPr>
          <w:lang w:val="en-US"/>
        </w:rPr>
        <w:t>indicate</w:t>
      </w:r>
      <w:r w:rsidR="00314F25">
        <w:rPr>
          <w:lang w:val="en-US"/>
        </w:rPr>
        <w:t xml:space="preserve"> that income inequality </w:t>
      </w:r>
      <w:r w:rsidR="003200E6">
        <w:rPr>
          <w:lang w:val="en-US"/>
        </w:rPr>
        <w:t>has</w:t>
      </w:r>
      <w:r w:rsidR="00314F25">
        <w:rPr>
          <w:lang w:val="en-US"/>
        </w:rPr>
        <w:t xml:space="preserve"> </w:t>
      </w:r>
      <w:r w:rsidR="005328E3">
        <w:rPr>
          <w:lang w:val="en-US"/>
        </w:rPr>
        <w:t xml:space="preserve">actually </w:t>
      </w:r>
      <w:r w:rsidR="003200E6">
        <w:rPr>
          <w:lang w:val="en-US"/>
        </w:rPr>
        <w:t>grown</w:t>
      </w:r>
      <w:r w:rsidR="00314F25">
        <w:rPr>
          <w:lang w:val="en-US"/>
        </w:rPr>
        <w:t xml:space="preserve"> </w:t>
      </w:r>
      <w:r w:rsidR="00F0528F">
        <w:rPr>
          <w:lang w:val="en-US"/>
        </w:rPr>
        <w:t>more rapidly</w:t>
      </w:r>
      <w:r w:rsidR="00CF2108">
        <w:rPr>
          <w:lang w:val="en-US"/>
        </w:rPr>
        <w:t xml:space="preserve"> </w:t>
      </w:r>
      <w:r>
        <w:rPr>
          <w:lang w:val="en-US"/>
        </w:rPr>
        <w:t>over the last fifteen years</w:t>
      </w:r>
      <w:r w:rsidR="003A189C">
        <w:rPr>
          <w:lang w:val="en-US"/>
        </w:rPr>
        <w:t xml:space="preserve"> </w:t>
      </w:r>
      <w:r w:rsidR="00F0528F">
        <w:rPr>
          <w:lang w:val="en-US"/>
        </w:rPr>
        <w:t xml:space="preserve">than previously thought, </w:t>
      </w:r>
      <w:r w:rsidR="003A189C">
        <w:rPr>
          <w:lang w:val="en-US"/>
        </w:rPr>
        <w:t xml:space="preserve">particularly in </w:t>
      </w:r>
      <w:r w:rsidR="00F0528F">
        <w:rPr>
          <w:lang w:val="en-US"/>
        </w:rPr>
        <w:t>English-speaking</w:t>
      </w:r>
      <w:r w:rsidR="003A189C">
        <w:rPr>
          <w:lang w:val="en-US"/>
        </w:rPr>
        <w:t xml:space="preserve"> countries</w:t>
      </w:r>
      <w:r w:rsidR="00CF2108">
        <w:rPr>
          <w:lang w:val="en-US"/>
        </w:rPr>
        <w:t>.</w:t>
      </w:r>
      <w:r>
        <w:rPr>
          <w:lang w:val="en-US"/>
        </w:rPr>
        <w:t xml:space="preserve"> </w:t>
      </w:r>
      <w:r w:rsidR="005328E3">
        <w:t>These new findings sparked</w:t>
      </w:r>
      <w:r w:rsidR="00FC30F6">
        <w:t xml:space="preserve"> </w:t>
      </w:r>
      <w:r w:rsidR="00F0528F">
        <w:t xml:space="preserve">a </w:t>
      </w:r>
      <w:r w:rsidR="00FC30F6">
        <w:t>debate, particularly in the United States, about the real trends on inequality</w:t>
      </w:r>
      <w:r w:rsidR="00A72A9A">
        <w:t xml:space="preserve"> and the validity </w:t>
      </w:r>
      <w:r>
        <w:t xml:space="preserve">of the numbers </w:t>
      </w:r>
      <w:r w:rsidR="009A4A33">
        <w:t>used in underlying studies</w:t>
      </w:r>
      <w:r w:rsidR="00FC30F6">
        <w:t xml:space="preserve">. </w:t>
      </w:r>
    </w:p>
    <w:p w14:paraId="6133AC1A" w14:textId="3A498EDF" w:rsidR="000608F3" w:rsidRPr="0070411B" w:rsidRDefault="0070411B" w:rsidP="00BA42CD">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4</w:instrText>
      </w:r>
      <w:r>
        <w:fldChar w:fldCharType="end"/>
      </w:r>
      <w:r>
        <w:instrText>.</w:instrText>
      </w:r>
      <w:r>
        <w:tab/>
      </w:r>
      <w:r>
        <w:fldChar w:fldCharType="end"/>
      </w:r>
      <w:r>
        <w:t xml:space="preserve">These findings </w:t>
      </w:r>
      <w:r w:rsidR="00FC30F6" w:rsidRPr="0070411B">
        <w:t xml:space="preserve">altered the popular </w:t>
      </w:r>
      <w:r w:rsidR="009760EC">
        <w:t xml:space="preserve">and expert </w:t>
      </w:r>
      <w:r w:rsidR="00FC30F6" w:rsidRPr="0070411B">
        <w:t>view</w:t>
      </w:r>
      <w:r w:rsidR="009760EC">
        <w:t>s</w:t>
      </w:r>
      <w:r w:rsidR="00FC30F6" w:rsidRPr="0070411B">
        <w:t xml:space="preserve"> on </w:t>
      </w:r>
      <w:r>
        <w:t>inequality</w:t>
      </w:r>
      <w:r w:rsidR="009C73FC">
        <w:t xml:space="preserve">. In particular, </w:t>
      </w:r>
      <w:r w:rsidR="00DA58B5">
        <w:t xml:space="preserve">the notion of </w:t>
      </w:r>
      <w:r w:rsidR="009C73FC">
        <w:t xml:space="preserve">inequality is now often </w:t>
      </w:r>
      <w:r w:rsidR="00DA58B5">
        <w:t>narrowed down</w:t>
      </w:r>
      <w:r w:rsidR="009760EC">
        <w:t xml:space="preserve"> </w:t>
      </w:r>
      <w:r w:rsidR="00DA58B5">
        <w:t xml:space="preserve">to </w:t>
      </w:r>
      <w:r w:rsidR="00C314B5" w:rsidRPr="0070411B">
        <w:t xml:space="preserve">the gap between the very rich and the rest of the population </w:t>
      </w:r>
      <w:r w:rsidR="00D87689">
        <w:t>(or</w:t>
      </w:r>
      <w:r w:rsidR="00C314B5" w:rsidRPr="0070411B">
        <w:t xml:space="preserve"> </w:t>
      </w:r>
      <w:r w:rsidR="009760EC">
        <w:t>in other terms</w:t>
      </w:r>
      <w:r w:rsidR="001855BF">
        <w:t>,</w:t>
      </w:r>
      <w:r w:rsidR="009760EC">
        <w:t xml:space="preserve"> </w:t>
      </w:r>
      <w:r w:rsidR="00DE2A15" w:rsidRPr="0070411B">
        <w:t>into</w:t>
      </w:r>
      <w:r w:rsidR="00C314B5" w:rsidRPr="0070411B">
        <w:t xml:space="preserve"> the divide between the </w:t>
      </w:r>
      <w:r w:rsidR="00DE2A15" w:rsidRPr="0070411B">
        <w:t xml:space="preserve">top </w:t>
      </w:r>
      <w:r w:rsidR="00C314B5" w:rsidRPr="0070411B">
        <w:t xml:space="preserve">1% and the </w:t>
      </w:r>
      <w:r w:rsidR="00DE2A15" w:rsidRPr="0070411B">
        <w:t xml:space="preserve">bottom </w:t>
      </w:r>
      <w:r w:rsidR="00C314B5" w:rsidRPr="0070411B">
        <w:t>99%</w:t>
      </w:r>
      <w:r w:rsidR="009A4A33">
        <w:t xml:space="preserve">, </w:t>
      </w:r>
      <w:r w:rsidR="00DA58B5">
        <w:t xml:space="preserve">as </w:t>
      </w:r>
      <w:r w:rsidR="009A4A33" w:rsidRPr="0070411B">
        <w:t>popular</w:t>
      </w:r>
      <w:r w:rsidR="009A4A33">
        <w:t>ised</w:t>
      </w:r>
      <w:r w:rsidR="009A4A33" w:rsidRPr="0070411B">
        <w:t xml:space="preserve"> </w:t>
      </w:r>
      <w:r w:rsidR="009A4A33">
        <w:t xml:space="preserve">notably </w:t>
      </w:r>
      <w:r w:rsidR="009A4A33" w:rsidRPr="0070411B">
        <w:t>by the Occupy Wall Street Movement</w:t>
      </w:r>
      <w:r w:rsidR="00D87689">
        <w:t>)</w:t>
      </w:r>
      <w:r w:rsidR="00C314B5" w:rsidRPr="0070411B">
        <w:t>.</w:t>
      </w:r>
      <w:r w:rsidR="00A72A9A" w:rsidRPr="0070411B">
        <w:t xml:space="preserve"> This </w:t>
      </w:r>
      <w:r w:rsidR="00787179" w:rsidRPr="0070411B">
        <w:t>view</w:t>
      </w:r>
      <w:r w:rsidR="00A72A9A" w:rsidRPr="0070411B">
        <w:t xml:space="preserve"> is </w:t>
      </w:r>
      <w:r w:rsidR="009760EC">
        <w:t>undoubtedly</w:t>
      </w:r>
      <w:r w:rsidR="009C73FC">
        <w:t xml:space="preserve"> </w:t>
      </w:r>
      <w:r w:rsidR="00DA58B5">
        <w:t>relev</w:t>
      </w:r>
      <w:r w:rsidR="009C73FC">
        <w:t xml:space="preserve">ant but </w:t>
      </w:r>
      <w:r w:rsidR="00D87689">
        <w:t xml:space="preserve">in itself </w:t>
      </w:r>
      <w:r w:rsidR="00DA58B5">
        <w:t>too narrow</w:t>
      </w:r>
      <w:r w:rsidR="009C73FC">
        <w:t>.</w:t>
      </w:r>
      <w:r w:rsidR="00787179" w:rsidRPr="0070411B">
        <w:t xml:space="preserve"> </w:t>
      </w:r>
      <w:r w:rsidR="00E505F4" w:rsidRPr="0070411B">
        <w:t xml:space="preserve">A growing share of national income accumulated by the top 1% can indeed have </w:t>
      </w:r>
      <w:r w:rsidR="00DA58B5">
        <w:t xml:space="preserve">a </w:t>
      </w:r>
      <w:r w:rsidR="00E505F4" w:rsidRPr="0070411B">
        <w:t>deleterious effect on society and shape important issu</w:t>
      </w:r>
      <w:r w:rsidR="00D87689">
        <w:t>es in term</w:t>
      </w:r>
      <w:r w:rsidR="00DA58B5">
        <w:t>s</w:t>
      </w:r>
      <w:r w:rsidR="00D87689">
        <w:t xml:space="preserve"> of </w:t>
      </w:r>
      <w:r w:rsidR="009A4A33">
        <w:t xml:space="preserve">the </w:t>
      </w:r>
      <w:r w:rsidR="00D87689">
        <w:t>political ec</w:t>
      </w:r>
      <w:r w:rsidR="009760EC">
        <w:t>onomy. T</w:t>
      </w:r>
      <w:r w:rsidR="00E505F4" w:rsidRPr="0070411B">
        <w:t xml:space="preserve">he fact that between 1975 and 2007 around 47% </w:t>
      </w:r>
      <w:r w:rsidR="00E505F4" w:rsidRPr="0070411B">
        <w:lastRenderedPageBreak/>
        <w:t xml:space="preserve">of total </w:t>
      </w:r>
      <w:r w:rsidR="00D87689">
        <w:t xml:space="preserve">GDP </w:t>
      </w:r>
      <w:r w:rsidR="00E505F4" w:rsidRPr="0070411B">
        <w:t xml:space="preserve">growth </w:t>
      </w:r>
      <w:r w:rsidR="00D87689">
        <w:t xml:space="preserve">per capita </w:t>
      </w:r>
      <w:r w:rsidR="009760EC" w:rsidRPr="0070411B">
        <w:t>in the United States</w:t>
      </w:r>
      <w:r w:rsidR="009760EC">
        <w:t xml:space="preserve"> </w:t>
      </w:r>
      <w:r w:rsidR="00E505F4" w:rsidRPr="0070411B">
        <w:t>went to the top 1% (see OECD, 2014</w:t>
      </w:r>
      <w:r w:rsidR="00125631">
        <w:t>a</w:t>
      </w:r>
      <w:r w:rsidR="00E505F4" w:rsidRPr="0070411B">
        <w:t xml:space="preserve">) justifies </w:t>
      </w:r>
      <w:r w:rsidR="00D87689">
        <w:t xml:space="preserve">indeed </w:t>
      </w:r>
      <w:r w:rsidR="00E505F4" w:rsidRPr="0070411B">
        <w:t>a specific focus on top income</w:t>
      </w:r>
      <w:r w:rsidR="00D87689">
        <w:t>s</w:t>
      </w:r>
      <w:r w:rsidR="00E505F4" w:rsidRPr="0070411B">
        <w:t>.</w:t>
      </w:r>
      <w:r w:rsidR="000608F3" w:rsidRPr="0070411B">
        <w:t xml:space="preserve"> </w:t>
      </w:r>
      <w:r w:rsidR="009C73FC">
        <w:t>B</w:t>
      </w:r>
      <w:r w:rsidR="009C73FC" w:rsidRPr="0070411B">
        <w:t xml:space="preserve">ut </w:t>
      </w:r>
      <w:r w:rsidR="009C73FC">
        <w:t>the divide between the 99% and the 1%</w:t>
      </w:r>
      <w:r w:rsidR="009C73FC" w:rsidRPr="0070411B">
        <w:t xml:space="preserve"> constitutes only one aspect of inequality.</w:t>
      </w:r>
    </w:p>
    <w:p w14:paraId="165E4900" w14:textId="77777777" w:rsidR="003300CD" w:rsidRDefault="000608F3" w:rsidP="00BA42CD">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5</w:instrText>
      </w:r>
      <w:r>
        <w:fldChar w:fldCharType="end"/>
      </w:r>
      <w:r>
        <w:instrText>.</w:instrText>
      </w:r>
      <w:r>
        <w:tab/>
      </w:r>
      <w:r>
        <w:fldChar w:fldCharType="end"/>
      </w:r>
      <w:r w:rsidR="009C73FC">
        <w:t xml:space="preserve">In fact, </w:t>
      </w:r>
      <w:r w:rsidR="00E505F4" w:rsidRPr="000608F3">
        <w:t xml:space="preserve">casting light mainly on </w:t>
      </w:r>
      <w:r w:rsidR="009C73FC">
        <w:t>top incomes and how they t</w:t>
      </w:r>
      <w:r w:rsidR="00D87689">
        <w:t xml:space="preserve">end to move apart from the rest of the population </w:t>
      </w:r>
      <w:r w:rsidR="00E505F4" w:rsidRPr="000608F3">
        <w:t xml:space="preserve">occult what is happening within the bulk of </w:t>
      </w:r>
      <w:r w:rsidR="00D87689">
        <w:t>a</w:t>
      </w:r>
      <w:r w:rsidR="00E505F4" w:rsidRPr="000608F3">
        <w:t xml:space="preserve"> society.</w:t>
      </w:r>
      <w:r w:rsidR="00C52EA5" w:rsidRPr="000608F3">
        <w:t xml:space="preserve"> </w:t>
      </w:r>
      <w:r w:rsidR="001A6188">
        <w:t>A</w:t>
      </w:r>
      <w:r w:rsidR="00D87689">
        <w:t xml:space="preserve">nd </w:t>
      </w:r>
      <w:r w:rsidR="007D488B" w:rsidRPr="000608F3">
        <w:t>a</w:t>
      </w:r>
      <w:r w:rsidR="00C52EA5" w:rsidRPr="000608F3">
        <w:t xml:space="preserve">s argued </w:t>
      </w:r>
      <w:r w:rsidR="009760EC">
        <w:t xml:space="preserve">recently </w:t>
      </w:r>
      <w:r w:rsidR="00C52EA5" w:rsidRPr="000608F3">
        <w:t xml:space="preserve">by Acemoglu and Robinson (2014), an exclusive focus on the top 1% “may not be the most fruitful way of thinking </w:t>
      </w:r>
      <w:r w:rsidRPr="000608F3">
        <w:t xml:space="preserve">about </w:t>
      </w:r>
      <w:r w:rsidR="00C52EA5" w:rsidRPr="000608F3">
        <w:t xml:space="preserve">the societal and welfare consequences of inequality”. Other </w:t>
      </w:r>
      <w:r w:rsidR="00D87689">
        <w:t>elements</w:t>
      </w:r>
      <w:r w:rsidR="00A01B4C">
        <w:t>,</w:t>
      </w:r>
      <w:r w:rsidRPr="000608F3">
        <w:t xml:space="preserve"> such as the</w:t>
      </w:r>
      <w:r w:rsidR="00C52EA5" w:rsidRPr="000608F3">
        <w:t xml:space="preserve"> gap between the bottom and the middle class</w:t>
      </w:r>
      <w:r w:rsidR="00A01B4C">
        <w:t>,</w:t>
      </w:r>
      <w:r w:rsidR="00C52EA5" w:rsidRPr="000608F3">
        <w:t xml:space="preserve"> are equally valuable to understand inequality</w:t>
      </w:r>
      <w:r w:rsidR="009760EC">
        <w:t xml:space="preserve">, social mobility </w:t>
      </w:r>
      <w:r w:rsidR="00C52EA5" w:rsidRPr="000608F3">
        <w:t xml:space="preserve">and </w:t>
      </w:r>
      <w:r w:rsidR="00A01B4C">
        <w:t>thus</w:t>
      </w:r>
      <w:r w:rsidR="00C52EA5" w:rsidRPr="000608F3">
        <w:t xml:space="preserve"> for </w:t>
      </w:r>
      <w:r w:rsidR="00A01B4C">
        <w:t xml:space="preserve">relevant </w:t>
      </w:r>
      <w:r w:rsidR="00C52EA5" w:rsidRPr="000608F3">
        <w:t>policy discussions</w:t>
      </w:r>
      <w:r w:rsidR="009A4A33">
        <w:t>.</w:t>
      </w:r>
      <w:r w:rsidR="007D488B" w:rsidRPr="000608F3">
        <w:rPr>
          <w:rStyle w:val="FootnoteReference"/>
        </w:rPr>
        <w:footnoteReference w:id="2"/>
      </w:r>
      <w:r w:rsidR="00C52EA5" w:rsidRPr="000608F3">
        <w:t xml:space="preserve"> As such, </w:t>
      </w:r>
      <w:r w:rsidR="00387A12">
        <w:t>a</w:t>
      </w:r>
      <w:r w:rsidR="009760EC">
        <w:t xml:space="preserve"> complete </w:t>
      </w:r>
      <w:r w:rsidR="00387A12">
        <w:t xml:space="preserve">treatment </w:t>
      </w:r>
      <w:r w:rsidR="009760EC">
        <w:t xml:space="preserve">of inequality </w:t>
      </w:r>
      <w:r w:rsidR="00387A12">
        <w:t>requires</w:t>
      </w:r>
      <w:r w:rsidR="00C52EA5" w:rsidRPr="000608F3">
        <w:t xml:space="preserve"> a picture of the 100%</w:t>
      </w:r>
      <w:r w:rsidR="009760EC">
        <w:t>,</w:t>
      </w:r>
      <w:r w:rsidR="00FA000C">
        <w:t xml:space="preserve"> i.e. </w:t>
      </w:r>
      <w:r w:rsidR="00387A12">
        <w:t xml:space="preserve">the need to </w:t>
      </w:r>
      <w:r w:rsidR="00FA000C">
        <w:t>bring together</w:t>
      </w:r>
      <w:r w:rsidR="00387A12">
        <w:t xml:space="preserve"> </w:t>
      </w:r>
      <w:r w:rsidR="00FA000C">
        <w:t>a small group of the population with a large share of income,</w:t>
      </w:r>
      <w:r w:rsidR="00D87689">
        <w:t xml:space="preserve"> </w:t>
      </w:r>
      <w:r w:rsidR="009760EC">
        <w:t xml:space="preserve">that is </w:t>
      </w:r>
      <w:r w:rsidR="00D87689">
        <w:t>the top 1%,</w:t>
      </w:r>
      <w:r w:rsidR="00FA000C">
        <w:t xml:space="preserve"> and</w:t>
      </w:r>
      <w:r w:rsidR="00387A12">
        <w:t xml:space="preserve"> </w:t>
      </w:r>
      <w:r w:rsidR="00FA000C">
        <w:t>a group comprising most of the population but where income concentration is less severe</w:t>
      </w:r>
      <w:r w:rsidR="00D87689">
        <w:t xml:space="preserve">, </w:t>
      </w:r>
      <w:r w:rsidR="009760EC">
        <w:t xml:space="preserve">that is </w:t>
      </w:r>
      <w:r w:rsidR="00D87689">
        <w:t>the 99%</w:t>
      </w:r>
      <w:r w:rsidR="00FA000C">
        <w:t>.</w:t>
      </w:r>
    </w:p>
    <w:p w14:paraId="3A233987" w14:textId="160A0C8C" w:rsidR="000608F3" w:rsidRPr="00E433D8" w:rsidRDefault="00E433D8" w:rsidP="00BA42CD">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6</w:instrText>
      </w:r>
      <w:r>
        <w:fldChar w:fldCharType="end"/>
      </w:r>
      <w:r>
        <w:instrText>.</w:instrText>
      </w:r>
      <w:r>
        <w:tab/>
      </w:r>
      <w:r>
        <w:fldChar w:fldCharType="end"/>
      </w:r>
      <w:r w:rsidR="00FA000C" w:rsidRPr="00FA000C">
        <w:t xml:space="preserve"> </w:t>
      </w:r>
      <w:r w:rsidR="009760EC">
        <w:t>This requirement</w:t>
      </w:r>
      <w:r w:rsidR="00FA000C">
        <w:t xml:space="preserve"> </w:t>
      </w:r>
      <w:r w:rsidR="00FA000C" w:rsidRPr="000608F3">
        <w:t xml:space="preserve">seems quite </w:t>
      </w:r>
      <w:r w:rsidR="00D87689">
        <w:t>natural</w:t>
      </w:r>
      <w:r w:rsidR="009760EC">
        <w:t xml:space="preserve"> and at first glance </w:t>
      </w:r>
      <w:r w:rsidR="00670E6A">
        <w:t>pretty straightforward</w:t>
      </w:r>
      <w:r w:rsidR="00FA000C">
        <w:t xml:space="preserve">. But in </w:t>
      </w:r>
      <w:r w:rsidR="00FA000C" w:rsidRPr="000608F3">
        <w:t>practice</w:t>
      </w:r>
      <w:r w:rsidR="001855BF">
        <w:t>,</w:t>
      </w:r>
      <w:r w:rsidR="00FA000C" w:rsidRPr="000608F3">
        <w:t xml:space="preserve"> </w:t>
      </w:r>
      <w:r w:rsidR="00786E52">
        <w:t>creating a unified database is fraught with difficulties</w:t>
      </w:r>
      <w:r w:rsidR="00FA000C" w:rsidRPr="000608F3">
        <w:t xml:space="preserve">, mainly because income inequality figures derived from household surveys are </w:t>
      </w:r>
      <w:r w:rsidR="00242238">
        <w:t>weakly comparable</w:t>
      </w:r>
      <w:r w:rsidR="00FA000C" w:rsidRPr="000608F3">
        <w:t xml:space="preserve"> with </w:t>
      </w:r>
      <w:r w:rsidR="009760EC">
        <w:t xml:space="preserve">the sources used to measure </w:t>
      </w:r>
      <w:r w:rsidR="00FA000C" w:rsidRPr="000608F3">
        <w:t>top shares</w:t>
      </w:r>
      <w:r w:rsidR="009760EC">
        <w:t>, i.e.</w:t>
      </w:r>
      <w:r w:rsidR="00FA000C" w:rsidRPr="000608F3">
        <w:t xml:space="preserve"> tax return-based tabulations.</w:t>
      </w:r>
      <w:r w:rsidR="00FA000C">
        <w:t xml:space="preserve"> </w:t>
      </w:r>
      <w:r w:rsidR="00CF7196">
        <w:t xml:space="preserve">As a result, the </w:t>
      </w:r>
      <w:r w:rsidR="00786E52">
        <w:t xml:space="preserve">information upon which evidence-based policy recommendations are made is </w:t>
      </w:r>
      <w:r w:rsidR="00CF7196">
        <w:t>current</w:t>
      </w:r>
      <w:r w:rsidR="00786E52">
        <w:t xml:space="preserve">ly </w:t>
      </w:r>
      <w:r w:rsidR="00CF7196">
        <w:t>fragmented. On the one hand, inequality figures draw</w:t>
      </w:r>
      <w:r w:rsidR="006C19B2">
        <w:t>n</w:t>
      </w:r>
      <w:r w:rsidR="00CF7196">
        <w:t xml:space="preserve"> from household surveys measure</w:t>
      </w:r>
      <w:r w:rsidR="00BA14A1">
        <w:t xml:space="preserve"> income dispersion on a </w:t>
      </w:r>
      <w:r w:rsidR="006C19B2">
        <w:t xml:space="preserve">comprehensive and representative portion </w:t>
      </w:r>
      <w:r w:rsidR="00BA14A1">
        <w:t xml:space="preserve">of the population, but are not able to capture </w:t>
      </w:r>
      <w:r w:rsidR="006C19B2">
        <w:t xml:space="preserve">income dispersion </w:t>
      </w:r>
      <w:r w:rsidR="00BA14A1">
        <w:t>at the very top of the distribution</w:t>
      </w:r>
      <w:r w:rsidR="00387A12">
        <w:t>.</w:t>
      </w:r>
      <w:r w:rsidR="00BA14A1">
        <w:t xml:space="preserve"> </w:t>
      </w:r>
      <w:r w:rsidR="00387A12">
        <w:t>Y</w:t>
      </w:r>
      <w:r w:rsidR="006C19B2">
        <w:t>et this i</w:t>
      </w:r>
      <w:r w:rsidR="00070F31">
        <w:t>s</w:t>
      </w:r>
      <w:r w:rsidR="006C19B2">
        <w:t xml:space="preserve"> where most of the changes in inequality occurred </w:t>
      </w:r>
      <w:r w:rsidR="00BA14A1">
        <w:t xml:space="preserve">over the last </w:t>
      </w:r>
      <w:r>
        <w:t>fifteen years</w:t>
      </w:r>
      <w:r w:rsidR="00BA14A1">
        <w:t xml:space="preserve">. This implies </w:t>
      </w:r>
      <w:r w:rsidR="002D0F41">
        <w:t xml:space="preserve">in particular </w:t>
      </w:r>
      <w:r w:rsidR="00BA14A1">
        <w:t>a systematic underestimation of inequality level</w:t>
      </w:r>
      <w:r w:rsidR="00196281">
        <w:t>s</w:t>
      </w:r>
      <w:r w:rsidR="00BA14A1">
        <w:t xml:space="preserve"> </w:t>
      </w:r>
      <w:r w:rsidR="00FA000C">
        <w:t xml:space="preserve">based </w:t>
      </w:r>
      <w:r w:rsidR="009760EC">
        <w:t>on</w:t>
      </w:r>
      <w:r>
        <w:t xml:space="preserve"> surveys.</w:t>
      </w:r>
      <w:r w:rsidR="00070F31">
        <w:t xml:space="preserve"> </w:t>
      </w:r>
      <w:r w:rsidR="00BA14A1" w:rsidRPr="00E433D8">
        <w:t xml:space="preserve">On the other hand, figures derived from tax return data </w:t>
      </w:r>
      <w:r>
        <w:t>offer</w:t>
      </w:r>
      <w:r w:rsidR="00BA14A1" w:rsidRPr="00E433D8">
        <w:t xml:space="preserve"> an accurate picture </w:t>
      </w:r>
      <w:r w:rsidR="00FA000C" w:rsidRPr="00E433D8">
        <w:t>for</w:t>
      </w:r>
      <w:r w:rsidR="00BA14A1" w:rsidRPr="00E433D8">
        <w:t xml:space="preserve"> </w:t>
      </w:r>
      <w:r w:rsidR="009760EC">
        <w:t>top incomes</w:t>
      </w:r>
      <w:r w:rsidR="00BA14A1" w:rsidRPr="00E433D8">
        <w:t>, but remain mute about</w:t>
      </w:r>
      <w:r w:rsidR="00196281" w:rsidRPr="00E433D8">
        <w:t xml:space="preserve"> the contribution of this group to overall inequality</w:t>
      </w:r>
      <w:r w:rsidR="003A189C">
        <w:t xml:space="preserve">: in particular, the </w:t>
      </w:r>
      <w:r w:rsidR="001A6188">
        <w:t xml:space="preserve">complete </w:t>
      </w:r>
      <w:r w:rsidR="003A189C">
        <w:t xml:space="preserve">evolution of inequality in a country where top income shares increase but where inequality across the rest of the population decreases cannot be determined. In fact, no overall measure </w:t>
      </w:r>
      <w:r w:rsidR="00786E52">
        <w:t>is</w:t>
      </w:r>
      <w:r w:rsidR="003A189C">
        <w:t xml:space="preserve"> available for quantifying what happens to inequality when the situation of the very rich is evolving differently </w:t>
      </w:r>
      <w:r w:rsidR="00F25D51">
        <w:t>from the situation of</w:t>
      </w:r>
      <w:r w:rsidR="003A189C">
        <w:t xml:space="preserve"> the rest of the distribution.</w:t>
      </w:r>
    </w:p>
    <w:p w14:paraId="7462B02E" w14:textId="1A9025C3" w:rsidR="00BF0E4F" w:rsidRDefault="00BF0E4F" w:rsidP="00BA42CD">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7</w:instrText>
      </w:r>
      <w:r>
        <w:fldChar w:fldCharType="end"/>
      </w:r>
      <w:r>
        <w:instrText>.</w:instrText>
      </w:r>
      <w:r>
        <w:tab/>
      </w:r>
      <w:r>
        <w:fldChar w:fldCharType="end"/>
      </w:r>
      <w:r w:rsidR="00FD6AC3">
        <w:t>Against this background,</w:t>
      </w:r>
      <w:r w:rsidR="0003495F">
        <w:t xml:space="preserve"> </w:t>
      </w:r>
      <w:r w:rsidR="00CB5F71">
        <w:t xml:space="preserve">this paper </w:t>
      </w:r>
      <w:r w:rsidR="00786E52">
        <w:t>proposes a methodology</w:t>
      </w:r>
      <w:r w:rsidR="00CB5F71">
        <w:t xml:space="preserve"> </w:t>
      </w:r>
      <w:r w:rsidR="00786E52">
        <w:t>to</w:t>
      </w:r>
      <w:r w:rsidR="00CB5F71">
        <w:t xml:space="preserve"> </w:t>
      </w:r>
      <w:r w:rsidR="00A4488B">
        <w:t>combin</w:t>
      </w:r>
      <w:r w:rsidR="00786E52">
        <w:t>e</w:t>
      </w:r>
      <w:r w:rsidR="00CB5F71">
        <w:t xml:space="preserve"> top income</w:t>
      </w:r>
      <w:r w:rsidR="0003495F">
        <w:t xml:space="preserve"> </w:t>
      </w:r>
      <w:r w:rsidR="00A4488B">
        <w:t>estimations and</w:t>
      </w:r>
      <w:r w:rsidR="0003495F">
        <w:t xml:space="preserve"> household surveys</w:t>
      </w:r>
      <w:r w:rsidR="00437551">
        <w:t xml:space="preserve"> in order to reconst</w:t>
      </w:r>
      <w:r w:rsidR="002A4B04">
        <w:t>itute a comprehensive picture of</w:t>
      </w:r>
      <w:r w:rsidR="00437551">
        <w:t xml:space="preserve"> inequality</w:t>
      </w:r>
      <w:r w:rsidR="002A4B04">
        <w:t xml:space="preserve"> in OECD countries</w:t>
      </w:r>
      <w:r w:rsidR="0078594E">
        <w:t>.</w:t>
      </w:r>
      <w:r w:rsidR="002A4B04">
        <w:t xml:space="preserve"> </w:t>
      </w:r>
      <w:r w:rsidR="00FD6AC3">
        <w:t>In a nutshell, the analysis</w:t>
      </w:r>
      <w:r w:rsidR="0003495F">
        <w:t xml:space="preserve"> </w:t>
      </w:r>
      <w:r w:rsidR="00FD6AC3">
        <w:t>delivers</w:t>
      </w:r>
      <w:r w:rsidR="0003495F">
        <w:t xml:space="preserve"> a set of top incomes-adjusted income distribution </w:t>
      </w:r>
      <w:r w:rsidR="002532B0">
        <w:t xml:space="preserve">series </w:t>
      </w:r>
      <w:r w:rsidR="0003495F">
        <w:t>that bring together the bottom 99% and the top 1</w:t>
      </w:r>
      <w:r w:rsidR="00FD6AC3">
        <w:t>%</w:t>
      </w:r>
      <w:r w:rsidR="00DE70B2">
        <w:t>,</w:t>
      </w:r>
      <w:r w:rsidR="00FD6AC3">
        <w:t xml:space="preserve"> </w:t>
      </w:r>
      <w:r w:rsidR="00DE70B2">
        <w:t xml:space="preserve">This is done </w:t>
      </w:r>
      <w:r w:rsidR="00FD6AC3">
        <w:t xml:space="preserve">by </w:t>
      </w:r>
      <w:r w:rsidR="003923D2">
        <w:t>correcting</w:t>
      </w:r>
      <w:r w:rsidR="00FD6AC3">
        <w:t xml:space="preserve"> household survey data </w:t>
      </w:r>
      <w:r w:rsidR="003923D2">
        <w:t xml:space="preserve">for underreporting </w:t>
      </w:r>
      <w:r w:rsidR="003D5E6B">
        <w:t xml:space="preserve">in </w:t>
      </w:r>
      <w:r w:rsidR="003923D2">
        <w:t xml:space="preserve">the upper-tail of income distributions. </w:t>
      </w:r>
      <w:r w:rsidR="00FD6AC3">
        <w:t>The resulting new</w:t>
      </w:r>
      <w:r w:rsidR="00966279">
        <w:t xml:space="preserve"> t</w:t>
      </w:r>
      <w:r w:rsidR="00796D0D">
        <w:t xml:space="preserve">op incomes estimates </w:t>
      </w:r>
      <w:r w:rsidR="0078594E">
        <w:t xml:space="preserve">are compared with </w:t>
      </w:r>
      <w:r w:rsidR="00FD6AC3">
        <w:t xml:space="preserve">those of the </w:t>
      </w:r>
      <w:r w:rsidR="0078594E">
        <w:t>Worl</w:t>
      </w:r>
      <w:r w:rsidR="00796D0D">
        <w:t>d Top Incomes database</w:t>
      </w:r>
      <w:r w:rsidR="0078594E">
        <w:rPr>
          <w:rStyle w:val="FootnoteReference"/>
        </w:rPr>
        <w:footnoteReference w:id="3"/>
      </w:r>
      <w:r w:rsidR="00796D0D">
        <w:t xml:space="preserve"> </w:t>
      </w:r>
      <w:r w:rsidR="00832153">
        <w:t>(hereafter WTID)</w:t>
      </w:r>
      <w:r w:rsidR="002532B0">
        <w:t>,</w:t>
      </w:r>
      <w:r w:rsidR="00832153">
        <w:t xml:space="preserve"> </w:t>
      </w:r>
      <w:r w:rsidR="003923D2">
        <w:t xml:space="preserve">the natural benchmark for comparison </w:t>
      </w:r>
      <w:r>
        <w:t>which</w:t>
      </w:r>
      <w:r w:rsidR="00796D0D">
        <w:t xml:space="preserve"> gathers all the series estimated</w:t>
      </w:r>
      <w:r w:rsidR="0078594E">
        <w:t xml:space="preserve"> by Atkinson </w:t>
      </w:r>
      <w:r w:rsidR="0078594E" w:rsidRPr="0078594E">
        <w:rPr>
          <w:i/>
        </w:rPr>
        <w:t>et</w:t>
      </w:r>
      <w:r w:rsidR="00796D0D" w:rsidRPr="0078594E">
        <w:rPr>
          <w:i/>
        </w:rPr>
        <w:t xml:space="preserve"> al</w:t>
      </w:r>
      <w:r w:rsidR="003D5E6B">
        <w:rPr>
          <w:i/>
        </w:rPr>
        <w:t xml:space="preserve">. </w:t>
      </w:r>
      <w:r w:rsidR="00796D0D">
        <w:t>(</w:t>
      </w:r>
      <w:r w:rsidR="00FD083B">
        <w:t>2011</w:t>
      </w:r>
      <w:r w:rsidR="003923D2">
        <w:t>)</w:t>
      </w:r>
      <w:r>
        <w:t>.</w:t>
      </w:r>
      <w:r w:rsidR="0003495F">
        <w:t xml:space="preserve"> </w:t>
      </w:r>
      <w:r w:rsidR="00EE30A6">
        <w:t>In order</w:t>
      </w:r>
      <w:r w:rsidR="0003495F">
        <w:t xml:space="preserve"> </w:t>
      </w:r>
      <w:r w:rsidR="00EE30A6">
        <w:t xml:space="preserve">to allow for a systematic and up to-date assessment of inequality, the approach presented in this paper requires </w:t>
      </w:r>
      <w:r w:rsidR="0003495F">
        <w:t>minimal data requirements</w:t>
      </w:r>
      <w:r w:rsidR="00EE30A6">
        <w:t xml:space="preserve"> and can be easily extended across countries and over time.</w:t>
      </w:r>
    </w:p>
    <w:p w14:paraId="090DC123" w14:textId="5F0CBB2B" w:rsidR="005328E3" w:rsidRDefault="00BF0E4F" w:rsidP="00BA42CD">
      <w:pPr>
        <w:pStyle w:val="Num-DocParagraph"/>
        <w:rPr>
          <w:lang w:val="en-US"/>
        </w:rPr>
      </w:pPr>
      <w:r>
        <w:fldChar w:fldCharType="begin"/>
      </w:r>
      <w:r>
        <w:instrText xml:space="preserve"> MACROBUTTON NUMBERING </w:instrText>
      </w:r>
      <w:r>
        <w:fldChar w:fldCharType="begin"/>
      </w:r>
      <w:r>
        <w:instrText xml:space="preserve"> SEQ  dpara</w:instrText>
      </w:r>
      <w:r>
        <w:fldChar w:fldCharType="separate"/>
      </w:r>
      <w:r w:rsidR="002114FC">
        <w:rPr>
          <w:noProof/>
        </w:rPr>
        <w:instrText>8</w:instrText>
      </w:r>
      <w:r>
        <w:fldChar w:fldCharType="end"/>
      </w:r>
      <w:r>
        <w:instrText>.</w:instrText>
      </w:r>
      <w:r>
        <w:tab/>
      </w:r>
      <w:r>
        <w:fldChar w:fldCharType="end"/>
      </w:r>
      <w:r>
        <w:rPr>
          <w:lang w:val="en-US"/>
        </w:rPr>
        <w:t>The main insights emerging from this paper are:</w:t>
      </w:r>
    </w:p>
    <w:p w14:paraId="6FB708E5" w14:textId="77777777" w:rsidR="00BF0E4F" w:rsidRDefault="00A20667" w:rsidP="00B123E8">
      <w:pPr>
        <w:pStyle w:val="ListBullet"/>
        <w:tabs>
          <w:tab w:val="clear" w:pos="4377"/>
          <w:tab w:val="num" w:pos="1276"/>
        </w:tabs>
        <w:ind w:left="1276"/>
      </w:pPr>
      <w:r>
        <w:rPr>
          <w:lang w:val="en-US"/>
        </w:rPr>
        <w:t>Levels of t</w:t>
      </w:r>
      <w:r>
        <w:t xml:space="preserve">op </w:t>
      </w:r>
      <w:r w:rsidR="00BF0E4F">
        <w:t xml:space="preserve">incomes </w:t>
      </w:r>
      <w:r w:rsidR="003D5E6B">
        <w:t>shares</w:t>
      </w:r>
      <w:r>
        <w:t xml:space="preserve"> derived </w:t>
      </w:r>
      <w:r w:rsidR="00BF0E4F">
        <w:t xml:space="preserve">from </w:t>
      </w:r>
      <w:r w:rsidR="00EC7EC2">
        <w:t>OECD data</w:t>
      </w:r>
      <w:r w:rsidR="00BF0E4F">
        <w:t xml:space="preserve"> </w:t>
      </w:r>
      <w:r>
        <w:t>are in line with</w:t>
      </w:r>
      <w:r w:rsidR="00F116D2">
        <w:t xml:space="preserve"> </w:t>
      </w:r>
      <w:r>
        <w:t>those of</w:t>
      </w:r>
      <w:r w:rsidR="00F116D2">
        <w:t xml:space="preserve"> the </w:t>
      </w:r>
      <w:r w:rsidR="00832153">
        <w:t>WTID</w:t>
      </w:r>
      <w:r w:rsidR="00F116D2">
        <w:t xml:space="preserve">: </w:t>
      </w:r>
      <w:r>
        <w:t xml:space="preserve">on average across countries, </w:t>
      </w:r>
      <w:r w:rsidR="00832153">
        <w:t xml:space="preserve">the difference </w:t>
      </w:r>
      <w:r>
        <w:t xml:space="preserve">between the two sources </w:t>
      </w:r>
      <w:r w:rsidR="00832153">
        <w:t>in</w:t>
      </w:r>
      <w:r>
        <w:t xml:space="preserve"> the share of income going to the</w:t>
      </w:r>
      <w:r w:rsidR="00832153">
        <w:t xml:space="preserve"> top 1% is </w:t>
      </w:r>
      <w:r w:rsidR="00B66539">
        <w:t>2 percentage points</w:t>
      </w:r>
      <w:r w:rsidR="00CE3D98">
        <w:t xml:space="preserve"> in 2010</w:t>
      </w:r>
      <w:r w:rsidR="00832153">
        <w:t>.</w:t>
      </w:r>
      <w:r>
        <w:t xml:space="preserve"> </w:t>
      </w:r>
    </w:p>
    <w:p w14:paraId="5BDD2756" w14:textId="77777777" w:rsidR="00832153" w:rsidRDefault="00A20667" w:rsidP="00B123E8">
      <w:pPr>
        <w:pStyle w:val="ListBullet"/>
        <w:tabs>
          <w:tab w:val="clear" w:pos="4377"/>
          <w:tab w:val="num" w:pos="1276"/>
        </w:tabs>
        <w:ind w:left="1276"/>
      </w:pPr>
      <w:r>
        <w:t>T</w:t>
      </w:r>
      <w:r w:rsidR="00832153">
        <w:t xml:space="preserve">rend </w:t>
      </w:r>
      <w:r w:rsidR="00DE70B2">
        <w:t>evolutions</w:t>
      </w:r>
      <w:r w:rsidR="00832153">
        <w:t xml:space="preserve"> </w:t>
      </w:r>
      <w:r>
        <w:t xml:space="preserve">in </w:t>
      </w:r>
      <w:r>
        <w:rPr>
          <w:lang w:val="en-US"/>
        </w:rPr>
        <w:t>t</w:t>
      </w:r>
      <w:r>
        <w:t>op incomes shares derived from OECD data are also in line with those of the WTID</w:t>
      </w:r>
      <w:r w:rsidR="00832153">
        <w:t xml:space="preserve">: on average between the mid-1980s and 2010, estimated top </w:t>
      </w:r>
      <w:r w:rsidR="00966279">
        <w:t>incomes</w:t>
      </w:r>
      <w:r w:rsidR="00832153">
        <w:t xml:space="preserve"> shares </w:t>
      </w:r>
      <w:r w:rsidR="00DE70B2">
        <w:t>are trending</w:t>
      </w:r>
      <w:r w:rsidR="00832153">
        <w:t xml:space="preserve"> </w:t>
      </w:r>
      <w:r w:rsidR="00DE70B2">
        <w:t xml:space="preserve">in </w:t>
      </w:r>
      <w:r w:rsidR="00832153">
        <w:t xml:space="preserve">the same </w:t>
      </w:r>
      <w:r w:rsidR="008E3360">
        <w:t>direction</w:t>
      </w:r>
      <w:r w:rsidR="00DE70B2">
        <w:t xml:space="preserve"> as</w:t>
      </w:r>
      <w:r w:rsidR="00832153">
        <w:t xml:space="preserve"> </w:t>
      </w:r>
      <w:r>
        <w:t xml:space="preserve">those in the </w:t>
      </w:r>
      <w:r w:rsidR="00832153">
        <w:t xml:space="preserve">WTID </w:t>
      </w:r>
      <w:r w:rsidR="00DE70B2">
        <w:t xml:space="preserve">in </w:t>
      </w:r>
      <w:r w:rsidR="00832153">
        <w:t>70% of the time.</w:t>
      </w:r>
    </w:p>
    <w:p w14:paraId="4E3AE888" w14:textId="77777777" w:rsidR="00832153" w:rsidRDefault="00C9443E" w:rsidP="00B123E8">
      <w:pPr>
        <w:pStyle w:val="ListBullet"/>
        <w:tabs>
          <w:tab w:val="clear" w:pos="4377"/>
          <w:tab w:val="num" w:pos="1276"/>
        </w:tabs>
        <w:ind w:left="1276"/>
      </w:pPr>
      <w:r>
        <w:lastRenderedPageBreak/>
        <w:t xml:space="preserve">Accounting for top incomes </w:t>
      </w:r>
      <w:r w:rsidR="004326A4">
        <w:t>results in a significant increase of</w:t>
      </w:r>
      <w:r>
        <w:t xml:space="preserve"> the </w:t>
      </w:r>
      <w:r w:rsidR="005C01DC">
        <w:t>level of inequality measured by standard</w:t>
      </w:r>
      <w:r>
        <w:t xml:space="preserve"> </w:t>
      </w:r>
      <w:r w:rsidR="002532B0">
        <w:t>statistics</w:t>
      </w:r>
      <w:r w:rsidR="005C01DC">
        <w:t xml:space="preserve"> based on household surveys</w:t>
      </w:r>
      <w:r w:rsidR="00832153">
        <w:t xml:space="preserve">: </w:t>
      </w:r>
      <w:r w:rsidR="005C01DC">
        <w:t xml:space="preserve">across OECD countries, </w:t>
      </w:r>
      <w:r w:rsidR="00832153">
        <w:t xml:space="preserve">the Gini coefficient </w:t>
      </w:r>
      <w:r w:rsidR="00A20667">
        <w:t xml:space="preserve">corrected for top incomes </w:t>
      </w:r>
      <w:r w:rsidR="00832153">
        <w:t xml:space="preserve">is </w:t>
      </w:r>
      <w:r w:rsidR="003D5E6B">
        <w:t xml:space="preserve">in 2011 </w:t>
      </w:r>
      <w:r w:rsidR="005C01DC">
        <w:t xml:space="preserve">on average </w:t>
      </w:r>
      <w:r w:rsidR="006163AA">
        <w:t>6</w:t>
      </w:r>
      <w:r w:rsidR="008E3360">
        <w:t xml:space="preserve"> percentage points</w:t>
      </w:r>
      <w:r w:rsidR="00832153">
        <w:t xml:space="preserve"> </w:t>
      </w:r>
      <w:r w:rsidR="008E3360">
        <w:t>higher</w:t>
      </w:r>
      <w:r w:rsidR="00832153">
        <w:t>, moving to</w:t>
      </w:r>
      <w:r w:rsidR="008E3360">
        <w:t xml:space="preserve"> </w:t>
      </w:r>
      <w:r w:rsidR="003D5E6B">
        <w:t>0.37</w:t>
      </w:r>
      <w:r w:rsidR="008E3360">
        <w:t xml:space="preserve"> from</w:t>
      </w:r>
      <w:r w:rsidR="00832153">
        <w:t xml:space="preserve"> </w:t>
      </w:r>
      <w:r w:rsidR="006163AA">
        <w:t>0.31</w:t>
      </w:r>
      <w:r w:rsidR="00832153">
        <w:t>.</w:t>
      </w:r>
      <w:r w:rsidR="008E3360">
        <w:t xml:space="preserve"> </w:t>
      </w:r>
      <w:r w:rsidR="006163AA">
        <w:t>Similarly, t</w:t>
      </w:r>
      <w:r w:rsidR="002532B0">
        <w:t xml:space="preserve">he gap between the </w:t>
      </w:r>
      <w:r w:rsidR="00ED13D7">
        <w:t xml:space="preserve">mean income of the </w:t>
      </w:r>
      <w:r w:rsidR="002532B0">
        <w:t>richest</w:t>
      </w:r>
      <w:r w:rsidR="008E3360">
        <w:t xml:space="preserve"> and the poorest 10% </w:t>
      </w:r>
      <w:r w:rsidR="00DE70B2">
        <w:t>rises</w:t>
      </w:r>
      <w:r w:rsidR="008E3360">
        <w:t xml:space="preserve"> </w:t>
      </w:r>
      <w:r w:rsidR="007662B3">
        <w:t>from 10 to 15</w:t>
      </w:r>
      <w:r w:rsidR="008E3360">
        <w:t>.</w:t>
      </w:r>
    </w:p>
    <w:p w14:paraId="44F77E86" w14:textId="77777777" w:rsidR="00006079" w:rsidRPr="008E3360" w:rsidRDefault="004326A4" w:rsidP="00B123E8">
      <w:pPr>
        <w:pStyle w:val="ListBullet"/>
        <w:tabs>
          <w:tab w:val="clear" w:pos="4377"/>
          <w:tab w:val="num" w:pos="1276"/>
        </w:tabs>
        <w:ind w:left="1276"/>
      </w:pPr>
      <w:r>
        <w:t xml:space="preserve">Accounting for top incomes </w:t>
      </w:r>
      <w:r w:rsidR="00F25D51">
        <w:t xml:space="preserve">also </w:t>
      </w:r>
      <w:r>
        <w:t>significantly alters</w:t>
      </w:r>
      <w:r w:rsidR="00A20667">
        <w:t xml:space="preserve"> the </w:t>
      </w:r>
      <w:r>
        <w:t>assessment of</w:t>
      </w:r>
      <w:r w:rsidR="00A20667">
        <w:t xml:space="preserve"> inequality </w:t>
      </w:r>
      <w:r>
        <w:t xml:space="preserve">trends delivered </w:t>
      </w:r>
      <w:r w:rsidR="00A20667">
        <w:t>by standard statistics based on household surveys</w:t>
      </w:r>
      <w:r w:rsidR="008E3360">
        <w:t xml:space="preserve">. </w:t>
      </w:r>
      <w:r>
        <w:t xml:space="preserve">This adjustment can either reinforce </w:t>
      </w:r>
      <w:r w:rsidR="00885C25">
        <w:t xml:space="preserve">(e.g. Chile, Japan, </w:t>
      </w:r>
      <w:r w:rsidR="00D84F0C">
        <w:t>and the</w:t>
      </w:r>
      <w:r w:rsidR="00885C25">
        <w:t xml:space="preserve"> United States) </w:t>
      </w:r>
      <w:r>
        <w:t xml:space="preserve">or moderate </w:t>
      </w:r>
      <w:r w:rsidR="00D84F0C">
        <w:t>(e.g. Australia, Austria and</w:t>
      </w:r>
      <w:r w:rsidR="00885C25">
        <w:t xml:space="preserve"> France) </w:t>
      </w:r>
      <w:r>
        <w:t>the unadjusted trend evolution</w:t>
      </w:r>
      <w:r w:rsidR="00885C25">
        <w:t>.</w:t>
      </w:r>
    </w:p>
    <w:p w14:paraId="65BDC1B4" w14:textId="77777777" w:rsidR="00D92A5C" w:rsidRPr="00324910" w:rsidRDefault="00D92A5C" w:rsidP="006245DC">
      <w:pPr>
        <w:pStyle w:val="Num-DocParagraph"/>
        <w:rPr>
          <w:lang w:val="en-US"/>
        </w:rPr>
      </w:pPr>
      <w:r>
        <w:rPr>
          <w:lang w:val="en-US"/>
        </w:rPr>
        <w:fldChar w:fldCharType="begin"/>
      </w:r>
      <w:r>
        <w:rPr>
          <w:lang w:val="en-US"/>
        </w:rPr>
        <w:instrText xml:space="preserve"> MACROBUTTON NUMBERING </w:instrText>
      </w:r>
      <w:r>
        <w:rPr>
          <w:lang w:val="en-US"/>
        </w:rPr>
        <w:fldChar w:fldCharType="begin"/>
      </w:r>
      <w:r>
        <w:rPr>
          <w:lang w:val="en-US"/>
        </w:rPr>
        <w:instrText xml:space="preserve"> SEQ  dpara</w:instrText>
      </w:r>
      <w:r>
        <w:rPr>
          <w:lang w:val="en-US"/>
        </w:rPr>
        <w:fldChar w:fldCharType="separate"/>
      </w:r>
      <w:r w:rsidR="002114FC">
        <w:rPr>
          <w:noProof/>
          <w:lang w:val="en-US"/>
        </w:rPr>
        <w:instrText>9</w:instrText>
      </w:r>
      <w:r>
        <w:rPr>
          <w:lang w:val="en-US"/>
        </w:rPr>
        <w:fldChar w:fldCharType="end"/>
      </w:r>
      <w:r>
        <w:rPr>
          <w:lang w:val="en-US"/>
        </w:rPr>
        <w:instrText>.</w:instrText>
      </w:r>
      <w:r>
        <w:rPr>
          <w:lang w:val="en-US"/>
        </w:rPr>
        <w:tab/>
      </w:r>
      <w:r>
        <w:rPr>
          <w:lang w:val="en-US"/>
        </w:rPr>
        <w:fldChar w:fldCharType="end"/>
      </w:r>
      <w:r w:rsidRPr="00324910">
        <w:rPr>
          <w:lang w:val="en-US"/>
        </w:rPr>
        <w:t xml:space="preserve">The </w:t>
      </w:r>
      <w:r w:rsidR="00006079">
        <w:rPr>
          <w:lang w:val="en-US"/>
        </w:rPr>
        <w:t xml:space="preserve">rest of the </w:t>
      </w:r>
      <w:r w:rsidRPr="00324910">
        <w:rPr>
          <w:lang w:val="en-US"/>
        </w:rPr>
        <w:t xml:space="preserve">paper is structured as follows. Section </w:t>
      </w:r>
      <w:r>
        <w:rPr>
          <w:lang w:val="en-US"/>
        </w:rPr>
        <w:t>2</w:t>
      </w:r>
      <w:r w:rsidRPr="00324910">
        <w:rPr>
          <w:lang w:val="en-US"/>
        </w:rPr>
        <w:t xml:space="preserve"> </w:t>
      </w:r>
      <w:r w:rsidR="00A70E1C">
        <w:rPr>
          <w:lang w:val="en-US"/>
        </w:rPr>
        <w:t>pr</w:t>
      </w:r>
      <w:r w:rsidR="00C27FD8">
        <w:rPr>
          <w:lang w:val="en-US"/>
        </w:rPr>
        <w:t>ovides a summary of inequality</w:t>
      </w:r>
      <w:r w:rsidR="008E3360">
        <w:rPr>
          <w:lang w:val="en-US"/>
        </w:rPr>
        <w:t xml:space="preserve"> </w:t>
      </w:r>
      <w:r w:rsidR="00993327">
        <w:rPr>
          <w:lang w:val="en-US"/>
        </w:rPr>
        <w:t>measure</w:t>
      </w:r>
      <w:r w:rsidR="00C27FD8">
        <w:rPr>
          <w:lang w:val="en-US"/>
        </w:rPr>
        <w:t>ment</w:t>
      </w:r>
      <w:r w:rsidR="008E3360">
        <w:rPr>
          <w:lang w:val="en-US"/>
        </w:rPr>
        <w:t xml:space="preserve"> </w:t>
      </w:r>
      <w:r w:rsidR="00C27FD8">
        <w:rPr>
          <w:lang w:val="en-US"/>
        </w:rPr>
        <w:t xml:space="preserve">through </w:t>
      </w:r>
      <w:r w:rsidR="00B967CA">
        <w:rPr>
          <w:lang w:val="en-US"/>
        </w:rPr>
        <w:t>respectively household surveys</w:t>
      </w:r>
      <w:r w:rsidR="00960435">
        <w:rPr>
          <w:lang w:val="en-US"/>
        </w:rPr>
        <w:t>, secondary cross-national datasets</w:t>
      </w:r>
      <w:r w:rsidR="00B967CA">
        <w:rPr>
          <w:lang w:val="en-US"/>
        </w:rPr>
        <w:t xml:space="preserve"> and tax return sources</w:t>
      </w:r>
      <w:r w:rsidR="00C27FD8">
        <w:rPr>
          <w:lang w:val="en-US"/>
        </w:rPr>
        <w:t>.</w:t>
      </w:r>
      <w:r w:rsidR="00367660">
        <w:rPr>
          <w:lang w:val="en-US"/>
        </w:rPr>
        <w:t xml:space="preserve"> </w:t>
      </w:r>
      <w:r w:rsidR="00A11487">
        <w:rPr>
          <w:lang w:val="en-US"/>
        </w:rPr>
        <w:t xml:space="preserve">Section 3 </w:t>
      </w:r>
      <w:r w:rsidR="00993327">
        <w:rPr>
          <w:lang w:val="en-US"/>
        </w:rPr>
        <w:t xml:space="preserve">presents the analytical framework </w:t>
      </w:r>
      <w:r w:rsidR="00C27FD8">
        <w:rPr>
          <w:lang w:val="en-US"/>
        </w:rPr>
        <w:t xml:space="preserve">used in this paper </w:t>
      </w:r>
      <w:r w:rsidR="00C27FD8">
        <w:t>to correct household surveys</w:t>
      </w:r>
      <w:r w:rsidR="00C27FD8">
        <w:rPr>
          <w:lang w:val="en-US"/>
        </w:rPr>
        <w:t xml:space="preserve"> for top incomes and delivers new estimates of</w:t>
      </w:r>
      <w:r w:rsidR="00EC7EC2">
        <w:rPr>
          <w:lang w:val="en-US"/>
        </w:rPr>
        <w:t xml:space="preserve"> top income shares </w:t>
      </w:r>
      <w:r w:rsidR="002532B0">
        <w:rPr>
          <w:lang w:val="en-US"/>
        </w:rPr>
        <w:t>from household surveys</w:t>
      </w:r>
      <w:r w:rsidR="00E86F5B">
        <w:rPr>
          <w:lang w:val="en-US"/>
        </w:rPr>
        <w:t xml:space="preserve"> for OECD countries</w:t>
      </w:r>
      <w:r w:rsidR="00F25D51">
        <w:rPr>
          <w:lang w:val="en-US"/>
        </w:rPr>
        <w:t>,</w:t>
      </w:r>
      <w:r w:rsidR="00E86F5B">
        <w:rPr>
          <w:lang w:val="en-US"/>
        </w:rPr>
        <w:t xml:space="preserve"> </w:t>
      </w:r>
      <w:r w:rsidR="00DE70B2">
        <w:rPr>
          <w:lang w:val="en-US"/>
        </w:rPr>
        <w:t xml:space="preserve">while providing a </w:t>
      </w:r>
      <w:r w:rsidR="00E86F5B">
        <w:rPr>
          <w:lang w:val="en-US"/>
        </w:rPr>
        <w:t>systematic comparison</w:t>
      </w:r>
      <w:r w:rsidR="00C46ADF">
        <w:rPr>
          <w:lang w:val="en-US"/>
        </w:rPr>
        <w:t xml:space="preserve"> with the WTID</w:t>
      </w:r>
      <w:r w:rsidRPr="00324910">
        <w:rPr>
          <w:lang w:val="en-US"/>
        </w:rPr>
        <w:t xml:space="preserve">. </w:t>
      </w:r>
      <w:r w:rsidR="00C27FD8">
        <w:rPr>
          <w:lang w:val="en-US"/>
        </w:rPr>
        <w:t>This allows in Section 4 for a comprehensive assessment of the income distribution and therefore of the level and evolution of inequality</w:t>
      </w:r>
      <w:r w:rsidR="00E86F5B" w:rsidRPr="00E86F5B">
        <w:rPr>
          <w:lang w:val="en-US"/>
        </w:rPr>
        <w:t xml:space="preserve"> </w:t>
      </w:r>
      <w:r w:rsidR="00E86F5B">
        <w:rPr>
          <w:lang w:val="en-US"/>
        </w:rPr>
        <w:t>in all OECD countries</w:t>
      </w:r>
      <w:r w:rsidR="00C27FD8">
        <w:rPr>
          <w:lang w:val="en-US"/>
        </w:rPr>
        <w:t>, combini</w:t>
      </w:r>
      <w:r w:rsidR="003D5E6B">
        <w:rPr>
          <w:lang w:val="en-US"/>
        </w:rPr>
        <w:t>ng top incomes with the rest of</w:t>
      </w:r>
      <w:r w:rsidR="00C27FD8">
        <w:rPr>
          <w:lang w:val="en-US"/>
        </w:rPr>
        <w:t xml:space="preserve"> </w:t>
      </w:r>
      <w:r w:rsidR="00EC7EC2">
        <w:rPr>
          <w:lang w:val="en-US"/>
        </w:rPr>
        <w:t>the population</w:t>
      </w:r>
      <w:r w:rsidR="00513F67">
        <w:rPr>
          <w:lang w:val="en-US"/>
        </w:rPr>
        <w:t xml:space="preserve">. </w:t>
      </w:r>
      <w:r w:rsidR="004D4A12">
        <w:rPr>
          <w:lang w:val="en-US"/>
        </w:rPr>
        <w:t>The last section concludes</w:t>
      </w:r>
      <w:r w:rsidR="00993327">
        <w:rPr>
          <w:lang w:val="en-US"/>
        </w:rPr>
        <w:t xml:space="preserve">. </w:t>
      </w:r>
      <w:r>
        <w:rPr>
          <w:lang w:val="en-US"/>
        </w:rPr>
        <w:t xml:space="preserve">  </w:t>
      </w:r>
    </w:p>
    <w:p w14:paraId="3BBD0D3A" w14:textId="77777777" w:rsidR="00D92A5C" w:rsidRDefault="00B171D6" w:rsidP="00BA42CD">
      <w:pPr>
        <w:pStyle w:val="Heading2"/>
      </w:pPr>
      <w:bookmarkStart w:id="14" w:name="_Toc416797619"/>
      <w:bookmarkStart w:id="15" w:name="_Toc416860223"/>
      <w:r>
        <w:t>Data sources for measuring inequality</w:t>
      </w:r>
      <w:bookmarkEnd w:id="14"/>
      <w:bookmarkEnd w:id="15"/>
    </w:p>
    <w:p w14:paraId="5EB1470E" w14:textId="77777777" w:rsidR="00B171D6" w:rsidRDefault="003302DE" w:rsidP="003302DE">
      <w:pPr>
        <w:pStyle w:val="Heading3"/>
      </w:pPr>
      <w:bookmarkStart w:id="16" w:name="_Toc416797620"/>
      <w:bookmarkStart w:id="17" w:name="_Toc416860224"/>
      <w:r>
        <w:t>Household surveys</w:t>
      </w:r>
      <w:bookmarkEnd w:id="16"/>
      <w:bookmarkEnd w:id="17"/>
    </w:p>
    <w:p w14:paraId="51FFCDE2" w14:textId="77777777" w:rsidR="003978F9" w:rsidRDefault="003978F9" w:rsidP="00CE3D98">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10</w:instrText>
      </w:r>
      <w:r>
        <w:fldChar w:fldCharType="end"/>
      </w:r>
      <w:r>
        <w:instrText>.</w:instrText>
      </w:r>
      <w:r>
        <w:tab/>
      </w:r>
      <w:r>
        <w:fldChar w:fldCharType="end"/>
      </w:r>
      <w:r w:rsidR="00951958">
        <w:t xml:space="preserve">In OECD countries, </w:t>
      </w:r>
      <w:r w:rsidR="00CF75BA">
        <w:t>the bulk of</w:t>
      </w:r>
      <w:r w:rsidR="00853CAE">
        <w:t xml:space="preserve"> </w:t>
      </w:r>
      <w:r w:rsidR="00CF75BA">
        <w:t xml:space="preserve">official </w:t>
      </w:r>
      <w:r w:rsidR="00853CAE">
        <w:t xml:space="preserve">income distribution statistics </w:t>
      </w:r>
      <w:r w:rsidR="00CF75BA">
        <w:t xml:space="preserve">is derived from </w:t>
      </w:r>
      <w:r w:rsidR="00853CAE">
        <w:t>household surveys</w:t>
      </w:r>
      <w:r w:rsidR="003D3347">
        <w:t>,</w:t>
      </w:r>
      <w:r w:rsidR="00CF75BA">
        <w:t xml:space="preserve"> generally </w:t>
      </w:r>
      <w:r w:rsidR="003D3347">
        <w:t xml:space="preserve">conducted </w:t>
      </w:r>
      <w:r w:rsidR="00CF75BA">
        <w:t>on a yearly basis.</w:t>
      </w:r>
      <w:r w:rsidR="00853CAE">
        <w:t xml:space="preserve"> </w:t>
      </w:r>
      <w:r w:rsidR="00505F63">
        <w:t>In theory</w:t>
      </w:r>
      <w:r w:rsidR="00CF75BA">
        <w:t>, t</w:t>
      </w:r>
      <w:r w:rsidR="00444D21">
        <w:t xml:space="preserve">he </w:t>
      </w:r>
      <w:r w:rsidR="00505F63">
        <w:t>ideal</w:t>
      </w:r>
      <w:r w:rsidR="00444D21">
        <w:t xml:space="preserve"> income survey </w:t>
      </w:r>
      <w:r w:rsidR="003D3347">
        <w:t>w</w:t>
      </w:r>
      <w:r w:rsidR="00505F63">
        <w:t>ould cover</w:t>
      </w:r>
      <w:r w:rsidR="00444D21">
        <w:t xml:space="preserve"> all households in the population, </w:t>
      </w:r>
      <w:r w:rsidR="00505F63">
        <w:t xml:space="preserve">with an equal selection </w:t>
      </w:r>
      <w:r w:rsidR="00444D21">
        <w:t xml:space="preserve">probability </w:t>
      </w:r>
      <w:r w:rsidR="003D3347">
        <w:t xml:space="preserve">for each of those </w:t>
      </w:r>
      <w:r w:rsidR="00505F63">
        <w:t xml:space="preserve">and </w:t>
      </w:r>
      <w:r w:rsidR="003D3347">
        <w:t>a comprehensive response by those actually surveyed at the implementation stage</w:t>
      </w:r>
      <w:r w:rsidR="00444D21">
        <w:t xml:space="preserve">. </w:t>
      </w:r>
      <w:r w:rsidR="003D3347">
        <w:t>Under such unbiased survey design,</w:t>
      </w:r>
      <w:r w:rsidR="00CF75BA">
        <w:t xml:space="preserve"> very rich households </w:t>
      </w:r>
      <w:r w:rsidR="003D3347">
        <w:t>would be surveyed and represented</w:t>
      </w:r>
      <w:r w:rsidR="009E34BE">
        <w:t>.</w:t>
      </w:r>
    </w:p>
    <w:p w14:paraId="5D8A4339" w14:textId="77777777" w:rsidR="007B0BD2" w:rsidRDefault="005F2911" w:rsidP="005F2911">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11</w:instrText>
      </w:r>
      <w:r>
        <w:fldChar w:fldCharType="end"/>
      </w:r>
      <w:r>
        <w:instrText>.</w:instrText>
      </w:r>
      <w:r>
        <w:tab/>
      </w:r>
      <w:r>
        <w:fldChar w:fldCharType="end"/>
      </w:r>
      <w:r>
        <w:t xml:space="preserve">In </w:t>
      </w:r>
      <w:r w:rsidR="003D3347">
        <w:t>practice,</w:t>
      </w:r>
      <w:r w:rsidR="00CF75BA">
        <w:t xml:space="preserve"> </w:t>
      </w:r>
      <w:r w:rsidR="003978F9">
        <w:t>for numerous reasons</w:t>
      </w:r>
      <w:r w:rsidR="00CF75BA">
        <w:t>,</w:t>
      </w:r>
      <w:r w:rsidR="003978F9">
        <w:t xml:space="preserve"> the design of </w:t>
      </w:r>
      <w:r w:rsidR="009E34BE">
        <w:t>a household survey</w:t>
      </w:r>
      <w:r w:rsidR="003978F9">
        <w:t xml:space="preserve"> is far more complex</w:t>
      </w:r>
      <w:r w:rsidR="00A46F91">
        <w:t>.</w:t>
      </w:r>
      <w:r w:rsidR="003978F9">
        <w:t xml:space="preserve"> </w:t>
      </w:r>
      <w:r w:rsidR="00A46F91">
        <w:t>N</w:t>
      </w:r>
      <w:r w:rsidR="003978F9">
        <w:t>on-compliance</w:t>
      </w:r>
      <w:r w:rsidR="00444D21" w:rsidRPr="003978F9">
        <w:t xml:space="preserve"> </w:t>
      </w:r>
      <w:r w:rsidR="003978F9">
        <w:t xml:space="preserve">from selected households can be </w:t>
      </w:r>
      <w:r w:rsidR="00CF75BA">
        <w:t>high</w:t>
      </w:r>
      <w:r w:rsidR="007F2754">
        <w:t xml:space="preserve">, leading to various measurement errors </w:t>
      </w:r>
      <w:r w:rsidR="00A46F91">
        <w:t xml:space="preserve">and associated issues for </w:t>
      </w:r>
      <w:r w:rsidR="007F2754">
        <w:t>income distribution</w:t>
      </w:r>
      <w:r w:rsidR="00CF75BA">
        <w:t xml:space="preserve"> </w:t>
      </w:r>
      <w:r w:rsidR="00A46F91">
        <w:t xml:space="preserve">analysis </w:t>
      </w:r>
      <w:r w:rsidR="00CF75BA">
        <w:t xml:space="preserve">(see Deaton, 1997 for a comprehensive </w:t>
      </w:r>
      <w:r w:rsidR="009E34BE">
        <w:t>review of</w:t>
      </w:r>
      <w:r w:rsidR="00CF75BA">
        <w:t xml:space="preserve"> household survey methodology</w:t>
      </w:r>
      <w:r>
        <w:t xml:space="preserve"> and underlying issues</w:t>
      </w:r>
      <w:r w:rsidR="00CF75BA">
        <w:t>)</w:t>
      </w:r>
      <w:r w:rsidR="003978F9">
        <w:t>.</w:t>
      </w:r>
      <w:r w:rsidR="007B0BD2">
        <w:t xml:space="preserve"> </w:t>
      </w:r>
      <w:r w:rsidR="00551690">
        <w:t>In the context of this</w:t>
      </w:r>
      <w:r w:rsidR="00CF75BA">
        <w:t xml:space="preserve"> paper</w:t>
      </w:r>
      <w:r w:rsidR="007B0BD2">
        <w:t>, it is important to highlight that in recent years concerns have been raised about the capacity of household survey</w:t>
      </w:r>
      <w:r w:rsidR="00551690">
        <w:t>s</w:t>
      </w:r>
      <w:r w:rsidR="007B0BD2">
        <w:t xml:space="preserve"> </w:t>
      </w:r>
      <w:r w:rsidR="00CF75BA">
        <w:t>to appropriately capture developments in</w:t>
      </w:r>
      <w:r w:rsidR="007B0BD2">
        <w:t xml:space="preserve"> the upper end of the income distribution. Factors that may disproportionately affect the quality of estimates for the highest income group from income surveys are: </w:t>
      </w:r>
    </w:p>
    <w:p w14:paraId="1C41BFAB" w14:textId="486CF34A" w:rsidR="007B0BD2" w:rsidRDefault="007B0BD2" w:rsidP="00B123E8">
      <w:pPr>
        <w:pStyle w:val="ListBullet"/>
        <w:tabs>
          <w:tab w:val="clear" w:pos="4377"/>
          <w:tab w:val="num" w:pos="1276"/>
        </w:tabs>
        <w:ind w:left="1276"/>
      </w:pPr>
      <w:r>
        <w:t>Higher than average non-re</w:t>
      </w:r>
      <w:r w:rsidR="00573767">
        <w:t>sponse rates (due to respondent</w:t>
      </w:r>
      <w:r>
        <w:t>s</w:t>
      </w:r>
      <w:r w:rsidR="00573767">
        <w:t>'</w:t>
      </w:r>
      <w:r>
        <w:t xml:space="preserve"> high opportunity costs, concerns about sensitivit</w:t>
      </w:r>
      <w:r w:rsidR="00D27688">
        <w:t>ies of complex personal affairs</w:t>
      </w:r>
      <w:r>
        <w:t xml:space="preserve"> and difficulties </w:t>
      </w:r>
      <w:r w:rsidR="00D27688">
        <w:t xml:space="preserve">in </w:t>
      </w:r>
      <w:r>
        <w:t>gaining access to this group)</w:t>
      </w:r>
      <w:r w:rsidR="00B123E8">
        <w:t>.</w:t>
      </w:r>
      <w:r>
        <w:t xml:space="preserve"> </w:t>
      </w:r>
    </w:p>
    <w:p w14:paraId="2162D46C" w14:textId="77777777" w:rsidR="007B0BD2" w:rsidRDefault="007B0BD2" w:rsidP="00B123E8">
      <w:pPr>
        <w:pStyle w:val="ListBullet"/>
        <w:tabs>
          <w:tab w:val="clear" w:pos="4377"/>
          <w:tab w:val="num" w:pos="1276"/>
        </w:tabs>
        <w:ind w:left="1276"/>
      </w:pPr>
      <w:r>
        <w:t xml:space="preserve">Unwillingness to provide accurate data due to respondent concerns about confidentiality and possible disclosure of sensitive information. </w:t>
      </w:r>
    </w:p>
    <w:p w14:paraId="677BE9C8" w14:textId="77777777" w:rsidR="007B0BD2" w:rsidRDefault="007B0BD2" w:rsidP="00B123E8">
      <w:pPr>
        <w:pStyle w:val="ListBullet"/>
        <w:tabs>
          <w:tab w:val="clear" w:pos="4377"/>
          <w:tab w:val="num" w:pos="1276"/>
        </w:tabs>
        <w:ind w:left="1276"/>
      </w:pPr>
      <w:r>
        <w:t xml:space="preserve">Survey collection and processing constraints such as any limit on the number of digits that can be recorded in the survey instrument or dataset. </w:t>
      </w:r>
    </w:p>
    <w:p w14:paraId="17C4807D" w14:textId="77777777" w:rsidR="003302DE" w:rsidRDefault="007B0BD2" w:rsidP="00B123E8">
      <w:pPr>
        <w:pStyle w:val="ListBullet"/>
        <w:tabs>
          <w:tab w:val="clear" w:pos="4377"/>
          <w:tab w:val="num" w:pos="1276"/>
        </w:tabs>
        <w:ind w:left="1276"/>
      </w:pPr>
      <w:r>
        <w:t xml:space="preserve">Top coding processes applied to the public use </w:t>
      </w:r>
      <w:r w:rsidR="00104854">
        <w:t>datasets,</w:t>
      </w:r>
      <w:r>
        <w:t xml:space="preserve"> i.e. censuring of income amount above a certain threshold in order to limit the risk of disclosing confidential information.</w:t>
      </w:r>
    </w:p>
    <w:p w14:paraId="6882054A" w14:textId="6587D876" w:rsidR="007F2754" w:rsidRDefault="003614CA" w:rsidP="007F2754">
      <w:pPr>
        <w:pStyle w:val="Num-DocParagraph"/>
        <w:rPr>
          <w:lang w:val="en-US"/>
        </w:rPr>
      </w:pPr>
      <w:r>
        <w:lastRenderedPageBreak/>
        <w:fldChar w:fldCharType="begin"/>
      </w:r>
      <w:r>
        <w:instrText xml:space="preserve"> MACROBUTTON NUMBERING </w:instrText>
      </w:r>
      <w:r>
        <w:fldChar w:fldCharType="begin"/>
      </w:r>
      <w:r>
        <w:instrText xml:space="preserve"> SEQ  dpara</w:instrText>
      </w:r>
      <w:r>
        <w:fldChar w:fldCharType="separate"/>
      </w:r>
      <w:r w:rsidR="002114FC">
        <w:rPr>
          <w:noProof/>
        </w:rPr>
        <w:instrText>12</w:instrText>
      </w:r>
      <w:r>
        <w:fldChar w:fldCharType="end"/>
      </w:r>
      <w:r>
        <w:instrText>.</w:instrText>
      </w:r>
      <w:r>
        <w:tab/>
      </w:r>
      <w:r>
        <w:fldChar w:fldCharType="end"/>
      </w:r>
      <w:r w:rsidR="00CF75BA">
        <w:t xml:space="preserve">At first glance, </w:t>
      </w:r>
      <w:r w:rsidR="00006E04">
        <w:t xml:space="preserve">those issues </w:t>
      </w:r>
      <w:r w:rsidR="00CF75BA">
        <w:t xml:space="preserve">may be considered as </w:t>
      </w:r>
      <w:r w:rsidR="00006E04">
        <w:t>fairly minor</w:t>
      </w:r>
      <w:r w:rsidR="001D02E7">
        <w:t xml:space="preserve"> and the underestimation of top incomes in household surveys </w:t>
      </w:r>
      <w:r w:rsidR="00916EA3">
        <w:t xml:space="preserve">as having </w:t>
      </w:r>
      <w:r w:rsidR="001D02E7">
        <w:t xml:space="preserve">all in all little impact on </w:t>
      </w:r>
      <w:r w:rsidR="00E06B31">
        <w:t xml:space="preserve">overall </w:t>
      </w:r>
      <w:r w:rsidR="001D02E7">
        <w:t>inequality. In fact</w:t>
      </w:r>
      <w:r>
        <w:t>,</w:t>
      </w:r>
      <w:r w:rsidR="001D02E7">
        <w:t xml:space="preserve"> simple calculations show that this is not the case. Assuming that the top income group is an infinitesimal share of the total population but with a finite share of total income, one can show that if between two periods the Gini coefficient </w:t>
      </w:r>
      <w:r>
        <w:t>on</w:t>
      </w:r>
      <w:r w:rsidR="001D02E7">
        <w:t xml:space="preserve"> the </w:t>
      </w:r>
      <w:r w:rsidR="00916EA3">
        <w:t xml:space="preserve">bottom </w:t>
      </w:r>
      <w:r w:rsidR="001D02E7">
        <w:t xml:space="preserve">99% </w:t>
      </w:r>
      <w:r w:rsidR="00916EA3">
        <w:t xml:space="preserve">of a distribution </w:t>
      </w:r>
      <w:r w:rsidR="001D02E7">
        <w:t xml:space="preserve">remains stable at </w:t>
      </w:r>
      <w:r w:rsidR="00916EA3">
        <w:t>(say)</w:t>
      </w:r>
      <w:r>
        <w:t xml:space="preserve"> </w:t>
      </w:r>
      <w:r w:rsidR="001D02E7">
        <w:t xml:space="preserve">40 percentage points, then a rise of 14 percentage points in the </w:t>
      </w:r>
      <w:r w:rsidR="00916EA3">
        <w:t xml:space="preserve">share of income held by the </w:t>
      </w:r>
      <w:r w:rsidR="001D02E7">
        <w:t>top 1% (</w:t>
      </w:r>
      <w:r>
        <w:t>as happened in the United States between 1976 and 2006) implies a rise of 8.4 percentage points in the Gini coefficient</w:t>
      </w:r>
      <w:r w:rsidR="001D02E7">
        <w:t xml:space="preserve"> </w:t>
      </w:r>
      <w:r>
        <w:t xml:space="preserve">on the </w:t>
      </w:r>
      <w:r w:rsidR="00916EA3">
        <w:t>overall population</w:t>
      </w:r>
      <w:r w:rsidR="00770EE1">
        <w:t>.</w:t>
      </w:r>
      <w:r w:rsidR="005D19D4">
        <w:rPr>
          <w:rStyle w:val="FootnoteReference"/>
        </w:rPr>
        <w:footnoteReference w:id="4"/>
      </w:r>
      <w:r>
        <w:rPr>
          <w:lang w:val="en-US"/>
        </w:rPr>
        <w:t xml:space="preserve"> </w:t>
      </w:r>
      <w:r w:rsidR="00916EA3">
        <w:rPr>
          <w:lang w:val="en-US"/>
        </w:rPr>
        <w:t>As a result, m</w:t>
      </w:r>
      <w:r>
        <w:rPr>
          <w:lang w:val="en-US"/>
        </w:rPr>
        <w:t xml:space="preserve">issing top incomes in household surveys can lead to </w:t>
      </w:r>
      <w:r w:rsidR="004F049C">
        <w:rPr>
          <w:lang w:val="en-US"/>
        </w:rPr>
        <w:t>large</w:t>
      </w:r>
      <w:r>
        <w:rPr>
          <w:lang w:val="en-US"/>
        </w:rPr>
        <w:t xml:space="preserve"> bias </w:t>
      </w:r>
      <w:r w:rsidR="00916EA3">
        <w:rPr>
          <w:lang w:val="en-US"/>
        </w:rPr>
        <w:t>in</w:t>
      </w:r>
      <w:r>
        <w:rPr>
          <w:lang w:val="en-US"/>
        </w:rPr>
        <w:t xml:space="preserve"> the measurement of inequality.</w:t>
      </w:r>
    </w:p>
    <w:p w14:paraId="5F11C577" w14:textId="77777777" w:rsidR="00D27688" w:rsidRDefault="00D27688" w:rsidP="007F2754">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13</w:instrText>
      </w:r>
      <w:r>
        <w:fldChar w:fldCharType="end"/>
      </w:r>
      <w:r>
        <w:instrText>.</w:instrText>
      </w:r>
      <w:r>
        <w:tab/>
      </w:r>
      <w:r>
        <w:fldChar w:fldCharType="end"/>
      </w:r>
      <w:r w:rsidR="000B2C19">
        <w:t>Acknowledging this</w:t>
      </w:r>
      <w:r w:rsidR="00104854">
        <w:t xml:space="preserve"> issue, recent studies </w:t>
      </w:r>
      <w:r w:rsidR="00DE70B2">
        <w:t xml:space="preserve">have </w:t>
      </w:r>
      <w:r w:rsidR="00104854">
        <w:t>tried to improve the upper tail information of household surveys</w:t>
      </w:r>
      <w:r w:rsidR="00FF7839">
        <w:t xml:space="preserve">, </w:t>
      </w:r>
      <w:r>
        <w:t>in particular by attempting</w:t>
      </w:r>
      <w:r w:rsidR="00FF7839">
        <w:t xml:space="preserve"> </w:t>
      </w:r>
      <w:r>
        <w:t xml:space="preserve">to </w:t>
      </w:r>
      <w:r w:rsidR="00FF7839">
        <w:t xml:space="preserve">reconcile </w:t>
      </w:r>
      <w:r w:rsidR="000B2C19">
        <w:t xml:space="preserve">for the United States </w:t>
      </w:r>
      <w:r w:rsidR="00FF7839">
        <w:t xml:space="preserve">the top income </w:t>
      </w:r>
      <w:r w:rsidR="004D7D8B">
        <w:t xml:space="preserve">estimates </w:t>
      </w:r>
      <w:r w:rsidR="00DE70B2">
        <w:t xml:space="preserve">from Piketty and Saez (2003) </w:t>
      </w:r>
      <w:r w:rsidR="004D7D8B">
        <w:t xml:space="preserve">with </w:t>
      </w:r>
      <w:r w:rsidR="00DE70B2">
        <w:t>those</w:t>
      </w:r>
      <w:r w:rsidR="00FF7839">
        <w:t xml:space="preserve"> from household surveys</w:t>
      </w:r>
      <w:r w:rsidR="00EF37B2">
        <w:t xml:space="preserve"> (see Burkhauser </w:t>
      </w:r>
      <w:r w:rsidR="00EF37B2" w:rsidRPr="00104854">
        <w:rPr>
          <w:i/>
        </w:rPr>
        <w:t>et al.</w:t>
      </w:r>
      <w:r w:rsidR="00EF37B2">
        <w:t>, 2012)</w:t>
      </w:r>
      <w:r w:rsidR="00FF7839">
        <w:t xml:space="preserve">. </w:t>
      </w:r>
      <w:r w:rsidR="00AC1EA7">
        <w:t xml:space="preserve">While the results point to </w:t>
      </w:r>
      <w:r w:rsidR="004D7D8B">
        <w:t>promising</w:t>
      </w:r>
      <w:r w:rsidR="00AC1EA7">
        <w:t xml:space="preserve"> similarities between the two sources, </w:t>
      </w:r>
      <w:r w:rsidR="00A16E9A">
        <w:t xml:space="preserve">the methodology used is </w:t>
      </w:r>
      <w:r w:rsidR="000B2C19">
        <w:t xml:space="preserve">unfortunately </w:t>
      </w:r>
      <w:r w:rsidR="00A168F0">
        <w:t>not of general interest</w:t>
      </w:r>
      <w:r w:rsidR="00A16E9A">
        <w:t xml:space="preserve"> in practice </w:t>
      </w:r>
      <w:r w:rsidR="001B0B8A">
        <w:t>(</w:t>
      </w:r>
      <w:r w:rsidR="00A16E9A">
        <w:t>particularly in a cross-national comparisons perspective</w:t>
      </w:r>
      <w:r w:rsidR="001B0B8A">
        <w:t>) for two reasons</w:t>
      </w:r>
      <w:r w:rsidR="00B123E8">
        <w:t>:</w:t>
      </w:r>
      <w:r w:rsidR="004D7D8B">
        <w:t xml:space="preserve"> </w:t>
      </w:r>
    </w:p>
    <w:p w14:paraId="47D1616A" w14:textId="77777777" w:rsidR="003614CA" w:rsidRPr="00D27688" w:rsidRDefault="00B123E8" w:rsidP="00B123E8">
      <w:pPr>
        <w:pStyle w:val="ListBullet"/>
        <w:tabs>
          <w:tab w:val="clear" w:pos="4377"/>
          <w:tab w:val="num" w:pos="1276"/>
        </w:tabs>
        <w:ind w:left="1276"/>
      </w:pPr>
      <w:r>
        <w:t>T</w:t>
      </w:r>
      <w:r w:rsidR="004D7D8B" w:rsidRPr="00D27688">
        <w:t xml:space="preserve">he </w:t>
      </w:r>
      <w:r w:rsidR="00A168F0" w:rsidRPr="00D27688">
        <w:t xml:space="preserve">comparison </w:t>
      </w:r>
      <w:r w:rsidR="004D7D8B" w:rsidRPr="00D27688">
        <w:t>use</w:t>
      </w:r>
      <w:r w:rsidR="00A168F0" w:rsidRPr="00D27688">
        <w:t xml:space="preserve">s </w:t>
      </w:r>
      <w:r w:rsidR="004D7D8B" w:rsidRPr="00D27688">
        <w:t xml:space="preserve">data internal to the United States Census Bureau, </w:t>
      </w:r>
      <w:r w:rsidR="000B2C19" w:rsidRPr="00D27688">
        <w:t xml:space="preserve">data </w:t>
      </w:r>
      <w:r w:rsidR="004D7D8B" w:rsidRPr="00D27688">
        <w:t xml:space="preserve">generally not available to external users. </w:t>
      </w:r>
      <w:r w:rsidR="000B2C19" w:rsidRPr="00D27688">
        <w:t>T</w:t>
      </w:r>
      <w:r w:rsidR="004D7D8B" w:rsidRPr="00D27688">
        <w:t xml:space="preserve">he extension of these results to other countries </w:t>
      </w:r>
      <w:r w:rsidR="000B2C19" w:rsidRPr="00D27688">
        <w:t xml:space="preserve">is thus </w:t>
      </w:r>
      <w:r w:rsidR="004D7D8B" w:rsidRPr="00D27688">
        <w:t xml:space="preserve">a challenging task. </w:t>
      </w:r>
      <w:r w:rsidR="00D27688">
        <w:t>But c</w:t>
      </w:r>
      <w:r w:rsidR="004D7D8B" w:rsidRPr="00D27688">
        <w:t xml:space="preserve">learly, cross-country comparisons of inequality need to rely </w:t>
      </w:r>
      <w:r w:rsidR="00D27688">
        <w:t xml:space="preserve">to the largest extent possible </w:t>
      </w:r>
      <w:r w:rsidR="004D7D8B" w:rsidRPr="00D27688">
        <w:t>on statistical capacity available to most users.</w:t>
      </w:r>
    </w:p>
    <w:p w14:paraId="4692EAA9" w14:textId="77777777" w:rsidR="00C14FBD" w:rsidRDefault="00B123E8" w:rsidP="00B123E8">
      <w:pPr>
        <w:pStyle w:val="ListBullet"/>
        <w:tabs>
          <w:tab w:val="clear" w:pos="4377"/>
          <w:tab w:val="num" w:pos="1276"/>
        </w:tabs>
        <w:ind w:left="1276"/>
      </w:pPr>
      <w:r>
        <w:t>T</w:t>
      </w:r>
      <w:r w:rsidR="004D7D8B">
        <w:t>hese studies focus specific</w:t>
      </w:r>
      <w:r w:rsidR="000B2C19">
        <w:t>ally on the issue of top coding: t</w:t>
      </w:r>
      <w:r w:rsidR="008E6F62">
        <w:t>o protect the confidentiality of respondents, income receive</w:t>
      </w:r>
      <w:r w:rsidR="000B2C19">
        <w:t>d by households above a certain</w:t>
      </w:r>
      <w:r w:rsidR="008E6F62">
        <w:t xml:space="preserve"> threshold is replaced by the threshold value. </w:t>
      </w:r>
      <w:r w:rsidR="00336E93">
        <w:t>Since the coverage of top-coded data is generally better in</w:t>
      </w:r>
      <w:r w:rsidR="008E6F62">
        <w:t xml:space="preserve"> publicly available data</w:t>
      </w:r>
      <w:r w:rsidR="00336E93">
        <w:t>base</w:t>
      </w:r>
      <w:r w:rsidR="008E6F62">
        <w:t xml:space="preserve"> than </w:t>
      </w:r>
      <w:r w:rsidR="00336E93">
        <w:t xml:space="preserve">in </w:t>
      </w:r>
      <w:r w:rsidR="008E6F62">
        <w:t xml:space="preserve">data internal to National Statistical Offices, the use of the former instead of the latter leads </w:t>
      </w:r>
      <w:r w:rsidR="00D35021">
        <w:t xml:space="preserve">mechanically </w:t>
      </w:r>
      <w:r w:rsidR="008E6F62">
        <w:t>to a</w:t>
      </w:r>
      <w:r w:rsidR="00336E93">
        <w:t>n improved</w:t>
      </w:r>
      <w:r w:rsidR="008E6F62">
        <w:t xml:space="preserve"> appraisal of top incomes.</w:t>
      </w:r>
      <w:r w:rsidR="001B0B8A">
        <w:t xml:space="preserve"> </w:t>
      </w:r>
      <w:r w:rsidR="00336E93">
        <w:t>However,</w:t>
      </w:r>
      <w:r w:rsidR="004F049C" w:rsidRPr="00C2293C">
        <w:t xml:space="preserve"> w</w:t>
      </w:r>
      <w:r w:rsidR="000B2C19" w:rsidRPr="00C2293C">
        <w:t xml:space="preserve">hile the partial or complete removal of </w:t>
      </w:r>
      <w:r w:rsidR="0003359D" w:rsidRPr="00C2293C">
        <w:t xml:space="preserve">top coding is </w:t>
      </w:r>
      <w:r w:rsidR="004F049C" w:rsidRPr="00C2293C">
        <w:t>a step in the right direction</w:t>
      </w:r>
      <w:r w:rsidR="000B2C19" w:rsidRPr="00C2293C">
        <w:t xml:space="preserve">, it is </w:t>
      </w:r>
      <w:r w:rsidR="0003359D" w:rsidRPr="00C2293C">
        <w:t xml:space="preserve">only one </w:t>
      </w:r>
      <w:r w:rsidR="004F049C" w:rsidRPr="00C2293C">
        <w:t xml:space="preserve">of the </w:t>
      </w:r>
      <w:r w:rsidR="00336E93">
        <w:t>sources</w:t>
      </w:r>
      <w:r w:rsidR="0003359D" w:rsidRPr="00C2293C">
        <w:t xml:space="preserve"> </w:t>
      </w:r>
      <w:r w:rsidR="00336E93">
        <w:t xml:space="preserve">of </w:t>
      </w:r>
      <w:r w:rsidR="0003359D" w:rsidRPr="00C2293C">
        <w:t xml:space="preserve">underestimation of top incomes in household surveys. </w:t>
      </w:r>
      <w:r w:rsidR="004F049C" w:rsidRPr="00C2293C">
        <w:t>Under</w:t>
      </w:r>
      <w:r w:rsidR="00336E93">
        <w:t>-</w:t>
      </w:r>
      <w:r w:rsidR="004F049C" w:rsidRPr="00C2293C">
        <w:t>coverage</w:t>
      </w:r>
      <w:r w:rsidR="0003359D" w:rsidRPr="00C2293C">
        <w:t xml:space="preserve"> and underreporting are </w:t>
      </w:r>
      <w:r w:rsidR="004F049C" w:rsidRPr="00C2293C">
        <w:t>also major and probably more prominent</w:t>
      </w:r>
      <w:r w:rsidR="0003359D" w:rsidRPr="00C2293C">
        <w:t xml:space="preserve"> drivers. Thus relaxing top coding through the use of less censored data </w:t>
      </w:r>
      <w:r w:rsidR="00336E93">
        <w:t xml:space="preserve">only </w:t>
      </w:r>
      <w:r w:rsidR="0003359D" w:rsidRPr="00C2293C">
        <w:t xml:space="preserve">solves part of the problem: the fundamental issue is that very rich households are </w:t>
      </w:r>
      <w:r w:rsidR="00EB01E9" w:rsidRPr="00C2293C">
        <w:t xml:space="preserve">simply </w:t>
      </w:r>
      <w:r w:rsidR="0003359D" w:rsidRPr="00C2293C">
        <w:t xml:space="preserve">hard to </w:t>
      </w:r>
      <w:r w:rsidR="004F049C" w:rsidRPr="00C2293C">
        <w:t>survey</w:t>
      </w:r>
      <w:r w:rsidR="0003359D" w:rsidRPr="00C2293C">
        <w:t>.</w:t>
      </w:r>
    </w:p>
    <w:p w14:paraId="0D41365B" w14:textId="77777777" w:rsidR="004D7D8B" w:rsidRPr="00C14FBD" w:rsidRDefault="00C14FBD" w:rsidP="007F2754">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14</w:instrText>
      </w:r>
      <w:r>
        <w:fldChar w:fldCharType="end"/>
      </w:r>
      <w:r>
        <w:instrText>.</w:instrText>
      </w:r>
      <w:r>
        <w:tab/>
      </w:r>
      <w:r>
        <w:fldChar w:fldCharType="end"/>
      </w:r>
      <w:r w:rsidR="00A46F91" w:rsidRPr="00C14FBD">
        <w:t xml:space="preserve">Evidence also suggests that </w:t>
      </w:r>
      <w:r w:rsidR="00336E93">
        <w:t xml:space="preserve">the under-coverage of </w:t>
      </w:r>
      <w:r w:rsidR="00A46F91" w:rsidRPr="00C14FBD">
        <w:t xml:space="preserve">top income has been on the rise. In particular, </w:t>
      </w:r>
      <w:r w:rsidR="00EB01E9" w:rsidRPr="00C14FBD">
        <w:t xml:space="preserve">the richer a country becomes, the </w:t>
      </w:r>
      <w:r w:rsidR="00336E93">
        <w:t>higher</w:t>
      </w:r>
      <w:r w:rsidR="00EB01E9" w:rsidRPr="00C14FBD">
        <w:t xml:space="preserve"> </w:t>
      </w:r>
      <w:r w:rsidR="00336E93">
        <w:t xml:space="preserve">is </w:t>
      </w:r>
      <w:r w:rsidR="00EB01E9" w:rsidRPr="00C14FBD">
        <w:t xml:space="preserve">the probability </w:t>
      </w:r>
      <w:r w:rsidR="00336E93">
        <w:t>that</w:t>
      </w:r>
      <w:r w:rsidR="00EB01E9" w:rsidRPr="00C14FBD">
        <w:t xml:space="preserve"> </w:t>
      </w:r>
      <w:r w:rsidR="00336E93">
        <w:t xml:space="preserve">the </w:t>
      </w:r>
      <w:r w:rsidR="00EB01E9" w:rsidRPr="00C14FBD">
        <w:t>response</w:t>
      </w:r>
      <w:r w:rsidR="00336E93">
        <w:t xml:space="preserve"> rate</w:t>
      </w:r>
      <w:r w:rsidR="00EB01E9" w:rsidRPr="00C14FBD">
        <w:t xml:space="preserve"> to a household survey </w:t>
      </w:r>
      <w:r w:rsidR="00336E93">
        <w:t>will be</w:t>
      </w:r>
      <w:r w:rsidR="00EB01E9" w:rsidRPr="00C14FBD">
        <w:t xml:space="preserve"> negatively related to income</w:t>
      </w:r>
      <w:r w:rsidR="00125F40">
        <w:t>.</w:t>
      </w:r>
      <w:r w:rsidR="001B0B8A" w:rsidRPr="00C14FBD">
        <w:rPr>
          <w:rStyle w:val="FootnoteReference"/>
        </w:rPr>
        <w:footnoteReference w:id="5"/>
      </w:r>
      <w:r w:rsidR="007164E3" w:rsidRPr="00C14FBD">
        <w:t xml:space="preserve"> This is also true between countries: </w:t>
      </w:r>
      <w:r w:rsidRPr="00C14FBD">
        <w:t>despite generally better statistical capacity</w:t>
      </w:r>
      <w:r>
        <w:t>,</w:t>
      </w:r>
      <w:r w:rsidRPr="00C14FBD">
        <w:t xml:space="preserve"> </w:t>
      </w:r>
      <w:r w:rsidR="007164E3" w:rsidRPr="00C14FBD">
        <w:t>developed countries tend to suffer more from under-coverage of top incomes than developing</w:t>
      </w:r>
      <w:r>
        <w:t xml:space="preserve"> countries</w:t>
      </w:r>
      <w:r w:rsidR="0012776A" w:rsidRPr="00C14FBD">
        <w:t xml:space="preserve">. </w:t>
      </w:r>
      <w:r>
        <w:t>W</w:t>
      </w:r>
      <w:r w:rsidRPr="00C14FBD">
        <w:t xml:space="preserve">hy it occurs </w:t>
      </w:r>
      <w:r w:rsidR="0012776A" w:rsidRPr="00C14FBD">
        <w:t xml:space="preserve">is </w:t>
      </w:r>
      <w:r>
        <w:t xml:space="preserve">an issue still debated. However, </w:t>
      </w:r>
      <w:r w:rsidR="0012776A" w:rsidRPr="00C14FBD">
        <w:t>a direct consequence</w:t>
      </w:r>
      <w:r w:rsidR="00EB01E9" w:rsidRPr="00C14FBD">
        <w:t xml:space="preserve"> </w:t>
      </w:r>
      <w:r w:rsidR="0012776A" w:rsidRPr="00C14FBD">
        <w:t>is that</w:t>
      </w:r>
      <w:r w:rsidR="00463999" w:rsidRPr="00C14FBD">
        <w:t xml:space="preserve"> </w:t>
      </w:r>
      <w:r w:rsidR="00FF5AD3" w:rsidRPr="00C14FBD">
        <w:t xml:space="preserve">the </w:t>
      </w:r>
      <w:r w:rsidR="00F465E1" w:rsidRPr="00C14FBD">
        <w:t>estimati</w:t>
      </w:r>
      <w:r w:rsidR="00C2293C" w:rsidRPr="00C14FBD">
        <w:t>on of top incomes has</w:t>
      </w:r>
      <w:r w:rsidR="00463999" w:rsidRPr="00C14FBD">
        <w:t xml:space="preserve"> to be achieved</w:t>
      </w:r>
      <w:r w:rsidR="00F465E1" w:rsidRPr="00C14FBD">
        <w:t xml:space="preserve"> on alternative data sources</w:t>
      </w:r>
      <w:r w:rsidR="00FF5AD3" w:rsidRPr="00C14FBD">
        <w:t xml:space="preserve"> to be deemed reliable</w:t>
      </w:r>
      <w:r w:rsidR="00F465E1" w:rsidRPr="00C14FBD">
        <w:t>.</w:t>
      </w:r>
    </w:p>
    <w:p w14:paraId="19CEF62F" w14:textId="77777777" w:rsidR="0054500C" w:rsidRDefault="0054500C" w:rsidP="00F465E1">
      <w:pPr>
        <w:pStyle w:val="Heading3"/>
      </w:pPr>
      <w:bookmarkStart w:id="18" w:name="_Toc416797621"/>
      <w:bookmarkStart w:id="19" w:name="_Toc416860225"/>
      <w:r>
        <w:t>Secondary cross-national datasets</w:t>
      </w:r>
      <w:bookmarkEnd w:id="18"/>
      <w:bookmarkEnd w:id="19"/>
    </w:p>
    <w:p w14:paraId="33C73A99" w14:textId="27056795" w:rsidR="0054500C" w:rsidRDefault="008B0EC2" w:rsidP="0054500C">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15</w:instrText>
      </w:r>
      <w:r>
        <w:fldChar w:fldCharType="end"/>
      </w:r>
      <w:r>
        <w:instrText>.</w:instrText>
      </w:r>
      <w:r>
        <w:tab/>
      </w:r>
      <w:r>
        <w:fldChar w:fldCharType="end"/>
      </w:r>
      <w:r w:rsidRPr="008B0EC2">
        <w:t xml:space="preserve"> </w:t>
      </w:r>
      <w:r>
        <w:t>In a cross-national perspective, the study of inequality generally relies on the use of secondary cross-national datasets, i.e. ready-made data representing income distributions in different countries at different dates. Such datasets summari</w:t>
      </w:r>
      <w:r w:rsidR="00B62D59">
        <w:t>s</w:t>
      </w:r>
      <w:r>
        <w:t xml:space="preserve">e household surveys with a set of tabulations and key statistics that provide sufficient information on inequality but without the need for users to delve into the original micro-data. Most popular secondary datasets are currently the Deininger and Squire (1996) database compiled by </w:t>
      </w:r>
      <w:r>
        <w:lastRenderedPageBreak/>
        <w:t xml:space="preserve">the World Bank and the World Income Inequality Database compiled by the United Nations (derived also from World Bank sources). Both sources have been widely used and have allowed the introduction of distributional variables into a broad range of studies, e.g. Barro, 2000; Dollar and Kraay, 2002; Dollar </w:t>
      </w:r>
      <w:r w:rsidRPr="00F10626">
        <w:rPr>
          <w:i/>
        </w:rPr>
        <w:t>et al.</w:t>
      </w:r>
      <w:r>
        <w:t>, 2013. In this paper, the secondary dataset used is the OECD Income Distribution Database (hereafter IDD), which gathers a number of inequality summary indicators and decile points for income distributions over the 34 OECD countries since the mid-70s.</w:t>
      </w:r>
    </w:p>
    <w:p w14:paraId="7D1FCB08" w14:textId="77777777" w:rsidR="008B0EC2" w:rsidRPr="008B0EC2" w:rsidRDefault="008B0EC2" w:rsidP="0054500C">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16</w:instrText>
      </w:r>
      <w:r>
        <w:fldChar w:fldCharType="end"/>
      </w:r>
      <w:r>
        <w:instrText>.</w:instrText>
      </w:r>
      <w:r>
        <w:tab/>
      </w:r>
      <w:r>
        <w:fldChar w:fldCharType="end"/>
      </w:r>
      <w:r w:rsidRPr="008B0EC2">
        <w:t xml:space="preserve"> </w:t>
      </w:r>
      <w:r>
        <w:t>Because they are based on household surveys, secondary datasets s</w:t>
      </w:r>
      <w:r w:rsidR="001F39A2">
        <w:t>uffer from the same issues, failing i</w:t>
      </w:r>
      <w:r>
        <w:t xml:space="preserve">n particular </w:t>
      </w:r>
      <w:r w:rsidR="001F39A2">
        <w:t xml:space="preserve">to give a proper image of </w:t>
      </w:r>
      <w:r>
        <w:t xml:space="preserve">top incomes. </w:t>
      </w:r>
      <w:r w:rsidR="001F39A2">
        <w:t>However, one additional problem is t</w:t>
      </w:r>
      <w:r>
        <w:t>he departure of the original survey due to data grouping</w:t>
      </w:r>
      <w:r w:rsidR="001F39A2">
        <w:t>, which can potentially imply</w:t>
      </w:r>
      <w:r>
        <w:t xml:space="preserve"> a loss of information</w:t>
      </w:r>
      <w:r w:rsidR="001F39A2">
        <w:t>. But f</w:t>
      </w:r>
      <w:r>
        <w:t xml:space="preserve">ollowing Davies and Shorrocks (1989), just five income groups are needed to produce a Gini coefficient equal to 95% of the true value computed on the original micro data, while only twelve groups are required to get 99% of the true value. </w:t>
      </w:r>
      <w:r w:rsidR="001F39A2">
        <w:t>Secondary datasets are generally</w:t>
      </w:r>
      <w:r w:rsidRPr="002A4F8A">
        <w:t xml:space="preserve"> </w:t>
      </w:r>
      <w:r>
        <w:t>between the two, with ten income groups for each country and at each date</w:t>
      </w:r>
      <w:r w:rsidR="001F39A2">
        <w:t xml:space="preserve"> in the case of the IDD</w:t>
      </w:r>
      <w:r>
        <w:t>. As a result, the errors involved due to data grouping app</w:t>
      </w:r>
      <w:r w:rsidR="001F39A2">
        <w:t>ear as negligible.</w:t>
      </w:r>
    </w:p>
    <w:p w14:paraId="47BCEEBD" w14:textId="77777777" w:rsidR="00F465E1" w:rsidRPr="0054500C" w:rsidRDefault="009A04A0" w:rsidP="00F465E1">
      <w:pPr>
        <w:pStyle w:val="Heading3"/>
      </w:pPr>
      <w:bookmarkStart w:id="20" w:name="_Toc416797622"/>
      <w:bookmarkStart w:id="21" w:name="_Toc416860226"/>
      <w:r w:rsidRPr="0054500C">
        <w:t>T</w:t>
      </w:r>
      <w:r w:rsidR="00426353" w:rsidRPr="0054500C">
        <w:t>abulations</w:t>
      </w:r>
      <w:r w:rsidRPr="0054500C">
        <w:t xml:space="preserve"> from tax data</w:t>
      </w:r>
      <w:bookmarkEnd w:id="20"/>
      <w:bookmarkEnd w:id="21"/>
    </w:p>
    <w:p w14:paraId="361F93AA" w14:textId="77777777" w:rsidR="00A26E15" w:rsidRDefault="00A26E15" w:rsidP="00426353">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17</w:instrText>
      </w:r>
      <w:r>
        <w:fldChar w:fldCharType="end"/>
      </w:r>
      <w:r>
        <w:instrText>.</w:instrText>
      </w:r>
      <w:r>
        <w:tab/>
      </w:r>
      <w:r>
        <w:fldChar w:fldCharType="end"/>
      </w:r>
      <w:r w:rsidR="00426353">
        <w:t xml:space="preserve">The </w:t>
      </w:r>
      <w:r w:rsidR="00C2293C">
        <w:t xml:space="preserve">recent </w:t>
      </w:r>
      <w:r w:rsidR="00806E0A">
        <w:t>literature</w:t>
      </w:r>
      <w:r w:rsidR="00426353">
        <w:t xml:space="preserve"> on top incomes </w:t>
      </w:r>
      <w:r w:rsidR="00463999">
        <w:t xml:space="preserve">generally </w:t>
      </w:r>
      <w:r w:rsidR="00426353">
        <w:t xml:space="preserve">uses aggregate tax data grouped according to the thresholds </w:t>
      </w:r>
      <w:r w:rsidR="00463999">
        <w:t>of the income tax</w:t>
      </w:r>
      <w:r w:rsidR="00125F40">
        <w:t>es</w:t>
      </w:r>
      <w:r w:rsidR="00463999">
        <w:t xml:space="preserve"> </w:t>
      </w:r>
      <w:r w:rsidR="00426353">
        <w:t xml:space="preserve">prevailing in each </w:t>
      </w:r>
      <w:r w:rsidR="00887002">
        <w:t xml:space="preserve">country, </w:t>
      </w:r>
      <w:r w:rsidR="00C2293C">
        <w:t xml:space="preserve">coming </w:t>
      </w:r>
      <w:r w:rsidR="00887002">
        <w:t>under the form of Table 1</w:t>
      </w:r>
      <w:r w:rsidR="00426353">
        <w:t xml:space="preserve">. </w:t>
      </w:r>
      <w:r w:rsidR="008C06CB">
        <w:t xml:space="preserve">These data are published by the </w:t>
      </w:r>
      <w:r w:rsidR="00125F40">
        <w:t>tax</w:t>
      </w:r>
      <w:r w:rsidR="008C06CB">
        <w:t xml:space="preserve"> administration</w:t>
      </w:r>
      <w:r>
        <w:t>,</w:t>
      </w:r>
      <w:r w:rsidR="008C06CB">
        <w:t xml:space="preserve"> </w:t>
      </w:r>
      <w:r>
        <w:t xml:space="preserve">almost </w:t>
      </w:r>
      <w:r w:rsidR="008C06CB">
        <w:t>every year since the setting of progressive taxation</w:t>
      </w:r>
      <w:r w:rsidR="00B65C62">
        <w:t xml:space="preserve"> in </w:t>
      </w:r>
      <w:r w:rsidR="00125F40">
        <w:t>most advanced</w:t>
      </w:r>
      <w:r w:rsidR="00B65C62">
        <w:t xml:space="preserve"> countries</w:t>
      </w:r>
      <w:r>
        <w:t>. More g</w:t>
      </w:r>
      <w:r w:rsidR="006604B0">
        <w:t>enerally</w:t>
      </w:r>
      <w:r>
        <w:t>,</w:t>
      </w:r>
      <w:r w:rsidR="00B65C62">
        <w:t xml:space="preserve"> all countries with a</w:t>
      </w:r>
      <w:r w:rsidR="00125F40">
        <w:t xml:space="preserve"> well-developed</w:t>
      </w:r>
      <w:r w:rsidR="00B65C62">
        <w:t xml:space="preserve"> income tax system compile and publish tabulations based on the exhaustive set of income tax returns.</w:t>
      </w:r>
    </w:p>
    <w:p w14:paraId="7470B3C7" w14:textId="7A569FC0" w:rsidR="00DC6E61" w:rsidRDefault="00A26E15" w:rsidP="00426353">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18</w:instrText>
      </w:r>
      <w:r>
        <w:fldChar w:fldCharType="end"/>
      </w:r>
      <w:r>
        <w:instrText>.</w:instrText>
      </w:r>
      <w:r>
        <w:tab/>
      </w:r>
      <w:r>
        <w:fldChar w:fldCharType="end"/>
      </w:r>
      <w:r w:rsidR="00463999" w:rsidRPr="00A26E15">
        <w:t xml:space="preserve">These data have </w:t>
      </w:r>
      <w:r w:rsidR="006604B0" w:rsidRPr="00A26E15">
        <w:t xml:space="preserve">the clear advantage of exhaustiveness as </w:t>
      </w:r>
      <w:r w:rsidR="00426353" w:rsidRPr="00A26E15">
        <w:t>all the incomes of tax-filers</w:t>
      </w:r>
      <w:r w:rsidR="006604B0" w:rsidRPr="00A26E15">
        <w:t>, thus in particular top incomes,</w:t>
      </w:r>
      <w:r w:rsidR="00426353" w:rsidRPr="00A26E15">
        <w:t xml:space="preserve"> are included and the data are available across countries </w:t>
      </w:r>
      <w:r>
        <w:t>over</w:t>
      </w:r>
      <w:r w:rsidR="00426353" w:rsidRPr="00A26E15">
        <w:t xml:space="preserve"> a long-time span (almost one century for </w:t>
      </w:r>
      <w:r w:rsidR="005C7339" w:rsidRPr="00A26E15">
        <w:t>Western</w:t>
      </w:r>
      <w:r w:rsidR="00426353" w:rsidRPr="00A26E15">
        <w:t xml:space="preserve"> countries).</w:t>
      </w:r>
      <w:r w:rsidR="00806E0A" w:rsidRPr="00A26E15">
        <w:t xml:space="preserve"> </w:t>
      </w:r>
      <w:r w:rsidR="00687659" w:rsidRPr="00A26E15">
        <w:t>But a clear disadvantage is that income</w:t>
      </w:r>
      <w:r>
        <w:t>s</w:t>
      </w:r>
      <w:r w:rsidR="00687659" w:rsidRPr="00A26E15">
        <w:t xml:space="preserve"> of the n</w:t>
      </w:r>
      <w:r w:rsidR="009A16F6">
        <w:t>on-tax fi</w:t>
      </w:r>
      <w:r>
        <w:t>lers are not included. As a result these data cover</w:t>
      </w:r>
      <w:r w:rsidR="00687659" w:rsidRPr="00A26E15">
        <w:t xml:space="preserve"> </w:t>
      </w:r>
      <w:r>
        <w:t>only</w:t>
      </w:r>
      <w:r w:rsidR="00687659" w:rsidRPr="00A26E15">
        <w:t xml:space="preserve"> a small part of the population. In order t</w:t>
      </w:r>
      <w:r w:rsidR="00806E0A" w:rsidRPr="00A26E15">
        <w:t>o match these data wit</w:t>
      </w:r>
      <w:r w:rsidR="00687659" w:rsidRPr="00A26E15">
        <w:t>h the entire population,</w:t>
      </w:r>
      <w:r w:rsidR="00806E0A" w:rsidRPr="00A26E15">
        <w:t xml:space="preserve"> taxable income must first be </w:t>
      </w:r>
      <w:r>
        <w:t>linked</w:t>
      </w:r>
      <w:r w:rsidR="00806E0A" w:rsidRPr="00A26E15">
        <w:t xml:space="preserve"> to </w:t>
      </w:r>
      <w:r>
        <w:t xml:space="preserve">the </w:t>
      </w:r>
      <w:r w:rsidR="00806E0A" w:rsidRPr="00A26E15">
        <w:t>total income</w:t>
      </w:r>
      <w:r>
        <w:t xml:space="preserve"> of the economy</w:t>
      </w:r>
      <w:r w:rsidR="00806E0A" w:rsidRPr="00A26E15">
        <w:t>. To ensure consistency o</w:t>
      </w:r>
      <w:r w:rsidR="00C2293C" w:rsidRPr="00A26E15">
        <w:t>ver time and across countries, National A</w:t>
      </w:r>
      <w:r w:rsidR="00806E0A" w:rsidRPr="00A26E15">
        <w:t xml:space="preserve">ccounts income data are used to estimate total income. After adjusting for differences in tax systems, the income of </w:t>
      </w:r>
      <w:r w:rsidR="004B0757" w:rsidRPr="00A26E15">
        <w:t>non tax-</w:t>
      </w:r>
      <w:r w:rsidR="00806E0A" w:rsidRPr="00A26E15">
        <w:t xml:space="preserve">filers is </w:t>
      </w:r>
      <w:r w:rsidR="004B0757" w:rsidRPr="00A26E15">
        <w:t xml:space="preserve">then </w:t>
      </w:r>
      <w:r w:rsidR="00806E0A" w:rsidRPr="00A26E15">
        <w:t>derived as a residual</w:t>
      </w:r>
      <w:r w:rsidR="00125F40">
        <w:t>.</w:t>
      </w:r>
      <w:r w:rsidR="00463999" w:rsidRPr="00A26E15">
        <w:rPr>
          <w:rStyle w:val="FootnoteReference"/>
        </w:rPr>
        <w:footnoteReference w:id="6"/>
      </w:r>
    </w:p>
    <w:p w14:paraId="683B81C2" w14:textId="77777777" w:rsidR="00DC6E61" w:rsidRDefault="00DC6E61">
      <w:pPr>
        <w:tabs>
          <w:tab w:val="clear" w:pos="850"/>
          <w:tab w:val="clear" w:pos="1191"/>
          <w:tab w:val="clear" w:pos="1531"/>
        </w:tabs>
        <w:jc w:val="left"/>
      </w:pPr>
      <w:r>
        <w:br w:type="page"/>
      </w:r>
    </w:p>
    <w:p w14:paraId="54827572" w14:textId="41A9A693" w:rsidR="00DC6E61" w:rsidRDefault="00DC6E61" w:rsidP="00DC6E61">
      <w:pPr>
        <w:pStyle w:val="TableTitle"/>
      </w:pPr>
      <w:r>
        <w:lastRenderedPageBreak/>
        <w:t>Table 1. Example of tax data tabulation for the United States (2007)</w:t>
      </w:r>
      <w:r>
        <w:fldChar w:fldCharType="begin"/>
      </w:r>
      <w:r>
        <w:instrText xml:space="preserve"> TC \f t \l 2 "</w:instrText>
      </w:r>
      <w:bookmarkStart w:id="22" w:name="_Toc416797092"/>
      <w:bookmarkStart w:id="23" w:name="_Toc416860240"/>
      <w:r>
        <w:instrText>Table 1. Example of tax data tabulation for the United States (2007)</w:instrText>
      </w:r>
      <w:bookmarkEnd w:id="22"/>
      <w:bookmarkEnd w:id="23"/>
      <w:r>
        <w:instrText xml:space="preserve">"  </w:instrText>
      </w:r>
      <w:r>
        <w:fldChar w:fldCharType="end"/>
      </w:r>
    </w:p>
    <w:tbl>
      <w:tblPr>
        <w:tblW w:w="7659" w:type="dxa"/>
        <w:jc w:val="center"/>
        <w:tblInd w:w="93" w:type="dxa"/>
        <w:tblLook w:val="04A0" w:firstRow="1" w:lastRow="0" w:firstColumn="1" w:lastColumn="0" w:noHBand="0" w:noVBand="1"/>
      </w:tblPr>
      <w:tblGrid>
        <w:gridCol w:w="2584"/>
        <w:gridCol w:w="2552"/>
        <w:gridCol w:w="2523"/>
      </w:tblGrid>
      <w:tr w:rsidR="00DC6E61" w:rsidRPr="00C31D3B" w14:paraId="091A06C1" w14:textId="77777777" w:rsidTr="00DC6E61">
        <w:trPr>
          <w:trHeight w:val="270"/>
          <w:jc w:val="center"/>
        </w:trPr>
        <w:tc>
          <w:tcPr>
            <w:tcW w:w="2584" w:type="dxa"/>
            <w:tcBorders>
              <w:top w:val="single" w:sz="4" w:space="0" w:color="auto"/>
              <w:bottom w:val="single" w:sz="4" w:space="0" w:color="auto"/>
            </w:tcBorders>
            <w:shd w:val="clear" w:color="auto" w:fill="auto"/>
            <w:noWrap/>
            <w:vAlign w:val="bottom"/>
            <w:hideMark/>
          </w:tcPr>
          <w:p w14:paraId="518B9B60" w14:textId="77777777" w:rsidR="00DC6E61" w:rsidRPr="00C31D3B" w:rsidRDefault="00DC6E61" w:rsidP="00E81D2E">
            <w:pPr>
              <w:tabs>
                <w:tab w:val="clear" w:pos="850"/>
                <w:tab w:val="clear" w:pos="1191"/>
                <w:tab w:val="clear" w:pos="1531"/>
              </w:tabs>
              <w:jc w:val="center"/>
              <w:rPr>
                <w:rFonts w:ascii="Arial Narrow" w:hAnsi="Arial Narrow"/>
                <w:b/>
                <w:bCs/>
                <w:color w:val="000000"/>
                <w:sz w:val="16"/>
                <w:szCs w:val="16"/>
                <w:lang w:eastAsia="en-GB"/>
              </w:rPr>
            </w:pPr>
            <w:r w:rsidRPr="00C31D3B">
              <w:rPr>
                <w:rFonts w:ascii="Arial Narrow" w:hAnsi="Arial Narrow"/>
                <w:b/>
                <w:bCs/>
                <w:color w:val="000000"/>
                <w:sz w:val="16"/>
                <w:szCs w:val="16"/>
                <w:lang w:eastAsia="en-GB"/>
              </w:rPr>
              <w:t>Number of returns</w:t>
            </w:r>
          </w:p>
        </w:tc>
        <w:tc>
          <w:tcPr>
            <w:tcW w:w="2552" w:type="dxa"/>
            <w:tcBorders>
              <w:top w:val="single" w:sz="4" w:space="0" w:color="auto"/>
              <w:bottom w:val="single" w:sz="4" w:space="0" w:color="auto"/>
            </w:tcBorders>
            <w:shd w:val="clear" w:color="auto" w:fill="auto"/>
            <w:noWrap/>
            <w:vAlign w:val="bottom"/>
            <w:hideMark/>
          </w:tcPr>
          <w:p w14:paraId="73D493CE" w14:textId="77777777" w:rsidR="00DC6E61" w:rsidRPr="00C31D3B" w:rsidRDefault="00DC6E61" w:rsidP="00E81D2E">
            <w:pPr>
              <w:tabs>
                <w:tab w:val="clear" w:pos="850"/>
                <w:tab w:val="clear" w:pos="1191"/>
                <w:tab w:val="clear" w:pos="1531"/>
              </w:tabs>
              <w:jc w:val="center"/>
              <w:rPr>
                <w:rFonts w:ascii="Arial Narrow" w:hAnsi="Arial Narrow"/>
                <w:b/>
                <w:bCs/>
                <w:color w:val="000000"/>
                <w:sz w:val="16"/>
                <w:szCs w:val="16"/>
                <w:lang w:eastAsia="en-GB"/>
              </w:rPr>
            </w:pPr>
            <w:r w:rsidRPr="00C31D3B">
              <w:rPr>
                <w:rFonts w:ascii="Arial Narrow" w:hAnsi="Arial Narrow"/>
                <w:b/>
                <w:bCs/>
                <w:color w:val="000000"/>
                <w:sz w:val="16"/>
                <w:szCs w:val="16"/>
                <w:lang w:eastAsia="en-GB"/>
              </w:rPr>
              <w:t>Total income</w:t>
            </w:r>
          </w:p>
        </w:tc>
        <w:tc>
          <w:tcPr>
            <w:tcW w:w="2523" w:type="dxa"/>
            <w:tcBorders>
              <w:top w:val="single" w:sz="4" w:space="0" w:color="auto"/>
              <w:bottom w:val="single" w:sz="4" w:space="0" w:color="auto"/>
              <w:right w:val="single" w:sz="4" w:space="0" w:color="auto"/>
            </w:tcBorders>
            <w:shd w:val="clear" w:color="auto" w:fill="auto"/>
            <w:noWrap/>
            <w:vAlign w:val="bottom"/>
            <w:hideMark/>
          </w:tcPr>
          <w:p w14:paraId="3D372F30" w14:textId="77777777" w:rsidR="00DC6E61" w:rsidRPr="00C31D3B" w:rsidRDefault="00DC6E61" w:rsidP="00E81D2E">
            <w:pPr>
              <w:tabs>
                <w:tab w:val="clear" w:pos="850"/>
                <w:tab w:val="clear" w:pos="1191"/>
                <w:tab w:val="clear" w:pos="1531"/>
              </w:tabs>
              <w:jc w:val="center"/>
              <w:rPr>
                <w:rFonts w:ascii="Arial Narrow" w:hAnsi="Arial Narrow"/>
                <w:b/>
                <w:bCs/>
                <w:color w:val="000000"/>
                <w:sz w:val="16"/>
                <w:szCs w:val="16"/>
                <w:lang w:eastAsia="en-GB"/>
              </w:rPr>
            </w:pPr>
            <w:r w:rsidRPr="00C31D3B">
              <w:rPr>
                <w:rFonts w:ascii="Arial Narrow" w:hAnsi="Arial Narrow"/>
                <w:b/>
                <w:bCs/>
                <w:color w:val="000000"/>
                <w:sz w:val="16"/>
                <w:szCs w:val="16"/>
                <w:lang w:eastAsia="en-GB"/>
              </w:rPr>
              <w:t>Total tax paid</w:t>
            </w:r>
          </w:p>
        </w:tc>
      </w:tr>
      <w:tr w:rsidR="00DC6E61" w:rsidRPr="00C31D3B" w14:paraId="03ED6DCD" w14:textId="77777777" w:rsidTr="00DC6E61">
        <w:trPr>
          <w:trHeight w:val="270"/>
          <w:jc w:val="center"/>
        </w:trPr>
        <w:tc>
          <w:tcPr>
            <w:tcW w:w="2584" w:type="dxa"/>
            <w:tcBorders>
              <w:top w:val="single" w:sz="4" w:space="0" w:color="auto"/>
              <w:bottom w:val="single" w:sz="4" w:space="0" w:color="auto"/>
            </w:tcBorders>
            <w:shd w:val="clear" w:color="auto" w:fill="auto"/>
            <w:noWrap/>
            <w:vAlign w:val="bottom"/>
            <w:hideMark/>
          </w:tcPr>
          <w:p w14:paraId="4681C413" w14:textId="77777777" w:rsidR="00DC6E61" w:rsidRPr="00C31D3B" w:rsidRDefault="00DC6E61" w:rsidP="00E81D2E">
            <w:pPr>
              <w:tabs>
                <w:tab w:val="clear" w:pos="850"/>
                <w:tab w:val="clear" w:pos="1191"/>
                <w:tab w:val="clear" w:pos="1531"/>
              </w:tabs>
              <w:jc w:val="center"/>
              <w:rPr>
                <w:rFonts w:ascii="Arial Narrow" w:hAnsi="Arial Narrow"/>
                <w:b/>
                <w:bCs/>
                <w:i/>
                <w:iCs/>
                <w:color w:val="000000"/>
                <w:sz w:val="16"/>
                <w:szCs w:val="16"/>
                <w:lang w:eastAsia="en-GB"/>
              </w:rPr>
            </w:pPr>
            <w:r w:rsidRPr="00C31D3B">
              <w:rPr>
                <w:rFonts w:ascii="Arial Narrow" w:hAnsi="Arial Narrow"/>
                <w:b/>
                <w:bCs/>
                <w:i/>
                <w:iCs/>
                <w:color w:val="000000"/>
                <w:sz w:val="16"/>
                <w:szCs w:val="16"/>
                <w:lang w:eastAsia="en-GB"/>
              </w:rPr>
              <w:t>'000</w:t>
            </w:r>
          </w:p>
        </w:tc>
        <w:tc>
          <w:tcPr>
            <w:tcW w:w="2552" w:type="dxa"/>
            <w:tcBorders>
              <w:top w:val="single" w:sz="4" w:space="0" w:color="auto"/>
              <w:bottom w:val="single" w:sz="4" w:space="0" w:color="auto"/>
            </w:tcBorders>
            <w:shd w:val="clear" w:color="auto" w:fill="auto"/>
            <w:noWrap/>
            <w:vAlign w:val="bottom"/>
            <w:hideMark/>
          </w:tcPr>
          <w:p w14:paraId="7B4BDBF3" w14:textId="77777777" w:rsidR="00DC6E61" w:rsidRPr="00C31D3B" w:rsidRDefault="00DC6E61" w:rsidP="00E81D2E">
            <w:pPr>
              <w:tabs>
                <w:tab w:val="clear" w:pos="850"/>
                <w:tab w:val="clear" w:pos="1191"/>
                <w:tab w:val="clear" w:pos="1531"/>
              </w:tabs>
              <w:jc w:val="center"/>
              <w:rPr>
                <w:rFonts w:ascii="Arial Narrow" w:hAnsi="Arial Narrow"/>
                <w:b/>
                <w:bCs/>
                <w:color w:val="000000"/>
                <w:sz w:val="16"/>
                <w:szCs w:val="16"/>
                <w:lang w:eastAsia="en-GB"/>
              </w:rPr>
            </w:pPr>
            <w:r w:rsidRPr="00C31D3B">
              <w:rPr>
                <w:rFonts w:ascii="Arial Narrow" w:hAnsi="Arial Narrow"/>
                <w:b/>
                <w:bCs/>
                <w:color w:val="000000"/>
                <w:sz w:val="16"/>
                <w:szCs w:val="16"/>
                <w:lang w:eastAsia="en-GB"/>
              </w:rPr>
              <w:t>$m</w:t>
            </w:r>
          </w:p>
        </w:tc>
        <w:tc>
          <w:tcPr>
            <w:tcW w:w="2523" w:type="dxa"/>
            <w:tcBorders>
              <w:top w:val="single" w:sz="4" w:space="0" w:color="auto"/>
              <w:bottom w:val="single" w:sz="4" w:space="0" w:color="auto"/>
              <w:right w:val="single" w:sz="4" w:space="0" w:color="auto"/>
            </w:tcBorders>
            <w:shd w:val="clear" w:color="auto" w:fill="auto"/>
            <w:noWrap/>
            <w:vAlign w:val="bottom"/>
            <w:hideMark/>
          </w:tcPr>
          <w:p w14:paraId="2841EB52" w14:textId="77777777" w:rsidR="00DC6E61" w:rsidRPr="00C31D3B" w:rsidRDefault="00DC6E61" w:rsidP="00E81D2E">
            <w:pPr>
              <w:tabs>
                <w:tab w:val="clear" w:pos="850"/>
                <w:tab w:val="clear" w:pos="1191"/>
                <w:tab w:val="clear" w:pos="1531"/>
              </w:tabs>
              <w:jc w:val="center"/>
              <w:rPr>
                <w:rFonts w:ascii="Arial Narrow" w:hAnsi="Arial Narrow"/>
                <w:b/>
                <w:bCs/>
                <w:color w:val="000000"/>
                <w:sz w:val="16"/>
                <w:szCs w:val="16"/>
                <w:lang w:eastAsia="en-GB"/>
              </w:rPr>
            </w:pPr>
            <w:r w:rsidRPr="00C31D3B">
              <w:rPr>
                <w:rFonts w:ascii="Arial Narrow" w:hAnsi="Arial Narrow"/>
                <w:b/>
                <w:bCs/>
                <w:color w:val="000000"/>
                <w:sz w:val="16"/>
                <w:szCs w:val="16"/>
                <w:lang w:eastAsia="en-GB"/>
              </w:rPr>
              <w:t>$m</w:t>
            </w:r>
          </w:p>
        </w:tc>
      </w:tr>
      <w:tr w:rsidR="00DC6E61" w:rsidRPr="00C31D3B" w14:paraId="6EC0DA8E" w14:textId="77777777" w:rsidTr="00DC6E61">
        <w:trPr>
          <w:trHeight w:val="270"/>
          <w:jc w:val="center"/>
        </w:trPr>
        <w:tc>
          <w:tcPr>
            <w:tcW w:w="2584" w:type="dxa"/>
            <w:tcBorders>
              <w:top w:val="nil"/>
              <w:bottom w:val="nil"/>
            </w:tcBorders>
            <w:shd w:val="clear" w:color="000000" w:fill="DCE6F1"/>
            <w:noWrap/>
            <w:vAlign w:val="bottom"/>
            <w:hideMark/>
          </w:tcPr>
          <w:p w14:paraId="469A101D"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13,218</w:t>
            </w:r>
          </w:p>
        </w:tc>
        <w:tc>
          <w:tcPr>
            <w:tcW w:w="2552" w:type="dxa"/>
            <w:tcBorders>
              <w:top w:val="nil"/>
              <w:bottom w:val="nil"/>
            </w:tcBorders>
            <w:shd w:val="clear" w:color="000000" w:fill="DCE6F1"/>
            <w:noWrap/>
            <w:vAlign w:val="bottom"/>
            <w:hideMark/>
          </w:tcPr>
          <w:p w14:paraId="1F68FCAF"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76,924</w:t>
            </w:r>
          </w:p>
        </w:tc>
        <w:tc>
          <w:tcPr>
            <w:tcW w:w="2523" w:type="dxa"/>
            <w:tcBorders>
              <w:top w:val="nil"/>
              <w:bottom w:val="nil"/>
              <w:right w:val="single" w:sz="4" w:space="0" w:color="auto"/>
            </w:tcBorders>
            <w:shd w:val="clear" w:color="000000" w:fill="DCE6F1"/>
            <w:noWrap/>
            <w:vAlign w:val="bottom"/>
            <w:hideMark/>
          </w:tcPr>
          <w:p w14:paraId="19B27861"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3,846</w:t>
            </w:r>
          </w:p>
        </w:tc>
      </w:tr>
      <w:tr w:rsidR="00DC6E61" w:rsidRPr="00C31D3B" w14:paraId="40BC17C1" w14:textId="77777777" w:rsidTr="00DC6E61">
        <w:trPr>
          <w:trHeight w:val="270"/>
          <w:jc w:val="center"/>
        </w:trPr>
        <w:tc>
          <w:tcPr>
            <w:tcW w:w="2584" w:type="dxa"/>
            <w:tcBorders>
              <w:top w:val="nil"/>
              <w:bottom w:val="nil"/>
            </w:tcBorders>
            <w:shd w:val="clear" w:color="auto" w:fill="auto"/>
            <w:noWrap/>
            <w:vAlign w:val="bottom"/>
            <w:hideMark/>
          </w:tcPr>
          <w:p w14:paraId="778D7810"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108,976</w:t>
            </w:r>
          </w:p>
        </w:tc>
        <w:tc>
          <w:tcPr>
            <w:tcW w:w="2552" w:type="dxa"/>
            <w:tcBorders>
              <w:top w:val="nil"/>
              <w:bottom w:val="nil"/>
            </w:tcBorders>
            <w:shd w:val="clear" w:color="auto" w:fill="auto"/>
            <w:noWrap/>
            <w:vAlign w:val="bottom"/>
            <w:hideMark/>
          </w:tcPr>
          <w:p w14:paraId="0943EF08"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1,101,418</w:t>
            </w:r>
          </w:p>
        </w:tc>
        <w:tc>
          <w:tcPr>
            <w:tcW w:w="2523" w:type="dxa"/>
            <w:tcBorders>
              <w:top w:val="nil"/>
              <w:bottom w:val="nil"/>
              <w:right w:val="single" w:sz="4" w:space="0" w:color="auto"/>
            </w:tcBorders>
            <w:shd w:val="clear" w:color="auto" w:fill="auto"/>
            <w:noWrap/>
            <w:vAlign w:val="bottom"/>
            <w:hideMark/>
          </w:tcPr>
          <w:p w14:paraId="0E35CB12"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110,142</w:t>
            </w:r>
          </w:p>
        </w:tc>
      </w:tr>
      <w:tr w:rsidR="00DC6E61" w:rsidRPr="00C31D3B" w14:paraId="1A1E3AA7" w14:textId="77777777" w:rsidTr="00DC6E61">
        <w:trPr>
          <w:trHeight w:val="270"/>
          <w:jc w:val="center"/>
        </w:trPr>
        <w:tc>
          <w:tcPr>
            <w:tcW w:w="2584" w:type="dxa"/>
            <w:tcBorders>
              <w:top w:val="nil"/>
              <w:bottom w:val="nil"/>
            </w:tcBorders>
            <w:shd w:val="clear" w:color="000000" w:fill="DCE6F1"/>
            <w:noWrap/>
            <w:vAlign w:val="bottom"/>
            <w:hideMark/>
          </w:tcPr>
          <w:p w14:paraId="0AE81305"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81,501</w:t>
            </w:r>
          </w:p>
        </w:tc>
        <w:tc>
          <w:tcPr>
            <w:tcW w:w="2552" w:type="dxa"/>
            <w:tcBorders>
              <w:top w:val="nil"/>
              <w:bottom w:val="nil"/>
            </w:tcBorders>
            <w:shd w:val="clear" w:color="000000" w:fill="DCE6F1"/>
            <w:noWrap/>
            <w:vAlign w:val="bottom"/>
            <w:hideMark/>
          </w:tcPr>
          <w:p w14:paraId="042E5A5F"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1,955,871</w:t>
            </w:r>
          </w:p>
        </w:tc>
        <w:tc>
          <w:tcPr>
            <w:tcW w:w="2523" w:type="dxa"/>
            <w:tcBorders>
              <w:top w:val="nil"/>
              <w:bottom w:val="nil"/>
              <w:right w:val="single" w:sz="4" w:space="0" w:color="auto"/>
            </w:tcBorders>
            <w:shd w:val="clear" w:color="000000" w:fill="DCE6F1"/>
            <w:noWrap/>
            <w:vAlign w:val="bottom"/>
            <w:hideMark/>
          </w:tcPr>
          <w:p w14:paraId="014DA0CB"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293,381</w:t>
            </w:r>
          </w:p>
        </w:tc>
      </w:tr>
      <w:tr w:rsidR="00DC6E61" w:rsidRPr="00C31D3B" w14:paraId="04FB07F2" w14:textId="77777777" w:rsidTr="00DC6E61">
        <w:trPr>
          <w:trHeight w:val="270"/>
          <w:jc w:val="center"/>
        </w:trPr>
        <w:tc>
          <w:tcPr>
            <w:tcW w:w="2584" w:type="dxa"/>
            <w:tcBorders>
              <w:top w:val="nil"/>
              <w:bottom w:val="nil"/>
            </w:tcBorders>
            <w:shd w:val="clear" w:color="auto" w:fill="auto"/>
            <w:noWrap/>
            <w:vAlign w:val="bottom"/>
            <w:hideMark/>
          </w:tcPr>
          <w:p w14:paraId="14BCE746"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30,354</w:t>
            </w:r>
          </w:p>
        </w:tc>
        <w:tc>
          <w:tcPr>
            <w:tcW w:w="2552" w:type="dxa"/>
            <w:tcBorders>
              <w:top w:val="nil"/>
              <w:bottom w:val="nil"/>
            </w:tcBorders>
            <w:shd w:val="clear" w:color="auto" w:fill="auto"/>
            <w:noWrap/>
            <w:vAlign w:val="bottom"/>
            <w:hideMark/>
          </w:tcPr>
          <w:p w14:paraId="2E0115CD"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844,825</w:t>
            </w:r>
          </w:p>
        </w:tc>
        <w:tc>
          <w:tcPr>
            <w:tcW w:w="2523" w:type="dxa"/>
            <w:tcBorders>
              <w:top w:val="nil"/>
              <w:bottom w:val="nil"/>
              <w:right w:val="single" w:sz="4" w:space="0" w:color="auto"/>
            </w:tcBorders>
            <w:shd w:val="clear" w:color="auto" w:fill="auto"/>
            <w:noWrap/>
            <w:vAlign w:val="bottom"/>
            <w:hideMark/>
          </w:tcPr>
          <w:p w14:paraId="7AAE1F7D"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211,206</w:t>
            </w:r>
          </w:p>
        </w:tc>
      </w:tr>
      <w:tr w:rsidR="00DC6E61" w:rsidRPr="00C31D3B" w14:paraId="02AE3D6B" w14:textId="77777777" w:rsidTr="00DC6E61">
        <w:trPr>
          <w:trHeight w:val="270"/>
          <w:jc w:val="center"/>
        </w:trPr>
        <w:tc>
          <w:tcPr>
            <w:tcW w:w="2584" w:type="dxa"/>
            <w:tcBorders>
              <w:top w:val="nil"/>
              <w:bottom w:val="nil"/>
            </w:tcBorders>
            <w:shd w:val="clear" w:color="000000" w:fill="DCE6F1"/>
            <w:noWrap/>
            <w:vAlign w:val="bottom"/>
            <w:hideMark/>
          </w:tcPr>
          <w:p w14:paraId="2D6C7EA5"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5,904</w:t>
            </w:r>
          </w:p>
        </w:tc>
        <w:tc>
          <w:tcPr>
            <w:tcW w:w="2552" w:type="dxa"/>
            <w:tcBorders>
              <w:top w:val="nil"/>
              <w:bottom w:val="nil"/>
            </w:tcBorders>
            <w:shd w:val="clear" w:color="000000" w:fill="DCE6F1"/>
            <w:noWrap/>
            <w:vAlign w:val="bottom"/>
            <w:hideMark/>
          </w:tcPr>
          <w:p w14:paraId="36434E78"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293,691</w:t>
            </w:r>
          </w:p>
        </w:tc>
        <w:tc>
          <w:tcPr>
            <w:tcW w:w="2523" w:type="dxa"/>
            <w:tcBorders>
              <w:top w:val="nil"/>
              <w:bottom w:val="nil"/>
              <w:right w:val="single" w:sz="4" w:space="0" w:color="auto"/>
            </w:tcBorders>
            <w:shd w:val="clear" w:color="000000" w:fill="DCE6F1"/>
            <w:noWrap/>
            <w:vAlign w:val="bottom"/>
            <w:hideMark/>
          </w:tcPr>
          <w:p w14:paraId="4F2612DB"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82,217</w:t>
            </w:r>
          </w:p>
        </w:tc>
      </w:tr>
      <w:tr w:rsidR="00DC6E61" w:rsidRPr="00C31D3B" w14:paraId="20738DF5" w14:textId="77777777" w:rsidTr="00DC6E61">
        <w:trPr>
          <w:trHeight w:val="270"/>
          <w:jc w:val="center"/>
        </w:trPr>
        <w:tc>
          <w:tcPr>
            <w:tcW w:w="2584" w:type="dxa"/>
            <w:tcBorders>
              <w:top w:val="nil"/>
              <w:bottom w:val="nil"/>
            </w:tcBorders>
            <w:shd w:val="clear" w:color="auto" w:fill="auto"/>
            <w:noWrap/>
            <w:vAlign w:val="bottom"/>
            <w:hideMark/>
          </w:tcPr>
          <w:p w14:paraId="7176EDE3"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2,730</w:t>
            </w:r>
          </w:p>
        </w:tc>
        <w:tc>
          <w:tcPr>
            <w:tcW w:w="2552" w:type="dxa"/>
            <w:tcBorders>
              <w:top w:val="nil"/>
              <w:bottom w:val="nil"/>
            </w:tcBorders>
            <w:shd w:val="clear" w:color="auto" w:fill="auto"/>
            <w:noWrap/>
            <w:vAlign w:val="bottom"/>
            <w:hideMark/>
          </w:tcPr>
          <w:p w14:paraId="7A910A43"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260,213</w:t>
            </w:r>
          </w:p>
        </w:tc>
        <w:tc>
          <w:tcPr>
            <w:tcW w:w="2523" w:type="dxa"/>
            <w:tcBorders>
              <w:top w:val="nil"/>
              <w:bottom w:val="nil"/>
              <w:right w:val="single" w:sz="4" w:space="0" w:color="auto"/>
            </w:tcBorders>
            <w:shd w:val="clear" w:color="auto" w:fill="auto"/>
            <w:noWrap/>
            <w:vAlign w:val="bottom"/>
            <w:hideMark/>
          </w:tcPr>
          <w:p w14:paraId="29439338"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85,870</w:t>
            </w:r>
          </w:p>
        </w:tc>
      </w:tr>
      <w:tr w:rsidR="00DC6E61" w:rsidRPr="00C31D3B" w14:paraId="44CF46AE" w14:textId="77777777" w:rsidTr="00DC6E61">
        <w:trPr>
          <w:trHeight w:val="270"/>
          <w:jc w:val="center"/>
        </w:trPr>
        <w:tc>
          <w:tcPr>
            <w:tcW w:w="2584" w:type="dxa"/>
            <w:tcBorders>
              <w:top w:val="nil"/>
              <w:bottom w:val="single" w:sz="4" w:space="0" w:color="auto"/>
            </w:tcBorders>
            <w:shd w:val="clear" w:color="000000" w:fill="DCE6F1"/>
            <w:noWrap/>
            <w:vAlign w:val="bottom"/>
            <w:hideMark/>
          </w:tcPr>
          <w:p w14:paraId="0C19B5D7"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1,061</w:t>
            </w:r>
          </w:p>
        </w:tc>
        <w:tc>
          <w:tcPr>
            <w:tcW w:w="2552" w:type="dxa"/>
            <w:tcBorders>
              <w:top w:val="nil"/>
              <w:bottom w:val="single" w:sz="4" w:space="0" w:color="auto"/>
            </w:tcBorders>
            <w:shd w:val="clear" w:color="000000" w:fill="DCE6F1"/>
            <w:noWrap/>
            <w:vAlign w:val="bottom"/>
            <w:hideMark/>
          </w:tcPr>
          <w:p w14:paraId="5161B7AB"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586,067</w:t>
            </w:r>
          </w:p>
        </w:tc>
        <w:tc>
          <w:tcPr>
            <w:tcW w:w="2523" w:type="dxa"/>
            <w:tcBorders>
              <w:top w:val="nil"/>
              <w:bottom w:val="single" w:sz="4" w:space="0" w:color="auto"/>
              <w:right w:val="single" w:sz="4" w:space="0" w:color="auto"/>
            </w:tcBorders>
            <w:shd w:val="clear" w:color="000000" w:fill="DCE6F1"/>
            <w:noWrap/>
            <w:vAlign w:val="bottom"/>
            <w:hideMark/>
          </w:tcPr>
          <w:p w14:paraId="2CD00EA9" w14:textId="77777777" w:rsidR="00DC6E61" w:rsidRPr="00C31D3B" w:rsidRDefault="00DC6E61" w:rsidP="00E81D2E">
            <w:pPr>
              <w:tabs>
                <w:tab w:val="clear" w:pos="850"/>
                <w:tab w:val="clear" w:pos="1191"/>
                <w:tab w:val="clear" w:pos="1531"/>
              </w:tabs>
              <w:jc w:val="center"/>
              <w:rPr>
                <w:rFonts w:ascii="Arial Narrow" w:hAnsi="Arial Narrow"/>
                <w:color w:val="000000"/>
                <w:sz w:val="16"/>
                <w:szCs w:val="16"/>
                <w:lang w:eastAsia="en-GB"/>
              </w:rPr>
            </w:pPr>
            <w:r w:rsidRPr="00C31D3B">
              <w:rPr>
                <w:rFonts w:ascii="Arial Narrow" w:hAnsi="Arial Narrow"/>
                <w:color w:val="000000"/>
                <w:sz w:val="16"/>
                <w:szCs w:val="16"/>
                <w:lang w:eastAsia="en-GB"/>
              </w:rPr>
              <w:t>240,123</w:t>
            </w:r>
          </w:p>
        </w:tc>
      </w:tr>
    </w:tbl>
    <w:p w14:paraId="4DC659BA" w14:textId="6AD21A2C" w:rsidR="00DC6E61" w:rsidRDefault="00DC6E61" w:rsidP="00DE5CFF">
      <w:pPr>
        <w:pStyle w:val="SourceDescription"/>
        <w:spacing w:before="60"/>
        <w:ind w:left="851"/>
      </w:pPr>
      <w:r>
        <w:t>Source: IRS data, 2007</w:t>
      </w:r>
      <w:r w:rsidR="00DE5CFF">
        <w:t>.</w:t>
      </w:r>
    </w:p>
    <w:p w14:paraId="7E396006" w14:textId="5DCA6176" w:rsidR="00806E0A" w:rsidRDefault="00375AA4" w:rsidP="00806E0A">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19</w:instrText>
      </w:r>
      <w:r>
        <w:fldChar w:fldCharType="end"/>
      </w:r>
      <w:r>
        <w:instrText>.</w:instrText>
      </w:r>
      <w:r>
        <w:tab/>
      </w:r>
      <w:r>
        <w:fldChar w:fldCharType="end"/>
      </w:r>
      <w:r w:rsidR="00125F40" w:rsidRPr="00DC6E61">
        <w:t>Thus</w:t>
      </w:r>
      <w:r w:rsidR="004B0757" w:rsidRPr="00DC6E61">
        <w:t>, a</w:t>
      </w:r>
      <w:r w:rsidR="00806E0A" w:rsidRPr="00DC6E61">
        <w:t xml:space="preserve"> central feature of the literature on top incomes is that it is not based on household or individual micro records </w:t>
      </w:r>
      <w:r w:rsidR="00AF2F18" w:rsidRPr="00DC6E61">
        <w:rPr>
          <w:i/>
        </w:rPr>
        <w:t>e.g</w:t>
      </w:r>
      <w:r w:rsidR="00AF2F18" w:rsidRPr="00DC6E61">
        <w:t xml:space="preserve">. administrative, </w:t>
      </w:r>
      <w:r w:rsidR="00806E0A" w:rsidRPr="00DC6E61">
        <w:t>census files</w:t>
      </w:r>
      <w:r w:rsidR="00125F40" w:rsidRPr="00DC6E61">
        <w:t>.</w:t>
      </w:r>
      <w:r w:rsidR="00806E0A" w:rsidRPr="00DC6E61">
        <w:t xml:space="preserve"> Only grouped tabulations retrieved from fiscal administration are used. </w:t>
      </w:r>
      <w:r w:rsidR="00C2293C" w:rsidRPr="00DC6E61">
        <w:t>T</w:t>
      </w:r>
      <w:r w:rsidR="00806E0A" w:rsidRPr="00DC6E61">
        <w:t>hese tabulations</w:t>
      </w:r>
      <w:r w:rsidR="00FD083B" w:rsidRPr="00DC6E61">
        <w:t>,</w:t>
      </w:r>
      <w:r w:rsidR="00806E0A" w:rsidRPr="00DC6E61">
        <w:t xml:space="preserve"> </w:t>
      </w:r>
      <w:r w:rsidR="00C2293C" w:rsidRPr="00DC6E61">
        <w:t xml:space="preserve">because they are </w:t>
      </w:r>
      <w:r w:rsidR="00806E0A" w:rsidRPr="00DC6E61">
        <w:t>structured according to income tax brackets</w:t>
      </w:r>
      <w:r w:rsidR="00FD083B" w:rsidRPr="00DC6E61">
        <w:t>,</w:t>
      </w:r>
      <w:r w:rsidR="00687659" w:rsidRPr="00DC6E61">
        <w:t xml:space="preserve"> do not </w:t>
      </w:r>
      <w:r w:rsidR="00465938" w:rsidRPr="00DC6E61">
        <w:t xml:space="preserve">generally </w:t>
      </w:r>
      <w:r w:rsidR="00687659" w:rsidRPr="00DC6E61">
        <w:t>single</w:t>
      </w:r>
      <w:r w:rsidR="00465938" w:rsidRPr="00DC6E61">
        <w:t xml:space="preserve"> out </w:t>
      </w:r>
      <w:r w:rsidR="00806E0A" w:rsidRPr="00DC6E61">
        <w:t xml:space="preserve">the </w:t>
      </w:r>
      <w:r w:rsidR="00FD083B" w:rsidRPr="00DC6E61">
        <w:t>group</w:t>
      </w:r>
      <w:r w:rsidR="00806E0A" w:rsidRPr="00DC6E61">
        <w:t xml:space="preserve"> of interest</w:t>
      </w:r>
      <w:r w:rsidR="00FD083B" w:rsidRPr="00DC6E61">
        <w:t xml:space="preserve"> such as the top 1%</w:t>
      </w:r>
      <w:r w:rsidR="00011D78" w:rsidRPr="00DC6E61">
        <w:t>; t</w:t>
      </w:r>
      <w:r w:rsidR="00465938" w:rsidRPr="00DC6E61">
        <w:t>he groups depicted by these data are only driven by the tax legislation of each country</w:t>
      </w:r>
      <w:r w:rsidR="00806E0A" w:rsidRPr="00DC6E61">
        <w:t>.</w:t>
      </w:r>
      <w:r w:rsidR="00687659" w:rsidRPr="00DC6E61">
        <w:t xml:space="preserve"> </w:t>
      </w:r>
      <w:r w:rsidR="00806E0A" w:rsidRPr="00DC6E61">
        <w:t xml:space="preserve">A model is therefore required to </w:t>
      </w:r>
      <w:r w:rsidR="00FD083B" w:rsidRPr="00DC6E61">
        <w:t>estimate</w:t>
      </w:r>
      <w:r w:rsidR="00806E0A" w:rsidRPr="00DC6E61">
        <w:t xml:space="preserve"> the </w:t>
      </w:r>
      <w:r w:rsidR="00FD083B" w:rsidRPr="00DC6E61">
        <w:t>summary statistics</w:t>
      </w:r>
      <w:r w:rsidR="00806E0A" w:rsidRPr="00DC6E61">
        <w:t xml:space="preserve"> </w:t>
      </w:r>
      <w:r w:rsidR="00C2293C" w:rsidRPr="00DC6E61">
        <w:t>for</w:t>
      </w:r>
      <w:r w:rsidR="00806E0A" w:rsidRPr="00DC6E61">
        <w:t xml:space="preserve"> the </w:t>
      </w:r>
      <w:r w:rsidR="00FD083B" w:rsidRPr="00DC6E61">
        <w:t>group</w:t>
      </w:r>
      <w:r w:rsidR="00806E0A" w:rsidRPr="00DC6E61">
        <w:t xml:space="preserve"> of interest.</w:t>
      </w:r>
      <w:r w:rsidR="00FD083B" w:rsidRPr="00DC6E61">
        <w:t xml:space="preserve"> The </w:t>
      </w:r>
      <w:r w:rsidR="00125F40" w:rsidRPr="00DC6E61">
        <w:t xml:space="preserve">preferred </w:t>
      </w:r>
      <w:r w:rsidR="00FD083B" w:rsidRPr="00DC6E61">
        <w:t xml:space="preserve">estimation methodology is the </w:t>
      </w:r>
      <w:r w:rsidR="003811E4" w:rsidRPr="00DC6E61">
        <w:t xml:space="preserve">fit of a </w:t>
      </w:r>
      <w:r w:rsidR="00FD083B" w:rsidRPr="00DC6E61">
        <w:t xml:space="preserve">Pareto </w:t>
      </w:r>
      <w:r w:rsidR="003811E4" w:rsidRPr="00DC6E61">
        <w:t>distribution</w:t>
      </w:r>
      <w:r w:rsidR="008E2B81" w:rsidRPr="00DC6E61">
        <w:t xml:space="preserve"> (Box 1). I</w:t>
      </w:r>
      <w:r w:rsidR="00FD083B" w:rsidRPr="00DC6E61">
        <w:t>f the number of tax brackets reported is large, measurement errors with this methodology are generally deemed to be small</w:t>
      </w:r>
      <w:r w:rsidR="0079493A" w:rsidRPr="00DC6E61">
        <w:t xml:space="preserve"> </w:t>
      </w:r>
      <w:r w:rsidR="00FD083B" w:rsidRPr="00DC6E61">
        <w:t xml:space="preserve">(see Atkinson </w:t>
      </w:r>
      <w:r w:rsidR="00FD083B" w:rsidRPr="00DC6E61">
        <w:rPr>
          <w:i/>
        </w:rPr>
        <w:t>et al.</w:t>
      </w:r>
      <w:r w:rsidR="00FD083B" w:rsidRPr="00DC6E61">
        <w:t>, 2011).</w:t>
      </w:r>
    </w:p>
    <w:p w14:paraId="13A7CDDC" w14:textId="66D3AB53" w:rsidR="00375AA4" w:rsidRDefault="00375AA4" w:rsidP="00375AA4">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20</w:instrText>
      </w:r>
      <w:r>
        <w:fldChar w:fldCharType="end"/>
      </w:r>
      <w:r>
        <w:instrText>.</w:instrText>
      </w:r>
      <w:r>
        <w:tab/>
      </w:r>
      <w:r>
        <w:fldChar w:fldCharType="end"/>
      </w:r>
      <w:r>
        <w:t xml:space="preserve">Despite the exhaustiveness of tax data and the confidence in the methodology applied to them, several factors can reduce the validity of tax data-based top incomes estimation (see Leigh, 2007 for a complete discussion). In particular: </w:t>
      </w:r>
    </w:p>
    <w:p w14:paraId="279127FF" w14:textId="77777777" w:rsidR="00375AA4" w:rsidRDefault="00375AA4" w:rsidP="00375AA4">
      <w:pPr>
        <w:pStyle w:val="ListBullet"/>
        <w:tabs>
          <w:tab w:val="clear" w:pos="4377"/>
          <w:tab w:val="num" w:pos="1276"/>
        </w:tabs>
        <w:ind w:left="1276"/>
      </w:pPr>
      <w:r>
        <w:t xml:space="preserve">Income shifting induced by changes in tax legislation, e.g. lowering of personal tax rates might lead individuals to shift their business income from corporate tax returns to individual tax returns, which may inflate the share of (personal) taxable income accruing to the very rich. That is, people with very high incomes may not earn more income but simply declare more of their income as part of their personal tax declaration. </w:t>
      </w:r>
    </w:p>
    <w:p w14:paraId="06B82886" w14:textId="77777777" w:rsidR="00375AA4" w:rsidRPr="00AE2497" w:rsidRDefault="00375AA4" w:rsidP="00375AA4">
      <w:pPr>
        <w:pStyle w:val="ListBullet"/>
        <w:tabs>
          <w:tab w:val="clear" w:pos="4377"/>
          <w:tab w:val="num" w:pos="1276"/>
        </w:tabs>
        <w:ind w:left="1276"/>
      </w:pPr>
      <w:r w:rsidRPr="00AE2497">
        <w:t xml:space="preserve">Similarly, </w:t>
      </w:r>
      <w:r>
        <w:t>c</w:t>
      </w:r>
      <w:r w:rsidRPr="00AE2497">
        <w:t xml:space="preserve">hanges in marginal tax rates could lead to changes in the income that is reported on tax records. Most studies on the subject suggest that the elasticity of taxable income with respect to changes in tax rates is positive and is typically between 0.5 and 1% (Gruber and Saez, 2002). This implies for example that, when the upper marginal income tax rate drops from (say) 40 to 30% the amount of income reported would increase by between 8% and 16%. Again, the share of income going to the top income bracket may not mean that the rich are getting richer, only that more of their income is </w:t>
      </w:r>
      <w:r>
        <w:t>reported on their tax declaration.</w:t>
      </w:r>
    </w:p>
    <w:p w14:paraId="61F749B6" w14:textId="3B747D9F" w:rsidR="00375AA4" w:rsidRDefault="00375AA4" w:rsidP="00375AA4">
      <w:pPr>
        <w:pStyle w:val="ListBullet"/>
        <w:tabs>
          <w:tab w:val="clear" w:pos="4377"/>
          <w:tab w:val="num" w:pos="1276"/>
        </w:tabs>
        <w:ind w:left="1276"/>
      </w:pPr>
      <w:r>
        <w:t xml:space="preserve">A significant and shifting incidence of tax evasion and tax avoidance schemes. </w:t>
      </w:r>
    </w:p>
    <w:p w14:paraId="7F041014" w14:textId="77777777" w:rsidR="00375AA4" w:rsidRDefault="00375AA4">
      <w:pPr>
        <w:tabs>
          <w:tab w:val="clear" w:pos="850"/>
          <w:tab w:val="clear" w:pos="1191"/>
          <w:tab w:val="clear" w:pos="1531"/>
        </w:tabs>
        <w:jc w:val="left"/>
      </w:pPr>
      <w:r>
        <w:br w:type="page"/>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684"/>
      </w:tblGrid>
      <w:tr w:rsidR="00FD083B" w14:paraId="3C6DD44F" w14:textId="77777777" w:rsidTr="00FD083B">
        <w:tc>
          <w:tcPr>
            <w:tcW w:w="9684" w:type="dxa"/>
            <w:shd w:val="clear" w:color="auto" w:fill="auto"/>
          </w:tcPr>
          <w:p w14:paraId="7A25C601" w14:textId="77777777" w:rsidR="00FD083B" w:rsidRDefault="00FD083B" w:rsidP="00FD083B">
            <w:pPr>
              <w:pStyle w:val="BoxHeading"/>
            </w:pPr>
            <w:r>
              <w:lastRenderedPageBreak/>
              <w:fldChar w:fldCharType="begin"/>
            </w:r>
            <w:r>
              <w:instrText xml:space="preserve"> MACROBUTTON NUMBERING Box </w:instrText>
            </w:r>
            <w:r>
              <w:fldChar w:fldCharType="begin"/>
            </w:r>
            <w:r>
              <w:instrText xml:space="preserve"> SEQ  box</w:instrText>
            </w:r>
            <w:r>
              <w:fldChar w:fldCharType="separate"/>
            </w:r>
            <w:r w:rsidR="002114FC">
              <w:rPr>
                <w:noProof/>
              </w:rPr>
              <w:instrText>1</w:instrText>
            </w:r>
            <w:r>
              <w:fldChar w:fldCharType="end"/>
            </w:r>
            <w:r>
              <w:instrText xml:space="preserve">. </w:instrText>
            </w:r>
            <w:bookmarkStart w:id="24" w:name="_Toc416797100"/>
            <w:bookmarkStart w:id="25" w:name="_Toc416860249"/>
            <w:r>
              <w:fldChar w:fldCharType="end"/>
            </w:r>
            <w:r>
              <w:t xml:space="preserve">Pareto </w:t>
            </w:r>
            <w:r w:rsidR="00FC5B28">
              <w:t>distribution</w:t>
            </w:r>
            <w:bookmarkEnd w:id="24"/>
            <w:bookmarkEnd w:id="25"/>
          </w:p>
          <w:p w14:paraId="162A0FEC" w14:textId="77777777" w:rsidR="00FD083B" w:rsidRDefault="00C07434" w:rsidP="00DC6E61">
            <w:pPr>
              <w:pStyle w:val="BoxBodyText"/>
              <w:spacing w:after="120"/>
            </w:pPr>
            <w:r>
              <w:t>A</w:t>
            </w:r>
            <w:r w:rsidR="00FD083B">
              <w:t xml:space="preserve"> Pareto law is given by </w:t>
            </w:r>
            <w:r w:rsidR="00791868" w:rsidRPr="009A79AA">
              <w:t xml:space="preserve">the following </w:t>
            </w:r>
            <w:r w:rsidR="00791868">
              <w:t>cumulative distribution function F(y) for income y</w:t>
            </w:r>
            <w:r w:rsidR="00791868" w:rsidRPr="009A79AA">
              <w:t>:</w:t>
            </w:r>
          </w:p>
          <w:p w14:paraId="66B19870" w14:textId="77777777" w:rsidR="00791868" w:rsidRPr="00791868" w:rsidRDefault="00791868" w:rsidP="00791868">
            <w:pPr>
              <w:pStyle w:val="BoxBodyText"/>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Y&lt;y</m:t>
                    </m:r>
                  </m:e>
                </m:d>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k</m:t>
                            </m:r>
                          </m:den>
                        </m:f>
                      </m:e>
                    </m:d>
                  </m:e>
                  <m:sup>
                    <m:r>
                      <w:rPr>
                        <w:rFonts w:ascii="Cambria Math" w:hAnsi="Cambria Math"/>
                      </w:rPr>
                      <m:t>-α</m:t>
                    </m:r>
                  </m:sup>
                </m:sSup>
                <m:r>
                  <w:rPr>
                    <w:rFonts w:ascii="Cambria Math" w:hAnsi="Cambria Math"/>
                  </w:rPr>
                  <m:t xml:space="preserve"> ∀y&gt;k</m:t>
                </m:r>
              </m:oMath>
            </m:oMathPara>
          </w:p>
          <w:p w14:paraId="4631FA5F" w14:textId="77777777" w:rsidR="00791868" w:rsidRPr="00791868" w:rsidRDefault="00791868" w:rsidP="00DC6E61">
            <w:pPr>
              <w:pStyle w:val="BoxBodyText"/>
              <w:spacing w:after="120"/>
              <w:rPr>
                <w:rFonts w:ascii="Cambria Math" w:hAnsi="Cambria Math"/>
                <w:oMath/>
              </w:rPr>
            </w:pPr>
            <m:oMathPara>
              <m:oMath>
                <m:r>
                  <w:rPr>
                    <w:rFonts w:ascii="Cambria Math" w:hAnsi="Cambria Math"/>
                  </w:rPr>
                  <m:t>=0 ∀y≤k</m:t>
                </m:r>
              </m:oMath>
            </m:oMathPara>
          </w:p>
          <w:p w14:paraId="065EE7C1" w14:textId="77777777" w:rsidR="00617A63" w:rsidRDefault="00791868" w:rsidP="00DC6E61">
            <w:pPr>
              <w:pStyle w:val="BoxBodyText"/>
              <w:spacing w:after="120"/>
            </w:pPr>
            <w:r>
              <w:t xml:space="preserve">where </w:t>
            </w:r>
            <m:oMath>
              <m:r>
                <w:rPr>
                  <w:rFonts w:ascii="Cambria Math" w:hAnsi="Cambria Math"/>
                </w:rPr>
                <m:t>k</m:t>
              </m:r>
            </m:oMath>
            <w:r>
              <w:t xml:space="preserve"> is a positive scaling parameter and </w:t>
            </w:r>
            <m:oMath>
              <m:r>
                <w:rPr>
                  <w:rFonts w:ascii="Cambria Math" w:hAnsi="Cambria Math"/>
                </w:rPr>
                <m:t>α</m:t>
              </m:r>
            </m:oMath>
            <w:r>
              <w:t xml:space="preserve"> is called the Pareto coefficient.</w:t>
            </w:r>
            <w:r w:rsidR="00617A63">
              <w:t xml:space="preserve"> The corresponding density function f(y) is given by:</w:t>
            </w:r>
          </w:p>
          <w:p w14:paraId="01ED9768" w14:textId="77777777" w:rsidR="00791868" w:rsidRPr="00617A63" w:rsidRDefault="00617A63" w:rsidP="00DC6E61">
            <w:pPr>
              <w:pStyle w:val="BoxBodyText"/>
              <w:spacing w:after="12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=α</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α</m:t>
                        </m:r>
                      </m:sup>
                    </m:sSup>
                  </m:num>
                  <m:den>
                    <m:sSup>
                      <m:sSupPr>
                        <m:ctrlPr>
                          <w:rPr>
                            <w:rFonts w:ascii="Cambria Math" w:hAnsi="Cambria Math"/>
                            <w:i/>
                          </w:rPr>
                        </m:ctrlPr>
                      </m:sSupPr>
                      <m:e>
                        <m:r>
                          <w:rPr>
                            <w:rFonts w:ascii="Cambria Math" w:hAnsi="Cambria Math"/>
                          </w:rPr>
                          <m:t>y</m:t>
                        </m:r>
                      </m:e>
                      <m:sup>
                        <m:r>
                          <w:rPr>
                            <w:rFonts w:ascii="Cambria Math" w:hAnsi="Cambria Math"/>
                          </w:rPr>
                          <m:t>1+α</m:t>
                        </m:r>
                      </m:sup>
                    </m:sSup>
                  </m:den>
                </m:f>
              </m:oMath>
            </m:oMathPara>
          </w:p>
          <w:p w14:paraId="12D61E6A" w14:textId="270D497F" w:rsidR="00791868" w:rsidRDefault="00791868" w:rsidP="00DC6E61">
            <w:pPr>
              <w:pStyle w:val="BoxBodyText"/>
              <w:spacing w:after="120"/>
            </w:pPr>
            <w:r>
              <w:t xml:space="preserve">The key property of a Pareto distribution is that the ratio of the average income </w:t>
            </w:r>
            <w:r w:rsidR="0039792D">
              <w:t xml:space="preserve">y* </w:t>
            </w:r>
            <w:r>
              <w:t xml:space="preserve">of individuals or households </w:t>
            </w:r>
            <w:r w:rsidR="0039792D">
              <w:t xml:space="preserve">with income above y to </w:t>
            </w:r>
            <w:r>
              <w:t>y does not d</w:t>
            </w:r>
            <w:r w:rsidR="004B0757">
              <w:t>epend on the income threshold y</w:t>
            </w:r>
            <w:r>
              <w:t xml:space="preserve"> and is equal to the </w:t>
            </w:r>
            <w:r w:rsidR="0039792D">
              <w:t xml:space="preserve">inverted </w:t>
            </w:r>
            <w:r>
              <w:t>Pareto coefficient</w:t>
            </w:r>
            <w:r w:rsidR="0039792D">
              <w:t xml:space="preserve"> β, i.e. </w:t>
            </w:r>
            <m:oMath>
              <m:f>
                <m:fPr>
                  <m:type m:val="skw"/>
                  <m:ctrlPr>
                    <w:rPr>
                      <w:rFonts w:ascii="Cambria Math" w:hAnsi="Cambria Math"/>
                      <w:i/>
                    </w:rPr>
                  </m:ctrlPr>
                </m:fPr>
                <m:num>
                  <m:r>
                    <w:rPr>
                      <w:rFonts w:ascii="Cambria Math" w:hAnsi="Cambria Math"/>
                    </w:rPr>
                    <m:t>y*</m:t>
                  </m:r>
                </m:num>
                <m:den>
                  <m:r>
                    <w:rPr>
                      <w:rFonts w:ascii="Cambria Math" w:hAnsi="Cambria Math"/>
                    </w:rPr>
                    <m:t>y</m:t>
                  </m:r>
                </m:den>
              </m:f>
              <m:r>
                <w:rPr>
                  <w:rFonts w:ascii="Cambria Math" w:hAnsi="Cambria Math"/>
                </w:rPr>
                <m:t>=β with β=</m:t>
              </m:r>
              <m:f>
                <m:fPr>
                  <m:type m:val="skw"/>
                  <m:ctrlPr>
                    <w:rPr>
                      <w:rFonts w:ascii="Cambria Math" w:hAnsi="Cambria Math"/>
                      <w:i/>
                    </w:rPr>
                  </m:ctrlPr>
                </m:fPr>
                <m:num>
                  <m:r>
                    <w:rPr>
                      <w:rFonts w:ascii="Cambria Math" w:hAnsi="Cambria Math"/>
                    </w:rPr>
                    <m:t>α</m:t>
                  </m:r>
                </m:num>
                <m:den>
                  <m:r>
                    <w:rPr>
                      <w:rFonts w:ascii="Cambria Math" w:hAnsi="Cambria Math"/>
                    </w:rPr>
                    <m:t>α-1</m:t>
                  </m:r>
                </m:den>
              </m:f>
            </m:oMath>
            <w:r>
              <w:t xml:space="preserve"> </w:t>
            </w:r>
            <w:r w:rsidR="0039792D">
              <w:t xml:space="preserve">. </w:t>
            </w:r>
            <w:r w:rsidR="00AA5564">
              <w:t>For instance, if</w:t>
            </w:r>
            <m:oMath>
              <m:r>
                <w:rPr>
                  <w:rFonts w:ascii="Cambria Math" w:hAnsi="Cambria Math"/>
                </w:rPr>
                <m:t xml:space="preserve"> β=2</m:t>
              </m:r>
            </m:oMath>
            <w:r w:rsidR="00AA5564">
              <w:t>, the average income of individuals with income superior to $100</w:t>
            </w:r>
            <w:r w:rsidR="00DE5CFF">
              <w:t> </w:t>
            </w:r>
            <w:r w:rsidR="00AA5564">
              <w:t>000 is $200</w:t>
            </w:r>
            <w:r w:rsidR="00DE5CFF">
              <w:t> </w:t>
            </w:r>
            <w:r w:rsidR="00AA5564">
              <w:t xml:space="preserve">000. The </w:t>
            </w:r>
            <w:r w:rsidR="0079493A">
              <w:t>inverted</w:t>
            </w:r>
            <w:r w:rsidR="00AA5564">
              <w:t xml:space="preserve"> Pareto coefficient has thus an intuitive economic interpretation: the higher </w:t>
            </w:r>
            <w:r w:rsidR="005A6DC4">
              <w:t>the coefficient</w:t>
            </w:r>
            <w:r w:rsidR="00AA5564">
              <w:t>, the fatter the upper tail of the distribution (see Figure below).</w:t>
            </w:r>
            <w:r w:rsidR="005A6DC4">
              <w:t xml:space="preserve"> In its own an inverted Pareto coefficient </w:t>
            </w:r>
            <w:r w:rsidR="00C2293C">
              <w:t>can be interpreted as a</w:t>
            </w:r>
            <w:r w:rsidR="005A6DC4">
              <w:t xml:space="preserve"> measure of inequality</w:t>
            </w:r>
            <w:r w:rsidR="00011D78">
              <w:t>.</w:t>
            </w:r>
          </w:p>
          <w:p w14:paraId="0C045410" w14:textId="4A0A50D4" w:rsidR="00043DEE" w:rsidRPr="000B0CC0" w:rsidRDefault="00043DEE" w:rsidP="00DC6E61">
            <w:pPr>
              <w:pStyle w:val="BodyText"/>
              <w:spacing w:before="240"/>
              <w:jc w:val="center"/>
              <w:rPr>
                <w:rFonts w:ascii="Arial" w:hAnsi="Arial" w:cs="Arial"/>
                <w:b/>
                <w:sz w:val="18"/>
                <w:szCs w:val="18"/>
              </w:rPr>
            </w:pPr>
            <w:r w:rsidRPr="000B0CC0">
              <w:rPr>
                <w:rFonts w:ascii="Arial" w:hAnsi="Arial" w:cs="Arial"/>
                <w:b/>
                <w:sz w:val="18"/>
                <w:szCs w:val="18"/>
              </w:rPr>
              <w:t>Pareto density functions</w:t>
            </w:r>
          </w:p>
          <w:p w14:paraId="1D19AE86" w14:textId="77777777" w:rsidR="00043DEE" w:rsidRDefault="00043DEE" w:rsidP="00043DEE">
            <w:pPr>
              <w:pStyle w:val="Graphic"/>
            </w:pPr>
            <w:r>
              <w:rPr>
                <w:noProof/>
                <w:lang w:eastAsia="en-GB"/>
              </w:rPr>
              <w:drawing>
                <wp:inline distT="0" distB="0" distL="0" distR="0" wp14:anchorId="7789D0D3" wp14:editId="7D1D2CC1">
                  <wp:extent cx="5381625" cy="24098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81625" cy="2409825"/>
                          </a:xfrm>
                          <a:prstGeom prst="rect">
                            <a:avLst/>
                          </a:prstGeom>
                        </pic:spPr>
                      </pic:pic>
                    </a:graphicData>
                  </a:graphic>
                </wp:inline>
              </w:drawing>
            </w:r>
          </w:p>
          <w:p w14:paraId="7D4913CE" w14:textId="77777777" w:rsidR="00043DEE" w:rsidRDefault="00043DEE" w:rsidP="00043DEE">
            <w:pPr>
              <w:pStyle w:val="FigureNote"/>
            </w:pPr>
            <w:r w:rsidRPr="009C4FBD">
              <w:rPr>
                <w:i/>
              </w:rPr>
              <w:t>Note</w:t>
            </w:r>
            <w:r>
              <w:t>: The higher is the reversed Pareto coefficient beta, the thicker is the upper-tail of the distribution, which implies a more unequal distribution of income and a greater number of very high incomes.</w:t>
            </w:r>
          </w:p>
          <w:p w14:paraId="76859239" w14:textId="43C941F6" w:rsidR="00AA5564" w:rsidRPr="00415955" w:rsidRDefault="00617A63" w:rsidP="00DC6E61">
            <w:pPr>
              <w:pStyle w:val="BoxBodyText"/>
              <w:spacing w:before="240"/>
            </w:pPr>
            <w:r w:rsidRPr="00415955">
              <w:t xml:space="preserve">Once the computation of the inverted Pareto coefficient has been derived from </w:t>
            </w:r>
            <w:r w:rsidR="00C2293C" w:rsidRPr="00415955">
              <w:t xml:space="preserve">data </w:t>
            </w:r>
            <w:r w:rsidR="005A6DC4" w:rsidRPr="00415955">
              <w:t xml:space="preserve">such </w:t>
            </w:r>
            <w:r w:rsidR="00C2293C" w:rsidRPr="00415955">
              <w:t xml:space="preserve">as </w:t>
            </w:r>
            <w:r w:rsidR="000D7C35" w:rsidRPr="00415955">
              <w:t xml:space="preserve">in </w:t>
            </w:r>
            <w:r w:rsidR="005A6DC4" w:rsidRPr="00415955">
              <w:t>Table 1</w:t>
            </w:r>
            <w:r w:rsidRPr="00415955">
              <w:t>, the share of income for the top 5%, top 1%, top 0.1% can be computed from local approximations of f(y).</w:t>
            </w:r>
            <w:r w:rsidR="0079493A" w:rsidRPr="00415955">
              <w:t xml:space="preserve"> While estimations at different level</w:t>
            </w:r>
            <w:r w:rsidR="009A04A0" w:rsidRPr="00415955">
              <w:t>s</w:t>
            </w:r>
            <w:r w:rsidR="0079493A" w:rsidRPr="00415955">
              <w:t xml:space="preserve"> of brackets can lead to different inverted Pareto coefficients </w:t>
            </w:r>
            <w:r w:rsidR="00C07434" w:rsidRPr="00415955">
              <w:t>(</w:t>
            </w:r>
            <w:r w:rsidR="0079493A" w:rsidRPr="00415955">
              <w:t>and thus different top income shares</w:t>
            </w:r>
            <w:r w:rsidR="00C07434" w:rsidRPr="00415955">
              <w:t>)</w:t>
            </w:r>
            <w:r w:rsidR="0079493A" w:rsidRPr="00415955">
              <w:t>, in practice this is rarely the case: for a given country and year, inverted Pareto coefficients are generally invariant with y</w:t>
            </w:r>
            <w:r w:rsidR="00C07434" w:rsidRPr="00415955">
              <w:t xml:space="preserve"> (</w:t>
            </w:r>
            <w:r w:rsidR="0079493A" w:rsidRPr="00415955">
              <w:t xml:space="preserve">Atkinson </w:t>
            </w:r>
            <w:r w:rsidR="0079493A" w:rsidRPr="00415955">
              <w:rPr>
                <w:i/>
              </w:rPr>
              <w:t>et al.</w:t>
            </w:r>
            <w:r w:rsidR="0079493A" w:rsidRPr="00415955">
              <w:t>, 2011).</w:t>
            </w:r>
          </w:p>
          <w:p w14:paraId="7D47895E" w14:textId="77777777" w:rsidR="003811E4" w:rsidRPr="003811E4" w:rsidRDefault="00D76CC4" w:rsidP="009A04A0">
            <w:pPr>
              <w:pStyle w:val="BoxBodyText"/>
            </w:pPr>
            <w:r w:rsidRPr="00227F89">
              <w:t xml:space="preserve">The Pareto distribution appears to be </w:t>
            </w:r>
            <w:r>
              <w:t>a</w:t>
            </w:r>
            <w:r w:rsidRPr="00227F89">
              <w:t xml:space="preserve"> first-choice option</w:t>
            </w:r>
            <w:r w:rsidR="005A6DC4">
              <w:t xml:space="preserve"> to explain income distribution</w:t>
            </w:r>
            <w:r w:rsidRPr="00227F89">
              <w:t xml:space="preserve"> and </w:t>
            </w:r>
            <w:r>
              <w:t xml:space="preserve">has benefited </w:t>
            </w:r>
            <w:r w:rsidRPr="00227F89">
              <w:t xml:space="preserve">from </w:t>
            </w:r>
            <w:r>
              <w:t>an increasing</w:t>
            </w:r>
            <w:r w:rsidRPr="00227F89">
              <w:t xml:space="preserve"> </w:t>
            </w:r>
            <w:r>
              <w:t>popularity</w:t>
            </w:r>
            <w:r w:rsidR="005A6DC4">
              <w:t>,</w:t>
            </w:r>
            <w:r>
              <w:t xml:space="preserve"> culminating </w:t>
            </w:r>
            <w:r w:rsidR="005A6DC4">
              <w:t xml:space="preserve">recently </w:t>
            </w:r>
            <w:r>
              <w:t>with the recent literature on top incomes</w:t>
            </w:r>
            <w:r w:rsidRPr="00227F89">
              <w:t xml:space="preserve"> </w:t>
            </w:r>
            <w:r w:rsidRPr="00227F89">
              <w:fldChar w:fldCharType="begin"/>
            </w:r>
            <w:r>
              <w:instrText xml:space="preserve"> ADDIN ZOTERO_ITEM CSL_CITATION {"citationID":"H3bVsZdr","properties":{"formattedCitation":"{\\rtf (Pareto 1896a; Macaulay 1922; Champernowne 1953; Simon 1955; Wold and Whittle 1957; Tinbergen 1956; Mandelbrot 1961a; Nygard and Sandstr\\uc0\\u246{}m 1981; Arnold 1983; Creedy 1985; Bishop, Chiou, and Formby 1994; Piketty 2001; Klass et al. 2006)}","plainCitation":"(Pareto 1896a; Macaulay 1922; Champernowne 1953; Simon 1955; Wold and Whittle 1957; Tinbergen 1956; Mandelbrot 1961a; Nygard and Sandström 1981; Arnold 1983; Creedy 1985; Bishop, Chiou, and Formby 1994; Piketty 2001; Klass et al. 2006)"},"citationItems":[{"id":516,"uris":["http://zotero.org/users/797545/items/VSINIS9N"],"uri":["http://zotero.org/users/797545/items/VSINIS9N"],"itemData":{"id":516,"type":"article-journal","title":"Cours d’économie politique","container-title":"Tome I. Lausanne","source":"Google Scholar","author":[{"family":"Pareto","given":"Vilfredo"}],"issued":{"date-parts":[["1896"]]}}},{"id":500,"uris":["http://zotero.org/users/797545/items/6N6Z7UMG"],"uri":["http://zotero.org/users/797545/items/6N6Z7UMG"],"itemData":{"id":500,"type":"book","title":"The personal distribution of income in the United States","collection-number":"2","publisher":"Harcourt, Brace","source":"Google Scholar","author":[{"family":"Macaulay","given":"Frederick Robertson"}],"issued":{"date-parts":[["1922"]]}}},{"id":514,"uris":["http://zotero.org/users/797545/items/BUTAD5BJ"],"uri":["http://zotero.org/users/797545/items/BUTAD5BJ"],"itemData":{"id":514,"type":"article-journal","title":"A model of income distribution","container-title":"The Economic Journal","page":"318–351","source":"Google Scholar","author":[{"family":"Champernowne","given":"David G."}],"issued":{"date-parts":[["1953"]]},"accessed":{"date-parts":[["2014",7,18]]}}},{"id":509,"uris":["http://zotero.org/users/797545/items/9JWF65ZM"],"uri":["http://zotero.org/users/797545/items/9JWF65ZM"],"itemData":{"id":509,"type":"article-journal","title":"On a class of skew distribution functions","container-title":"Biometrika","page":"425–440","source":"Google Scholar","author":[{"family":"Simon","given":"Herbert A."}],"issued":{"date-parts":[["1955"]]},"accessed":{"date-parts":[["2014",7,18]]}}},{"id":497,"uris":["http://zotero.org/users/797545/items/3IRQFT8K"],"uri":["http://zotero.org/users/797545/items/3IRQFT8K"],"itemData":{"id":497,"type":"article-journal","title":"A model explaining the Pareto distribution of wealth","container-title":"Econometrica, Journal of the Econometric Society","page":"591–595","source":"Google Scholar","author":[{"family":"Wold","given":"Herman OA"},{"family":"Whittle","given":"Peter"}],"issued":{"date-parts":[["1957"]]},"accessed":{"date-parts":[["2014",7,18]]}}},{"id":501,"uris":["http://zotero.org/users/797545/items/2SKT2DIE"],"uri":["http://zotero.org/users/797545/items/2SKT2DIE"],"itemData":{"id":501,"type":"article-journal","title":"On the theory of income distribution","container-title":"Weltwirtschaftliches Archiv","page":"155–175","source":"Google Scholar","author":[{"family":"Tinbergen","given":"Jan"}],"issued":{"date-parts":[["1956"]]},"accessed":{"date-parts":[["2014",7,17]]}},"label":"page"},{"id":512,"uris":["http://zotero.org/users/797545/items/TFAII5D8"],"uri":["http://zotero.org/users/797545/items/TFAII5D8"],"itemData":{"id":512,"type":"article-journal","title":"Stable Paretian random functions and the multiplicative variation of income","container-title":"Econometrica: Journal of the Econometric Society","page":"517–543","source":"Google Scholar","author":[{"family":"Mandelbrot","given":"Benoit"}],"issued":{"date-parts":[["1961"]]},"accessed":{"date-parts":[["2014",7,18]]}}},{"id":506,"uris":["http://zotero.org/users/797545/items/W4HXB5D4"],"uri":["http://zotero.org/users/797545/items/W4HXB5D4"],"itemData":{"id":506,"type":"article-journal","title":"Measuring income inequality","source":"Google Scholar","URL":"http://www.diva-portal.org/smash/record.jsf?pid=diva2:642907","author":[{"family":"Nygard","given":"Fredrik"},{"family":"Sandström","given":"Arne"}],"issued":{"date-parts":[["1981"]]},"accessed":{"date-parts":[["2014",7,17]]}},"label":"page"},{"id":504,"uris":["http://zotero.org/users/797545/items/SERITMN5"],"uri":["http://zotero.org/users/797545/items/SERITMN5"],"itemData":{"id":504,"type":"article-journal","title":"Pareto Distributions","container-title":"International Cooperative Publ. House, Fairland, MD","source":"Google Scholar","author":[{"family":"Arnold","given":"B. C."}],"issued":{"date-parts":[["1983"]]}},"label":"page"},{"id":505,"uris":["http://zotero.org/users/797545/items/ZDVUX7VM"],"uri":["http://zotero.org/users/797545/items/ZDVUX7VM"],"itemData":{"id":505,"type":"book","title":"Dynamics of income distribution","publisher":"Blackwell","source":"Google Scholar","author":[{"family":"Creedy","given":"John"}],"issued":{"date-parts":[["1985"]]}},"label":"page"},{"id":496,"uris":["http://zotero.org/users/797545/items/7RWHFZBT"],"uri":["http://zotero.org/users/797545/items/7RWHFZBT"],"itemData":{"id":496,"type":"article-journal","title":"Truncation Bias and the Ordinal Evaluation of Income Inequality","container-title":"Journal of Business &amp; Economic Statistics","page":"123–127","volume":"12","issue":"1","source":"Google Scholar","author":[{"family":"Bishop","given":"John A."},{"family":"Chiou","given":"Jong-Rong"},{"family":"Formby","given":"John P."}],"issued":{"date-parts":[["1994"]]},"accessed":{"date-parts":[["2014",7,17]]}},"label":"page"},{"id":454,"uris":["http://zotero.org/users/797545/items/KHNEPB7T"],"uri":["http://zotero.org/users/797545/items/KHNEPB7T"],"itemData":{"id":454,"type":"book","title":"Les hauts revenus en France au XXème siècle","publisher":"Grasset","source":"Google Scholar","URL":"http://books.google.fr/books?hl=fr&amp;lr=&amp;id=zLeWmH1DL_kC&amp;oi=fnd&amp;pg=PT7&amp;dq=Les+hauts+revenus+en+France+au+Xxe+si%C3%A8cle:+Inegalites+et+redistributions&amp;ots=Vg4siSNWBk&amp;sig=6JjNIfksfxWdCJbn5rqRj6LjAGc","author":[{"family":"Piketty","given":"Thomas"}],"issued":{"date-parts":[["2001"]]},"accessed":{"date-parts":[["2014",7,1]]}},"label":"page"},{"id":486,"uris":["http://zotero.org/users/797545/items/P7WP9TTJ"],"uri":["http://zotero.org/users/797545/items/P7WP9TTJ"],"itemData":{"id":486,"type":"article-journal","title":"The Forbes 400 and the Pareto wealth distribution","container-title":"Economics Letters","page":"290–295","volume":"90","issue":"2","source":"Google Scholar","author":[{"family":"Klass","given":"Oren S."},{"family":"Biham","given":"Ofer"},{"family":"Levy","given":"Moshe"},{"family":"Malcai","given":"Ofer"},{"family":"Solomon","given":"Sorin"}],"issued":{"date-parts":[["2006"]]},"accessed":{"date-parts":[["2014",7,15]]}},"label":"page"}],"schema":"https://github.com/citation-style-language/schema/raw/master/csl-citation.json"} </w:instrText>
            </w:r>
            <w:r w:rsidRPr="00227F89">
              <w:fldChar w:fldCharType="separate"/>
            </w:r>
            <w:r>
              <w:rPr>
                <w:szCs w:val="24"/>
              </w:rPr>
              <w:t>(Pareto 1896</w:t>
            </w:r>
            <w:r w:rsidRPr="00DE1E6A">
              <w:rPr>
                <w:szCs w:val="24"/>
              </w:rPr>
              <w:t>; Macaulay</w:t>
            </w:r>
            <w:r>
              <w:rPr>
                <w:szCs w:val="24"/>
              </w:rPr>
              <w:t xml:space="preserve">, 1922; </w:t>
            </w:r>
            <w:r w:rsidRPr="00DE1E6A">
              <w:rPr>
                <w:szCs w:val="24"/>
              </w:rPr>
              <w:t>Champernowne 1953; Tinbergen 1956; Mandelbrot 196</w:t>
            </w:r>
            <w:r>
              <w:rPr>
                <w:szCs w:val="24"/>
              </w:rPr>
              <w:t>0</w:t>
            </w:r>
            <w:r w:rsidRPr="00DE1E6A">
              <w:rPr>
                <w:szCs w:val="24"/>
              </w:rPr>
              <w:t xml:space="preserve">; Piketty 2001; Klass </w:t>
            </w:r>
            <w:r w:rsidRPr="00D76CC4">
              <w:rPr>
                <w:i/>
                <w:szCs w:val="24"/>
              </w:rPr>
              <w:t>et al.</w:t>
            </w:r>
            <w:r>
              <w:rPr>
                <w:szCs w:val="24"/>
              </w:rPr>
              <w:t xml:space="preserve">, </w:t>
            </w:r>
            <w:r w:rsidRPr="00DE1E6A">
              <w:rPr>
                <w:szCs w:val="24"/>
              </w:rPr>
              <w:t>2006)</w:t>
            </w:r>
            <w:r w:rsidRPr="00227F89">
              <w:fldChar w:fldCharType="end"/>
            </w:r>
            <w:r w:rsidRPr="00227F89">
              <w:t>.</w:t>
            </w:r>
            <w:r>
              <w:t xml:space="preserve"> </w:t>
            </w:r>
            <w:r w:rsidRPr="00227F89">
              <w:t xml:space="preserve">Pareto </w:t>
            </w:r>
            <w:r>
              <w:t>laws belong</w:t>
            </w:r>
            <w:r w:rsidRPr="00227F89">
              <w:t xml:space="preserve"> to the class of Power Laws</w:t>
            </w:r>
            <w:r>
              <w:t>,</w:t>
            </w:r>
            <w:r w:rsidRPr="00227F89">
              <w:t xml:space="preserve"> well known for the </w:t>
            </w:r>
            <w:r>
              <w:t>numerous</w:t>
            </w:r>
            <w:r w:rsidRPr="00227F89">
              <w:t xml:space="preserve"> regularities </w:t>
            </w:r>
            <w:r>
              <w:t xml:space="preserve">they can </w:t>
            </w:r>
            <w:r w:rsidR="003811E4">
              <w:t>explain</w:t>
            </w:r>
            <w:r w:rsidR="003811E4" w:rsidRPr="00227F89">
              <w:t>:</w:t>
            </w:r>
            <w:r w:rsidRPr="00227F89">
              <w:t xml:space="preserve"> </w:t>
            </w:r>
            <w:r>
              <w:t>size of human settlement</w:t>
            </w:r>
            <w:r w:rsidRPr="00227F89">
              <w:t xml:space="preserve">, </w:t>
            </w:r>
            <w:r w:rsidR="003811E4">
              <w:t xml:space="preserve">the occurrence of words in any language, </w:t>
            </w:r>
            <w:r w:rsidRPr="00227F89">
              <w:t xml:space="preserve">CEO pays… </w:t>
            </w:r>
            <w:r w:rsidR="003811E4">
              <w:t xml:space="preserve">Such empirical regularities </w:t>
            </w:r>
            <w:r w:rsidR="005A6DC4">
              <w:t xml:space="preserve">also </w:t>
            </w:r>
            <w:r w:rsidR="003811E4">
              <w:t xml:space="preserve">triggered interest in the use of power laws in economics beyond income distribution </w:t>
            </w:r>
            <w:r w:rsidRPr="00227F89">
              <w:fldChar w:fldCharType="begin"/>
            </w:r>
            <w:r w:rsidRPr="00227F89">
              <w:instrText xml:space="preserve"> ADDIN ZOTERO_ITEM CSL_CITATION {"citationID":"gzMXfyw8","properties":{"formattedCitation":"(Schumpeter 1949)","plainCitation":"(Schumpeter 1949)"},"citationItems":[{"id":517,"uris":["http://zotero.org/users/797545/items/2SBS69XG"],"uri":["http://zotero.org/users/797545/items/2SBS69XG"],"itemData":{"id":517,"type":"article-journal","title":"Vilfredo Pareto (1848-1923)","container-title":"The Quarterly Journal of Economics","page":"147–173","source":"Google Scholar","author":[{"family":"Schumpeter","given":"Joseph A."}],"issued":{"date-parts":[["1949"]]},"accessed":{"date-parts":[["2014",7,18]]}}}],"schema":"https://github.com/citation-style-language/schema/raw/master/csl-citation.json"} </w:instrText>
            </w:r>
            <w:r w:rsidRPr="00227F89">
              <w:fldChar w:fldCharType="separate"/>
            </w:r>
            <w:r w:rsidRPr="00227F89">
              <w:t>(Schumpeter 1949</w:t>
            </w:r>
            <w:r w:rsidR="003811E4">
              <w:t>; Gabaix, 2009</w:t>
            </w:r>
            <w:r w:rsidRPr="00227F89">
              <w:t>)</w:t>
            </w:r>
            <w:r w:rsidRPr="00227F89">
              <w:fldChar w:fldCharType="end"/>
            </w:r>
            <w:r w:rsidRPr="00227F89">
              <w:t>, and are still the objects of broad investigations.</w:t>
            </w:r>
          </w:p>
        </w:tc>
      </w:tr>
    </w:tbl>
    <w:p w14:paraId="5C76A999" w14:textId="77777777" w:rsidR="00FD083B" w:rsidRPr="00FD083B" w:rsidRDefault="00FD083B" w:rsidP="00806E0A">
      <w:pPr>
        <w:pStyle w:val="Num-DocParagraph"/>
      </w:pPr>
    </w:p>
    <w:p w14:paraId="1950486D" w14:textId="77777777" w:rsidR="008E2B81" w:rsidRDefault="007F6083" w:rsidP="001973BA">
      <w:pPr>
        <w:pStyle w:val="Num-DocParagraph"/>
      </w:pPr>
      <w:r>
        <w:lastRenderedPageBreak/>
        <w:fldChar w:fldCharType="begin"/>
      </w:r>
      <w:r>
        <w:instrText xml:space="preserve"> MACROBUTTON NUMBERING </w:instrText>
      </w:r>
      <w:r>
        <w:fldChar w:fldCharType="begin"/>
      </w:r>
      <w:r>
        <w:instrText xml:space="preserve"> SEQ  dpara</w:instrText>
      </w:r>
      <w:r>
        <w:fldChar w:fldCharType="separate"/>
      </w:r>
      <w:r w:rsidR="002114FC">
        <w:rPr>
          <w:noProof/>
        </w:rPr>
        <w:instrText>21</w:instrText>
      </w:r>
      <w:r>
        <w:fldChar w:fldCharType="end"/>
      </w:r>
      <w:r>
        <w:instrText>.</w:instrText>
      </w:r>
      <w:r>
        <w:tab/>
      </w:r>
      <w:r>
        <w:fldChar w:fldCharType="end"/>
      </w:r>
      <w:r w:rsidR="0012724A">
        <w:t>Bearing in mind these limitations</w:t>
      </w:r>
      <w:r w:rsidR="001973BA">
        <w:t xml:space="preserve">, </w:t>
      </w:r>
      <w:r w:rsidR="002860B7">
        <w:t xml:space="preserve">tabulation-based top income </w:t>
      </w:r>
      <w:r w:rsidR="006E735F">
        <w:t>figures</w:t>
      </w:r>
      <w:r w:rsidR="002860B7">
        <w:t xml:space="preserve"> </w:t>
      </w:r>
      <w:r w:rsidR="001973BA">
        <w:t xml:space="preserve">point </w:t>
      </w:r>
      <w:r w:rsidR="0012724A">
        <w:t xml:space="preserve">nonetheless </w:t>
      </w:r>
      <w:r w:rsidR="001973BA">
        <w:t xml:space="preserve">to patterns that are large enough to </w:t>
      </w:r>
      <w:r w:rsidR="005A4E37">
        <w:t xml:space="preserve">change the </w:t>
      </w:r>
      <w:r w:rsidR="0066653A">
        <w:t>picture</w:t>
      </w:r>
      <w:r w:rsidR="002860B7">
        <w:t xml:space="preserve"> of income distribution</w:t>
      </w:r>
      <w:r w:rsidR="001973BA">
        <w:t xml:space="preserve">. They </w:t>
      </w:r>
      <w:r w:rsidR="002860B7">
        <w:t xml:space="preserve">also </w:t>
      </w:r>
      <w:r w:rsidR="001973BA">
        <w:t xml:space="preserve">highlight </w:t>
      </w:r>
      <w:r w:rsidR="0012724A">
        <w:t>the doubts that surround</w:t>
      </w:r>
      <w:r w:rsidR="001973BA">
        <w:t xml:space="preserve"> </w:t>
      </w:r>
      <w:r w:rsidR="0012724A">
        <w:t>the</w:t>
      </w:r>
      <w:r w:rsidR="001973BA">
        <w:t xml:space="preserve"> assess</w:t>
      </w:r>
      <w:r w:rsidR="0012724A">
        <w:t>ment of</w:t>
      </w:r>
      <w:r w:rsidR="001973BA">
        <w:t xml:space="preserve"> trends in the upper end of the distribution based on survey </w:t>
      </w:r>
      <w:r w:rsidR="002860B7">
        <w:t>data</w:t>
      </w:r>
      <w:r w:rsidR="001973BA">
        <w:t xml:space="preserve"> alone</w:t>
      </w:r>
      <w:r w:rsidR="00011D78">
        <w:t>,</w:t>
      </w:r>
      <w:r w:rsidR="00C2293C">
        <w:t xml:space="preserve"> and on the overall level of inequality in countries</w:t>
      </w:r>
      <w:r w:rsidR="001973BA">
        <w:t>.</w:t>
      </w:r>
      <w:r>
        <w:t xml:space="preserve"> </w:t>
      </w:r>
      <w:r w:rsidR="002860B7">
        <w:t>But t</w:t>
      </w:r>
      <w:r w:rsidR="00656241" w:rsidRPr="007F6083">
        <w:t xml:space="preserve">hey </w:t>
      </w:r>
      <w:r w:rsidR="00AC7BD7" w:rsidRPr="007F6083">
        <w:t xml:space="preserve">also </w:t>
      </w:r>
      <w:r w:rsidR="00656241" w:rsidRPr="007F6083">
        <w:t>create a divide in the m</w:t>
      </w:r>
      <w:r>
        <w:t>easurement of income inequ</w:t>
      </w:r>
      <w:r w:rsidR="002860B7">
        <w:t xml:space="preserve">ality, with on the one hand the (say) </w:t>
      </w:r>
      <w:r>
        <w:t>99%</w:t>
      </w:r>
      <w:r w:rsidR="00C2293C">
        <w:t>,</w:t>
      </w:r>
      <w:r>
        <w:t xml:space="preserve"> </w:t>
      </w:r>
      <w:r w:rsidR="00FF2C50">
        <w:t>measured</w:t>
      </w:r>
      <w:r>
        <w:t xml:space="preserve"> from household surveys and on the other hand the 1%</w:t>
      </w:r>
      <w:r w:rsidR="002860B7">
        <w:t xml:space="preserve"> </w:t>
      </w:r>
      <w:r w:rsidR="00FF2C50">
        <w:t>measured</w:t>
      </w:r>
      <w:r w:rsidR="002860B7">
        <w:t xml:space="preserve"> </w:t>
      </w:r>
      <w:r w:rsidR="00FF2C50">
        <w:t>from</w:t>
      </w:r>
      <w:r w:rsidR="002860B7">
        <w:t xml:space="preserve"> tax data</w:t>
      </w:r>
      <w:r>
        <w:t xml:space="preserve">. This situation is not satisfactory in the sense that </w:t>
      </w:r>
      <w:r w:rsidR="00FF2C50">
        <w:t>it does</w:t>
      </w:r>
      <w:r w:rsidR="0066653A">
        <w:t xml:space="preserve"> not</w:t>
      </w:r>
      <w:r w:rsidR="00FF2C50">
        <w:t xml:space="preserve"> </w:t>
      </w:r>
      <w:r w:rsidR="0066653A">
        <w:t xml:space="preserve">provide </w:t>
      </w:r>
      <w:r w:rsidR="00FF2C50">
        <w:t>measure</w:t>
      </w:r>
      <w:r w:rsidR="009A3088">
        <w:t>s</w:t>
      </w:r>
      <w:r w:rsidR="00FF2C50">
        <w:t xml:space="preserve"> of the </w:t>
      </w:r>
      <w:r w:rsidR="009A3088">
        <w:t>full extent of inequality</w:t>
      </w:r>
      <w:r w:rsidR="0066653A">
        <w:t xml:space="preserve"> that are</w:t>
      </w:r>
      <w:r w:rsidR="006E735F">
        <w:t xml:space="preserve"> </w:t>
      </w:r>
      <w:r w:rsidR="009A3088">
        <w:t>ultimately required in various areas of economic analysis.</w:t>
      </w:r>
    </w:p>
    <w:p w14:paraId="37F7332C" w14:textId="77777777" w:rsidR="007F6083" w:rsidRDefault="000F4924" w:rsidP="007F6083">
      <w:pPr>
        <w:pStyle w:val="Heading2"/>
      </w:pPr>
      <w:bookmarkStart w:id="26" w:name="_Toc416797623"/>
      <w:bookmarkStart w:id="27" w:name="_Toc416860227"/>
      <w:r>
        <w:t>E</w:t>
      </w:r>
      <w:r w:rsidR="007F6083">
        <w:t>stimation of top income shares from household surveys</w:t>
      </w:r>
      <w:bookmarkEnd w:id="26"/>
      <w:bookmarkEnd w:id="27"/>
    </w:p>
    <w:p w14:paraId="2172F3F5" w14:textId="77777777" w:rsidR="007F6083" w:rsidRDefault="007F6083" w:rsidP="007F6083">
      <w:pPr>
        <w:pStyle w:val="Heading3"/>
      </w:pPr>
      <w:bookmarkStart w:id="28" w:name="_Toc416797624"/>
      <w:bookmarkStart w:id="29" w:name="_Toc416860228"/>
      <w:r>
        <w:t>Methodology</w:t>
      </w:r>
      <w:bookmarkEnd w:id="28"/>
      <w:bookmarkEnd w:id="29"/>
    </w:p>
    <w:p w14:paraId="5205B0BB" w14:textId="2AA2A32D" w:rsidR="00A1441C" w:rsidRDefault="00167AE1" w:rsidP="007F6083">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22</w:instrText>
      </w:r>
      <w:r>
        <w:fldChar w:fldCharType="end"/>
      </w:r>
      <w:r>
        <w:instrText>.</w:instrText>
      </w:r>
      <w:r>
        <w:tab/>
      </w:r>
      <w:r>
        <w:fldChar w:fldCharType="end"/>
      </w:r>
      <w:r w:rsidR="00B077FD">
        <w:t xml:space="preserve">This paper delivers </w:t>
      </w:r>
      <w:r w:rsidR="00376024">
        <w:t xml:space="preserve">a </w:t>
      </w:r>
      <w:r w:rsidR="00B077FD">
        <w:t xml:space="preserve">new </w:t>
      </w:r>
      <w:r w:rsidR="00376024">
        <w:t xml:space="preserve">assessment of the income distribution, covering at the same time the top 1% and the bottom 99% in a consistent </w:t>
      </w:r>
      <w:r w:rsidR="00F7011D">
        <w:t>manner, across countries and over time.</w:t>
      </w:r>
      <w:r w:rsidR="00376024">
        <w:t xml:space="preserve"> </w:t>
      </w:r>
      <w:r w:rsidR="00722E8F">
        <w:t xml:space="preserve">The </w:t>
      </w:r>
      <w:r w:rsidR="00F7011D">
        <w:t xml:space="preserve">methodology </w:t>
      </w:r>
      <w:r w:rsidR="00C82484">
        <w:t>relies</w:t>
      </w:r>
      <w:r w:rsidR="00722E8F">
        <w:t xml:space="preserve"> </w:t>
      </w:r>
      <w:r w:rsidR="00F7011D">
        <w:t>only on household survey data, which are adjusted for top incomes under</w:t>
      </w:r>
      <w:r w:rsidR="00E167E5">
        <w:t>-</w:t>
      </w:r>
      <w:r w:rsidR="00F7011D">
        <w:t>coverage by applying</w:t>
      </w:r>
      <w:r w:rsidR="00945850">
        <w:t xml:space="preserve"> </w:t>
      </w:r>
      <w:r w:rsidR="00F7011D">
        <w:t>the</w:t>
      </w:r>
      <w:r w:rsidR="00722E8F">
        <w:t xml:space="preserve"> </w:t>
      </w:r>
      <w:r w:rsidR="006F1F71">
        <w:t xml:space="preserve">West (1985) </w:t>
      </w:r>
      <w:r w:rsidR="00722E8F">
        <w:t xml:space="preserve">conditional likelihood estimator </w:t>
      </w:r>
      <w:r w:rsidR="006F1F71">
        <w:t>(Box</w:t>
      </w:r>
      <w:r w:rsidR="00A50507">
        <w:t xml:space="preserve"> </w:t>
      </w:r>
      <w:r w:rsidR="00E167E5">
        <w:t>2</w:t>
      </w:r>
      <w:r w:rsidR="006F1F71">
        <w:t>)</w:t>
      </w:r>
      <w:r w:rsidR="00722E8F">
        <w:t>.</w:t>
      </w:r>
    </w:p>
    <w:p w14:paraId="52600678" w14:textId="6F69A846" w:rsidR="00167AE1" w:rsidRPr="00E167E5" w:rsidRDefault="00167AE1" w:rsidP="00167AE1">
      <w:pPr>
        <w:pStyle w:val="Num-DocParagraph"/>
        <w:spacing w:after="120"/>
      </w:pPr>
      <w:r>
        <w:fldChar w:fldCharType="begin"/>
      </w:r>
      <w:r>
        <w:instrText xml:space="preserve"> MACROBUTTON NUMBERING </w:instrText>
      </w:r>
      <w:r>
        <w:fldChar w:fldCharType="begin"/>
      </w:r>
      <w:r>
        <w:instrText xml:space="preserve"> SEQ  dpara</w:instrText>
      </w:r>
      <w:r>
        <w:fldChar w:fldCharType="separate"/>
      </w:r>
      <w:r w:rsidR="002114FC">
        <w:rPr>
          <w:noProof/>
        </w:rPr>
        <w:instrText>23</w:instrText>
      </w:r>
      <w:r>
        <w:fldChar w:fldCharType="end"/>
      </w:r>
      <w:r>
        <w:instrText>.</w:instrText>
      </w:r>
      <w:r>
        <w:tab/>
      </w:r>
      <w:r>
        <w:fldChar w:fldCharType="end"/>
      </w:r>
      <w:r>
        <w:t>In the literature,</w:t>
      </w:r>
      <w:r w:rsidRPr="007D4A8C">
        <w:t xml:space="preserve"> </w:t>
      </w:r>
      <w:r>
        <w:t>t</w:t>
      </w:r>
      <w:r w:rsidRPr="00E167E5">
        <w:t>he aim of adjusting household surveys for upper</w:t>
      </w:r>
      <w:r>
        <w:t>-</w:t>
      </w:r>
      <w:r w:rsidRPr="00E167E5">
        <w:t>tail mismeasurement is not new</w:t>
      </w:r>
      <w:r>
        <w:t>.</w:t>
      </w:r>
      <w:r w:rsidRPr="00E167E5">
        <w:rPr>
          <w:rStyle w:val="FootnoteReference"/>
        </w:rPr>
        <w:footnoteReference w:id="7"/>
      </w:r>
      <w:r w:rsidRPr="00E167E5">
        <w:t xml:space="preserve"> However, </w:t>
      </w:r>
      <w:r>
        <w:t>the</w:t>
      </w:r>
      <w:r w:rsidRPr="00E167E5">
        <w:t xml:space="preserve"> previous </w:t>
      </w:r>
      <w:r>
        <w:t>studies</w:t>
      </w:r>
      <w:r w:rsidRPr="00E167E5">
        <w:t xml:space="preserve"> </w:t>
      </w:r>
      <w:r>
        <w:t>(</w:t>
      </w:r>
      <w:r w:rsidRPr="00E167E5">
        <w:t>essentially produced before the rise of the recent top incomes literature</w:t>
      </w:r>
      <w:r>
        <w:t>)</w:t>
      </w:r>
      <w:r w:rsidRPr="00E167E5">
        <w:t xml:space="preserve"> proceed in specific ways that </w:t>
      </w:r>
      <w:r>
        <w:t xml:space="preserve">cannot be easily </w:t>
      </w:r>
      <w:r w:rsidRPr="00E167E5">
        <w:t>generalis</w:t>
      </w:r>
      <w:r>
        <w:t>ed</w:t>
      </w:r>
      <w:r w:rsidRPr="00E167E5">
        <w:t xml:space="preserve">. </w:t>
      </w:r>
      <w:r>
        <w:t>In fact, in m</w:t>
      </w:r>
      <w:r w:rsidRPr="00E167E5">
        <w:t xml:space="preserve">ost </w:t>
      </w:r>
      <w:r>
        <w:t>cases</w:t>
      </w:r>
      <w:r w:rsidRPr="00E167E5">
        <w:t xml:space="preserve"> the quality of the adjustment is assessed from the comparison with data unavailable to a general audience</w:t>
      </w:r>
      <w:r>
        <w:t>,</w:t>
      </w:r>
      <w:r w:rsidRPr="00E167E5">
        <w:t xml:space="preserve"> e.g. micro data internal to National Statistical Offices (Jenkins</w:t>
      </w:r>
      <w:r w:rsidRPr="00E167E5">
        <w:rPr>
          <w:i/>
        </w:rPr>
        <w:t xml:space="preserve"> et al.</w:t>
      </w:r>
      <w:r w:rsidRPr="00E167E5">
        <w:t xml:space="preserve">, 2011; Burkhauser </w:t>
      </w:r>
      <w:r w:rsidRPr="00E167E5">
        <w:rPr>
          <w:i/>
        </w:rPr>
        <w:t>et al.</w:t>
      </w:r>
      <w:r w:rsidRPr="00E167E5">
        <w:t>, 2012)</w:t>
      </w:r>
      <w:r>
        <w:t>,</w:t>
      </w:r>
      <w:r w:rsidRPr="00E167E5">
        <w:t xml:space="preserve"> or administrative records that can be accessed only by government officials (Fichtenbaum and Shahidi, 1988). </w:t>
      </w:r>
      <w:r w:rsidRPr="00F02B76">
        <w:t>Thus, the generalisation across countries and time appears problematic, as this approach to gauge the validity of the estimat</w:t>
      </w:r>
      <w:r w:rsidR="00770EE1">
        <w:t>ions cannot be easily conducted</w:t>
      </w:r>
      <w:r w:rsidRPr="00F02B76">
        <w:t>.</w:t>
      </w:r>
      <w:r w:rsidRPr="00E167E5">
        <w:t xml:space="preserve"> Other </w:t>
      </w:r>
      <w:r>
        <w:t>studies</w:t>
      </w:r>
      <w:r w:rsidRPr="00E167E5">
        <w:t xml:space="preserve"> make adjustments by assuming an ad-hoc Pareto parameter applied beyond a certain threshold (such as in Autor </w:t>
      </w:r>
      <w:r w:rsidRPr="00E167E5">
        <w:rPr>
          <w:i/>
        </w:rPr>
        <w:t>et al.</w:t>
      </w:r>
      <w:r w:rsidRPr="00E167E5">
        <w:t xml:space="preserve">, 2008), e.g. incomes above a specific threshold are assumed to be equal to 1.5 or 2 times the threshold. Such </w:t>
      </w:r>
      <w:r>
        <w:t xml:space="preserve">an </w:t>
      </w:r>
      <w:r w:rsidRPr="00E167E5">
        <w:t>approach is also obviously limited given the arbitrary setting of parameters involved.</w:t>
      </w:r>
    </w:p>
    <w:p w14:paraId="48E5024F" w14:textId="4906C6AB" w:rsidR="00167AE1" w:rsidRDefault="00167AE1" w:rsidP="00167AE1">
      <w:pPr>
        <w:pStyle w:val="Num-DocParagraph"/>
        <w:spacing w:after="120"/>
      </w:pPr>
      <w:r>
        <w:fldChar w:fldCharType="begin"/>
      </w:r>
      <w:r>
        <w:instrText xml:space="preserve"> MACROBUTTON NUMBERING </w:instrText>
      </w:r>
      <w:r>
        <w:fldChar w:fldCharType="begin"/>
      </w:r>
      <w:r>
        <w:instrText xml:space="preserve"> SEQ  dpara</w:instrText>
      </w:r>
      <w:r>
        <w:fldChar w:fldCharType="separate"/>
      </w:r>
      <w:r w:rsidR="002114FC">
        <w:rPr>
          <w:noProof/>
        </w:rPr>
        <w:instrText>24</w:instrText>
      </w:r>
      <w:r>
        <w:fldChar w:fldCharType="end"/>
      </w:r>
      <w:r>
        <w:instrText>.</w:instrText>
      </w:r>
      <w:r>
        <w:tab/>
      </w:r>
      <w:r>
        <w:fldChar w:fldCharType="end"/>
      </w:r>
      <w:r w:rsidRPr="00E167E5">
        <w:t xml:space="preserve">Surprisingly, </w:t>
      </w:r>
      <w:r w:rsidR="00784E77">
        <w:t xml:space="preserve">all </w:t>
      </w:r>
      <w:r w:rsidRPr="00E167E5">
        <w:t xml:space="preserve">but one paper (Burkhauser </w:t>
      </w:r>
      <w:r w:rsidRPr="00E167E5">
        <w:rPr>
          <w:i/>
        </w:rPr>
        <w:t>et al.</w:t>
      </w:r>
      <w:r w:rsidRPr="00E167E5">
        <w:t xml:space="preserve">, 2012) undertook the task of estimating top incomes from the US income survey and then comparing the resulting adjustment with the WTID. There is little contention that the WTID is now the standard </w:t>
      </w:r>
      <w:r>
        <w:t>against</w:t>
      </w:r>
      <w:r w:rsidRPr="00E167E5">
        <w:t xml:space="preserve"> which any top income estimates have to be compared. The WTID has also the advantage of being fully accessible to any users. But as stated above, Burkhauser </w:t>
      </w:r>
      <w:r w:rsidRPr="00E167E5">
        <w:rPr>
          <w:i/>
        </w:rPr>
        <w:t>et al.</w:t>
      </w:r>
      <w:r w:rsidRPr="00E167E5">
        <w:t xml:space="preserve"> (2012) based their estimates on internal information from the Census Bureau, which precludes the possibility of extending their adjustment framework to other</w:t>
      </w:r>
      <w:r>
        <w:t xml:space="preserve"> countries. In this paper, the methodology used is applicable in more general settings: in what follows figures from household surveys, generally easily available, are used.</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684"/>
      </w:tblGrid>
      <w:tr w:rsidR="00167AE1" w14:paraId="5DD4B5A0" w14:textId="77777777" w:rsidTr="00167AE1">
        <w:tc>
          <w:tcPr>
            <w:tcW w:w="9684" w:type="dxa"/>
            <w:shd w:val="clear" w:color="auto" w:fill="auto"/>
          </w:tcPr>
          <w:p w14:paraId="3289F6BE" w14:textId="5B9C5916" w:rsidR="00167AE1" w:rsidRDefault="00167AE1" w:rsidP="00167AE1">
            <w:pPr>
              <w:pStyle w:val="BoxHeading"/>
              <w:spacing w:before="120" w:after="120"/>
            </w:pPr>
            <w:r>
              <w:fldChar w:fldCharType="begin"/>
            </w:r>
            <w:r>
              <w:instrText xml:space="preserve"> MACROBUTTON NUMBERING Box </w:instrText>
            </w:r>
            <w:r>
              <w:fldChar w:fldCharType="begin"/>
            </w:r>
            <w:r>
              <w:instrText xml:space="preserve"> SEQ  box</w:instrText>
            </w:r>
            <w:r>
              <w:fldChar w:fldCharType="separate"/>
            </w:r>
            <w:r w:rsidR="002114FC">
              <w:rPr>
                <w:noProof/>
              </w:rPr>
              <w:instrText>2</w:instrText>
            </w:r>
            <w:r>
              <w:fldChar w:fldCharType="end"/>
            </w:r>
            <w:r>
              <w:instrText xml:space="preserve">. </w:instrText>
            </w:r>
            <w:bookmarkStart w:id="30" w:name="_Toc416797101"/>
            <w:bookmarkStart w:id="31" w:name="_Toc416860250"/>
            <w:r>
              <w:fldChar w:fldCharType="end"/>
            </w:r>
            <w:r w:rsidRPr="00B83586">
              <w:rPr>
                <w:szCs w:val="20"/>
              </w:rPr>
              <w:t xml:space="preserve"> Conditional likelihood estimator of top incomes</w:t>
            </w:r>
            <w:bookmarkEnd w:id="30"/>
            <w:bookmarkEnd w:id="31"/>
          </w:p>
          <w:p w14:paraId="41705E08" w14:textId="77777777" w:rsidR="00167AE1" w:rsidRPr="00B83586" w:rsidRDefault="00167AE1" w:rsidP="00167AE1">
            <w:pPr>
              <w:pStyle w:val="BoxBodyText"/>
              <w:spacing w:before="120" w:after="120"/>
              <w:rPr>
                <w:szCs w:val="20"/>
              </w:rPr>
            </w:pPr>
            <w:r w:rsidRPr="00B83586">
              <w:rPr>
                <w:szCs w:val="20"/>
              </w:rPr>
              <w:t>The West’s conditional likelihood estimator builds on two assumptions which are at the core of the top incomes literature and therefore hardly binding in this context (see Annex 1 for additional details on the derivation). The first is that the upper tail of the income distribution conforms to a Pareto law. This is the central assumption adopted for deriving top incomes shares from tax data (see Box 1). The second is that statistical inference of the Pareto parameter can rely on the observed income distribution which is censored beyond a specific upper-tail threshold, after which incomes are unobserved.</w:t>
            </w:r>
          </w:p>
          <w:p w14:paraId="0ED4324D" w14:textId="3DE89B43" w:rsidR="00167AE1" w:rsidRPr="000D2DB1" w:rsidRDefault="00167AE1" w:rsidP="00167AE1">
            <w:pPr>
              <w:pStyle w:val="BoxBodyText"/>
              <w:spacing w:before="120" w:after="120"/>
              <w:rPr>
                <w:szCs w:val="20"/>
              </w:rPr>
            </w:pPr>
            <w:r w:rsidRPr="00B83586">
              <w:rPr>
                <w:szCs w:val="20"/>
              </w:rPr>
              <w:t xml:space="preserve">In practice, this second condition means that at least part of an observed income distribution, that is, below the upper-tail threshold above which top incomes are not observed (or partially) in household surveys, also displays some degrees of similarity with a Pareto law, so as to minimise measurement errors. Such conformity can be checked at least visually by plotting the logarithm of the survival function (the function that describes the probability that income takes on a value greater than specified thresholds) of the income distribution against the logarithm of the associated </w:t>
            </w:r>
            <w:r w:rsidRPr="00B83586">
              <w:rPr>
                <w:szCs w:val="20"/>
              </w:rPr>
              <w:lastRenderedPageBreak/>
              <w:t>thresholds’ values. If the income distribution follows a Pareto distribution, then the resulting plot is a straight line with its slope equal to the law’s parameter (see Mandelbrot, 1960). The Figure below suggests that this requirement can be met in practice, with illustrative examples from Australia, Canada and the United States in 2010</w:t>
            </w:r>
            <w:r>
              <w:rPr>
                <w:szCs w:val="20"/>
              </w:rPr>
              <w:t>.</w:t>
            </w:r>
            <w:r w:rsidR="00770EE1">
              <w:rPr>
                <w:szCs w:val="20"/>
                <w:vertAlign w:val="superscript"/>
              </w:rPr>
              <w:t>*</w:t>
            </w:r>
          </w:p>
          <w:p w14:paraId="0C40DEDA" w14:textId="77777777" w:rsidR="00167AE1" w:rsidRPr="00B83586" w:rsidRDefault="00167AE1" w:rsidP="00167AE1">
            <w:pPr>
              <w:pStyle w:val="FigureTitle"/>
              <w:spacing w:before="120" w:after="120"/>
              <w:rPr>
                <w:szCs w:val="20"/>
              </w:rPr>
            </w:pPr>
            <w:r w:rsidRPr="00B83586">
              <w:rPr>
                <w:szCs w:val="20"/>
              </w:rPr>
              <w:t>Pareto laws double-log curves for selected OECD countries (around 2010</w:t>
            </w:r>
          </w:p>
          <w:p w14:paraId="29DFDD7D" w14:textId="6B52CD81" w:rsidR="00167AE1" w:rsidRPr="00167AE1" w:rsidRDefault="00167AE1" w:rsidP="00167AE1">
            <w:pPr>
              <w:pStyle w:val="BodyText"/>
              <w:jc w:val="center"/>
            </w:pPr>
            <w:r w:rsidRPr="00B83586">
              <w:rPr>
                <w:noProof/>
                <w:sz w:val="18"/>
                <w:szCs w:val="20"/>
                <w:lang w:eastAsia="en-GB"/>
              </w:rPr>
              <w:drawing>
                <wp:inline distT="0" distB="0" distL="0" distR="0" wp14:anchorId="62A2BDBB" wp14:editId="6332C19A">
                  <wp:extent cx="4381200" cy="55188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1200" cy="5518800"/>
                          </a:xfrm>
                          <a:prstGeom prst="rect">
                            <a:avLst/>
                          </a:prstGeom>
                        </pic:spPr>
                      </pic:pic>
                    </a:graphicData>
                  </a:graphic>
                </wp:inline>
              </w:drawing>
            </w:r>
          </w:p>
          <w:p w14:paraId="681AFF0F" w14:textId="77777777" w:rsidR="00167AE1" w:rsidRPr="00B83586" w:rsidRDefault="00167AE1" w:rsidP="00167AE1">
            <w:pPr>
              <w:pStyle w:val="FigureNote"/>
              <w:rPr>
                <w:sz w:val="18"/>
                <w:szCs w:val="20"/>
              </w:rPr>
            </w:pPr>
            <w:r w:rsidRPr="00B83586">
              <w:rPr>
                <w:i/>
                <w:sz w:val="18"/>
                <w:szCs w:val="20"/>
              </w:rPr>
              <w:t>Note</w:t>
            </w:r>
            <w:r w:rsidRPr="00B83586">
              <w:rPr>
                <w:sz w:val="18"/>
                <w:szCs w:val="20"/>
              </w:rPr>
              <w:t>: The double log curve is the log of the survival function of an income distribution expressed in function of log(income). In the case of a Pareto distribution, the curve is linear. For the three countries considered, the curves are not linear globally, nor in their right-ends. However, as indicated by the dashed lines, the right-ends can be reasonably approximated by a straight line.</w:t>
            </w:r>
          </w:p>
          <w:p w14:paraId="6EB7E3D9" w14:textId="77777777" w:rsidR="00167AE1" w:rsidRDefault="00167AE1" w:rsidP="00167AE1">
            <w:pPr>
              <w:pStyle w:val="BoxBodyText"/>
              <w:spacing w:before="120" w:after="120"/>
              <w:rPr>
                <w:szCs w:val="20"/>
              </w:rPr>
            </w:pPr>
            <w:r w:rsidRPr="00B83586">
              <w:rPr>
                <w:szCs w:val="20"/>
              </w:rPr>
              <w:t>The visual analysis of survey-based income distribution data suggests that the plot above the median can be fairly approximated by a straight line (the dashed lines being some representation of such approximations in the Figure). This is a fundamental rationale behind the application of the West estimator: some parts of observed income distributions can be used to infer Pareto parameters without any prior observation of top incomes. Pareto parameters can then be used to derive top incomes series, similarly to the approach initiated by Piketty and Saez (2003).</w:t>
            </w:r>
          </w:p>
          <w:p w14:paraId="1FACF046" w14:textId="77777777" w:rsidR="00167AE1" w:rsidRDefault="00167AE1" w:rsidP="00167AE1">
            <w:pPr>
              <w:pStyle w:val="BoxBodyText"/>
              <w:spacing w:before="120" w:after="120"/>
              <w:ind w:firstLine="0"/>
              <w:rPr>
                <w:szCs w:val="20"/>
                <w:lang w:val="en-GB"/>
              </w:rPr>
            </w:pPr>
            <w:r>
              <w:rPr>
                <w:szCs w:val="20"/>
                <w:lang w:val="en-GB"/>
              </w:rPr>
              <w:t>---------------</w:t>
            </w:r>
          </w:p>
          <w:p w14:paraId="116EAC4D" w14:textId="1F991CED" w:rsidR="00167AE1" w:rsidRDefault="00770EE1" w:rsidP="000B1AE9">
            <w:pPr>
              <w:pStyle w:val="BoxBodyText"/>
              <w:ind w:firstLine="0"/>
            </w:pPr>
            <w:r>
              <w:rPr>
                <w:sz w:val="16"/>
              </w:rPr>
              <w:t>*</w:t>
            </w:r>
            <w:r w:rsidR="00167AE1" w:rsidRPr="000D2DB1">
              <w:rPr>
                <w:sz w:val="16"/>
              </w:rPr>
              <w:t>Figures for the 34 OECD countries over the period 1985-2011 are available upon request to the authors.</w:t>
            </w:r>
          </w:p>
        </w:tc>
      </w:tr>
    </w:tbl>
    <w:p w14:paraId="2E75FDFA" w14:textId="77777777" w:rsidR="00043DEE" w:rsidRPr="007D4A8C" w:rsidRDefault="00043DEE" w:rsidP="00375AA4">
      <w:pPr>
        <w:pStyle w:val="Heading3"/>
        <w:spacing w:after="120"/>
      </w:pPr>
      <w:bookmarkStart w:id="32" w:name="_Toc416797625"/>
      <w:bookmarkStart w:id="33" w:name="_Toc416860229"/>
      <w:r w:rsidRPr="007D4A8C">
        <w:lastRenderedPageBreak/>
        <w:t>Data sources</w:t>
      </w:r>
      <w:bookmarkEnd w:id="32"/>
      <w:bookmarkEnd w:id="33"/>
    </w:p>
    <w:p w14:paraId="7F9D39BB" w14:textId="3EFD2CE7" w:rsidR="00043DEE" w:rsidRDefault="00043DEE" w:rsidP="00375AA4">
      <w:pPr>
        <w:pStyle w:val="Num-DocParagraph"/>
        <w:spacing w:after="120"/>
      </w:pPr>
      <w:r>
        <w:fldChar w:fldCharType="begin"/>
      </w:r>
      <w:r>
        <w:instrText xml:space="preserve"> MACROBUTTON NUMBERING </w:instrText>
      </w:r>
      <w:r>
        <w:fldChar w:fldCharType="begin"/>
      </w:r>
      <w:r>
        <w:instrText xml:space="preserve"> SEQ  dpara</w:instrText>
      </w:r>
      <w:r>
        <w:fldChar w:fldCharType="separate"/>
      </w:r>
      <w:r w:rsidR="002114FC">
        <w:rPr>
          <w:noProof/>
        </w:rPr>
        <w:instrText>25</w:instrText>
      </w:r>
      <w:r>
        <w:fldChar w:fldCharType="end"/>
      </w:r>
      <w:r>
        <w:instrText>.</w:instrText>
      </w:r>
      <w:r>
        <w:tab/>
      </w:r>
      <w:r>
        <w:fldChar w:fldCharType="end"/>
      </w:r>
      <w:r>
        <w:t>As highlighted above, the IDD gathers income distributions statistics over the 34 OECD countries since the mid-70s. It is based on the central concept of “equivali</w:t>
      </w:r>
      <w:r w:rsidR="00B62D59">
        <w:t>s</w:t>
      </w:r>
      <w:r>
        <w:t xml:space="preserve">ed household disposable income”, i.e. the total market income received by households (gross earnings, self-employment and capital income) plus transfers less the current taxes they pay, adjusted for household size (with an equivalence scale where all incomes are divided by the square root of the household size). The method of data collection </w:t>
      </w:r>
      <w:r w:rsidR="00167AE1">
        <w:t>used for the IDD aims to maximis</w:t>
      </w:r>
      <w:r>
        <w:t xml:space="preserve">e international comparability as well as inter-temporal consistency of data. This is achieved by a common set of protocols and statistical conventions, e.g. on income concepts and components, used to derive estimates. As a result, the IDD is less subject to the usual limitations of secondary datasets. It </w:t>
      </w:r>
      <w:r w:rsidRPr="00DF1649">
        <w:t xml:space="preserve">fails </w:t>
      </w:r>
      <w:r>
        <w:t xml:space="preserve">however </w:t>
      </w:r>
      <w:r w:rsidRPr="00DF1649">
        <w:t xml:space="preserve">to </w:t>
      </w:r>
      <w:r>
        <w:t xml:space="preserve">measure properly top incomes and such issue underlies the adjustment procedure presented in this paper. </w:t>
      </w:r>
    </w:p>
    <w:p w14:paraId="4DBCB9F0" w14:textId="77777777" w:rsidR="00043DEE" w:rsidRPr="00F544B0" w:rsidRDefault="00043DEE" w:rsidP="00375AA4">
      <w:pPr>
        <w:pStyle w:val="Num-DocParagraph"/>
        <w:spacing w:after="120"/>
      </w:pPr>
      <w:r>
        <w:fldChar w:fldCharType="begin"/>
      </w:r>
      <w:r>
        <w:instrText xml:space="preserve"> MACROBUTTON NUMBERING </w:instrText>
      </w:r>
      <w:r>
        <w:fldChar w:fldCharType="begin"/>
      </w:r>
      <w:r>
        <w:instrText xml:space="preserve"> SEQ  dpara</w:instrText>
      </w:r>
      <w:r>
        <w:fldChar w:fldCharType="separate"/>
      </w:r>
      <w:r w:rsidR="002114FC">
        <w:rPr>
          <w:noProof/>
        </w:rPr>
        <w:instrText>26</w:instrText>
      </w:r>
      <w:r>
        <w:fldChar w:fldCharType="end"/>
      </w:r>
      <w:r>
        <w:instrText>.</w:instrText>
      </w:r>
      <w:r>
        <w:tab/>
      </w:r>
      <w:r>
        <w:fldChar w:fldCharType="end"/>
      </w:r>
      <w:r>
        <w:t xml:space="preserve">In this section, the income concept used to produce top income share estimates from the IDD </w:t>
      </w:r>
      <w:r w:rsidRPr="00F544B0">
        <w:t>is</w:t>
      </w:r>
      <w:r>
        <w:t xml:space="preserve"> pre-taxes and post-transfers.</w:t>
      </w:r>
      <w:r w:rsidDel="00E14AEF">
        <w:t xml:space="preserve"> </w:t>
      </w:r>
      <w:r>
        <w:t xml:space="preserve"> This concept is what comes</w:t>
      </w:r>
      <w:r w:rsidRPr="00BE4BD8">
        <w:t xml:space="preserve"> closest </w:t>
      </w:r>
      <w:r>
        <w:t>to</w:t>
      </w:r>
      <w:r w:rsidRPr="00BE4BD8">
        <w:t xml:space="preserve"> the income definition used in the WTID.</w:t>
      </w:r>
      <w:r>
        <w:t xml:space="preserve"> T</w:t>
      </w:r>
      <w:r w:rsidRPr="00BE4BD8">
        <w:t xml:space="preserve">his is </w:t>
      </w:r>
      <w:r>
        <w:t xml:space="preserve">however </w:t>
      </w:r>
      <w:r w:rsidRPr="00BE4BD8">
        <w:t xml:space="preserve">not entirely satisfactory in the sense that numerous </w:t>
      </w:r>
      <w:r>
        <w:t>methodological differences</w:t>
      </w:r>
      <w:r w:rsidRPr="004351A9">
        <w:t xml:space="preserve"> </w:t>
      </w:r>
      <w:r>
        <w:t xml:space="preserve">remain between </w:t>
      </w:r>
      <w:r w:rsidRPr="00BE4BD8">
        <w:t>household survey</w:t>
      </w:r>
      <w:r>
        <w:t>-based</w:t>
      </w:r>
      <w:r w:rsidRPr="00BE4BD8">
        <w:t xml:space="preserve"> and tax </w:t>
      </w:r>
      <w:r>
        <w:t>return-based</w:t>
      </w:r>
      <w:r w:rsidRPr="00BE4BD8">
        <w:t xml:space="preserve"> definition</w:t>
      </w:r>
      <w:r>
        <w:t>s</w:t>
      </w:r>
      <w:r w:rsidRPr="00BE4BD8">
        <w:t xml:space="preserve"> of income</w:t>
      </w:r>
      <w:r>
        <w:t xml:space="preserve"> – as well as differences between underlying units of observation. However, </w:t>
      </w:r>
      <w:r w:rsidRPr="00BE4BD8">
        <w:t xml:space="preserve">the room </w:t>
      </w:r>
      <w:r>
        <w:t>for methodological alignment</w:t>
      </w:r>
      <w:r w:rsidRPr="00BE4BD8">
        <w:t xml:space="preserve"> is </w:t>
      </w:r>
      <w:r>
        <w:t xml:space="preserve">very </w:t>
      </w:r>
      <w:r w:rsidRPr="00BE4BD8">
        <w:t>narrow</w:t>
      </w:r>
      <w:r>
        <w:t xml:space="preserve"> in practice and differences in concepts are unavoidable</w:t>
      </w:r>
      <w:r w:rsidRPr="00BE4BD8">
        <w:t xml:space="preserve"> (see Leigh, 2007; Atkinson </w:t>
      </w:r>
      <w:r w:rsidRPr="00BE4BD8">
        <w:rPr>
          <w:i/>
        </w:rPr>
        <w:t>et al.</w:t>
      </w:r>
      <w:r w:rsidRPr="00BE4BD8">
        <w:t xml:space="preserve">, 2011; Burkhauser </w:t>
      </w:r>
      <w:r w:rsidRPr="00BE4BD8">
        <w:rPr>
          <w:i/>
        </w:rPr>
        <w:t>et al.</w:t>
      </w:r>
      <w:r w:rsidRPr="00BE4BD8">
        <w:t xml:space="preserve">, 2012; </w:t>
      </w:r>
      <w:r>
        <w:t xml:space="preserve">Armour </w:t>
      </w:r>
      <w:r w:rsidRPr="0018572E">
        <w:rPr>
          <w:i/>
        </w:rPr>
        <w:t>et al.</w:t>
      </w:r>
      <w:r>
        <w:t>, 2013; OECD, 2014a).</w:t>
      </w:r>
    </w:p>
    <w:p w14:paraId="6BB01BBD" w14:textId="77777777" w:rsidR="00392266" w:rsidRDefault="00EB3A2C" w:rsidP="00375AA4">
      <w:pPr>
        <w:pStyle w:val="Heading3"/>
        <w:spacing w:after="120"/>
      </w:pPr>
      <w:bookmarkStart w:id="34" w:name="_Toc416797626"/>
      <w:bookmarkStart w:id="35" w:name="_Toc416860230"/>
      <w:r>
        <w:t xml:space="preserve">Estimation </w:t>
      </w:r>
      <w:r w:rsidR="00CB7DA5">
        <w:t>and comparison with the WTID</w:t>
      </w:r>
      <w:bookmarkEnd w:id="34"/>
      <w:bookmarkEnd w:id="35"/>
    </w:p>
    <w:p w14:paraId="5E250FCE" w14:textId="770CC965" w:rsidR="00BE4BD8" w:rsidRDefault="00BE4BD8" w:rsidP="00375AA4">
      <w:pPr>
        <w:pStyle w:val="Num-DocParagraph"/>
        <w:spacing w:after="120"/>
      </w:pPr>
      <w:r>
        <w:fldChar w:fldCharType="begin"/>
      </w:r>
      <w:r>
        <w:instrText xml:space="preserve"> MACROBUTTON NUMBERING </w:instrText>
      </w:r>
      <w:r>
        <w:fldChar w:fldCharType="begin"/>
      </w:r>
      <w:r>
        <w:instrText xml:space="preserve"> SEQ  dpara</w:instrText>
      </w:r>
      <w:r>
        <w:fldChar w:fldCharType="separate"/>
      </w:r>
      <w:r w:rsidR="002114FC">
        <w:rPr>
          <w:noProof/>
        </w:rPr>
        <w:instrText>27</w:instrText>
      </w:r>
      <w:r>
        <w:fldChar w:fldCharType="end"/>
      </w:r>
      <w:r>
        <w:instrText>.</w:instrText>
      </w:r>
      <w:r>
        <w:tab/>
      </w:r>
      <w:r>
        <w:fldChar w:fldCharType="end"/>
      </w:r>
      <w:r w:rsidR="009C6BDF">
        <w:t>The estimation builds on the</w:t>
      </w:r>
      <w:r w:rsidR="00CB7DA5">
        <w:t xml:space="preserve"> </w:t>
      </w:r>
      <w:r w:rsidR="009C6BDF">
        <w:t xml:space="preserve">assumption </w:t>
      </w:r>
      <w:r w:rsidR="00CB7DA5">
        <w:t xml:space="preserve">that </w:t>
      </w:r>
      <w:r w:rsidR="00C87905">
        <w:t xml:space="preserve">income distributions reported in the IDD fail to capture the </w:t>
      </w:r>
      <w:r w:rsidR="00CC2306">
        <w:t xml:space="preserve">entirety of the </w:t>
      </w:r>
      <w:r w:rsidR="00C87905">
        <w:t xml:space="preserve">top </w:t>
      </w:r>
      <w:r w:rsidR="001B775C">
        <w:t>decile</w:t>
      </w:r>
      <w:r w:rsidR="0055214F">
        <w:t>, i.e.</w:t>
      </w:r>
      <w:r w:rsidR="001B775C">
        <w:t xml:space="preserve"> households with incomes greater than the last decile threshold are censured to that threshold</w:t>
      </w:r>
      <w:r w:rsidR="00770EE1">
        <w:t>.</w:t>
      </w:r>
      <w:r w:rsidR="0001292C">
        <w:rPr>
          <w:rStyle w:val="FootnoteReference"/>
        </w:rPr>
        <w:footnoteReference w:id="8"/>
      </w:r>
      <w:r w:rsidR="00C87905">
        <w:t xml:space="preserve"> </w:t>
      </w:r>
      <w:r w:rsidR="00BE5800">
        <w:t>The inverted Pareto coefficients are derived using the West estimator and the resulting Pareto laws are applied subsequently on the last decile of each distribution. Incomes of the remaining 90% of the population are assumed to be captured without errors by household surv</w:t>
      </w:r>
      <w:r w:rsidR="006F264A">
        <w:t>eys</w:t>
      </w:r>
      <w:r w:rsidR="009C6BDF">
        <w:t>: o</w:t>
      </w:r>
      <w:r w:rsidR="00BE5800">
        <w:t>nly the top 10%</w:t>
      </w:r>
      <w:r w:rsidR="00BE5800" w:rsidRPr="00BE5800">
        <w:t xml:space="preserve"> </w:t>
      </w:r>
      <w:r w:rsidR="00BE5800">
        <w:t xml:space="preserve">and </w:t>
      </w:r>
      <w:r w:rsidR="006F264A">
        <w:t>above</w:t>
      </w:r>
      <w:r w:rsidR="00BE5800">
        <w:t xml:space="preserve"> are subject to </w:t>
      </w:r>
      <w:r w:rsidR="00F520A4">
        <w:t>estimation</w:t>
      </w:r>
      <w:r w:rsidR="00BE5800">
        <w:t xml:space="preserve"> in this paper. </w:t>
      </w:r>
    </w:p>
    <w:p w14:paraId="4EDC2C20" w14:textId="4C338117" w:rsidR="004514C9" w:rsidRDefault="00375AA4" w:rsidP="00375AA4">
      <w:pPr>
        <w:pStyle w:val="Num-DocParagraph"/>
        <w:spacing w:after="120"/>
      </w:pPr>
      <w:r>
        <w:fldChar w:fldCharType="begin"/>
      </w:r>
      <w:r>
        <w:instrText xml:space="preserve"> MACROBUTTON NUMBERING </w:instrText>
      </w:r>
      <w:r>
        <w:fldChar w:fldCharType="begin"/>
      </w:r>
      <w:r>
        <w:instrText xml:space="preserve"> SEQ  dpara</w:instrText>
      </w:r>
      <w:r>
        <w:fldChar w:fldCharType="separate"/>
      </w:r>
      <w:r w:rsidR="002114FC">
        <w:rPr>
          <w:noProof/>
        </w:rPr>
        <w:instrText>28</w:instrText>
      </w:r>
      <w:r>
        <w:fldChar w:fldCharType="end"/>
      </w:r>
      <w:r>
        <w:instrText>.</w:instrText>
      </w:r>
      <w:r>
        <w:tab/>
      </w:r>
      <w:r>
        <w:fldChar w:fldCharType="end"/>
      </w:r>
      <w:r w:rsidR="00B470D6" w:rsidRPr="00B470D6">
        <w:t xml:space="preserve"> </w:t>
      </w:r>
      <w:r w:rsidR="00B470D6">
        <w:t xml:space="preserve">Pareto coefficients derived by applying </w:t>
      </w:r>
      <w:r w:rsidR="0055214F">
        <w:t>the West estimator</w:t>
      </w:r>
      <w:r w:rsidR="00F544B0">
        <w:t xml:space="preserve"> </w:t>
      </w:r>
      <w:r w:rsidR="00B470D6">
        <w:t xml:space="preserve">to </w:t>
      </w:r>
      <w:r w:rsidR="00F544B0">
        <w:t>household survey</w:t>
      </w:r>
      <w:r w:rsidR="00D56EF1">
        <w:t xml:space="preserve"> </w:t>
      </w:r>
      <w:r w:rsidR="004F023C">
        <w:t xml:space="preserve">data </w:t>
      </w:r>
      <w:r w:rsidR="00B470D6">
        <w:t>are</w:t>
      </w:r>
      <w:r w:rsidR="00E97D12">
        <w:t xml:space="preserve"> </w:t>
      </w:r>
      <w:r w:rsidR="00F544B0">
        <w:t>striking</w:t>
      </w:r>
      <w:r w:rsidR="00B470D6">
        <w:t>ly</w:t>
      </w:r>
      <w:r w:rsidR="00F544B0">
        <w:t xml:space="preserve"> </w:t>
      </w:r>
      <w:r w:rsidR="00B470D6">
        <w:t>in line with those</w:t>
      </w:r>
      <w:r w:rsidR="00E97D12">
        <w:t xml:space="preserve"> reported in the WTID (Figure</w:t>
      </w:r>
      <w:r w:rsidR="00385F3A">
        <w:t xml:space="preserve"> 1</w:t>
      </w:r>
      <w:r w:rsidR="00E97D12">
        <w:t xml:space="preserve">). </w:t>
      </w:r>
      <w:r w:rsidR="00C26CA8">
        <w:t>T</w:t>
      </w:r>
      <w:r w:rsidR="00E97D12">
        <w:t xml:space="preserve">his is particularly </w:t>
      </w:r>
      <w:r w:rsidR="0055214F">
        <w:t>the case for</w:t>
      </w:r>
      <w:r w:rsidR="000B1AE9">
        <w:t xml:space="preserve"> the United </w:t>
      </w:r>
      <w:r w:rsidR="00E97D12">
        <w:t xml:space="preserve">States, the most </w:t>
      </w:r>
      <w:r w:rsidR="009C6BDF">
        <w:t xml:space="preserve">widely and comprehensively studied country in </w:t>
      </w:r>
      <w:r w:rsidR="002377B2">
        <w:t xml:space="preserve">the </w:t>
      </w:r>
      <w:r w:rsidR="009C6BDF">
        <w:t>top incomes literature</w:t>
      </w:r>
      <w:r w:rsidR="009733CE">
        <w:t>.</w:t>
      </w:r>
      <w:r w:rsidR="00085390">
        <w:t xml:space="preserve"> </w:t>
      </w:r>
      <w:r w:rsidR="009733CE">
        <w:t xml:space="preserve">Some discrepancies nonetheless occur, but </w:t>
      </w:r>
      <w:r w:rsidR="009C6BDF">
        <w:t xml:space="preserve">by no means does this imply </w:t>
      </w:r>
      <w:r w:rsidR="009733CE">
        <w:t>any systematic and significant bias</w:t>
      </w:r>
      <w:r w:rsidR="009C6BDF">
        <w:t xml:space="preserve"> – be it across countries and over time.</w:t>
      </w:r>
    </w:p>
    <w:p w14:paraId="6E935E98" w14:textId="77777777" w:rsidR="00375AA4" w:rsidRDefault="00375AA4" w:rsidP="00375AA4">
      <w:pPr>
        <w:pStyle w:val="FigureTitle"/>
        <w:spacing w:after="0"/>
      </w:pPr>
      <w:r>
        <w:lastRenderedPageBreak/>
        <w:fldChar w:fldCharType="begin"/>
      </w:r>
      <w:r>
        <w:instrText xml:space="preserve"> MACROBUTTON NUMBERING Figure </w:instrText>
      </w:r>
      <w:r>
        <w:fldChar w:fldCharType="begin"/>
      </w:r>
      <w:r>
        <w:instrText xml:space="preserve"> SEQ  figure</w:instrText>
      </w:r>
      <w:r>
        <w:fldChar w:fldCharType="separate"/>
      </w:r>
      <w:r w:rsidR="002114FC">
        <w:rPr>
          <w:noProof/>
        </w:rPr>
        <w:instrText>1</w:instrText>
      </w:r>
      <w:r>
        <w:fldChar w:fldCharType="end"/>
      </w:r>
      <w:r>
        <w:instrText>.</w:instrText>
      </w:r>
      <w:r>
        <w:tab/>
      </w:r>
      <w:r>
        <w:fldChar w:fldCharType="end"/>
      </w:r>
      <w:r>
        <w:t>Reversed Pareto Coefficient : comparison between IDD and WTID data for selected OECD countries</w:t>
      </w:r>
      <w:r>
        <w:fldChar w:fldCharType="begin"/>
      </w:r>
      <w:r>
        <w:instrText xml:space="preserve"> TC \f f \l 2 "</w:instrText>
      </w:r>
      <w:bookmarkStart w:id="36" w:name="_Toc416797093"/>
      <w:bookmarkStart w:id="37" w:name="_Toc416860583"/>
      <w:r>
        <w:instrText xml:space="preserve">Figure </w:instrText>
      </w:r>
      <w:r>
        <w:fldChar w:fldCharType="begin"/>
      </w:r>
      <w:r>
        <w:instrText xml:space="preserve"> SEQ  \c figure</w:instrText>
      </w:r>
      <w:r>
        <w:fldChar w:fldCharType="separate"/>
      </w:r>
      <w:r w:rsidR="002114FC">
        <w:rPr>
          <w:noProof/>
        </w:rPr>
        <w:instrText>1</w:instrText>
      </w:r>
      <w:r>
        <w:fldChar w:fldCharType="end"/>
      </w:r>
      <w:r>
        <w:instrText>.</w:instrText>
      </w:r>
      <w:r>
        <w:tab/>
      </w:r>
      <w:r>
        <w:tab/>
        <w:instrText>Reversed Pareto Coefficient : comparison between IDD and WTID data for selected OECD countries</w:instrText>
      </w:r>
      <w:bookmarkEnd w:id="36"/>
      <w:bookmarkEnd w:id="37"/>
      <w:r>
        <w:instrText xml:space="preserve">"  </w:instrText>
      </w:r>
      <w:r>
        <w:fldChar w:fldCharType="end"/>
      </w:r>
    </w:p>
    <w:p w14:paraId="26A0D153" w14:textId="77777777" w:rsidR="00375AA4" w:rsidRDefault="00375AA4" w:rsidP="008B0CB0">
      <w:pPr>
        <w:pStyle w:val="Graphic"/>
        <w:spacing w:before="240"/>
      </w:pPr>
      <w:r>
        <w:rPr>
          <w:noProof/>
          <w:lang w:eastAsia="en-GB"/>
        </w:rPr>
        <w:drawing>
          <wp:inline distT="0" distB="0" distL="0" distR="0" wp14:anchorId="028B2A68" wp14:editId="425AB0A4">
            <wp:extent cx="5396400" cy="69192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96400" cy="6919200"/>
                    </a:xfrm>
                    <a:prstGeom prst="rect">
                      <a:avLst/>
                    </a:prstGeom>
                  </pic:spPr>
                </pic:pic>
              </a:graphicData>
            </a:graphic>
          </wp:inline>
        </w:drawing>
      </w:r>
    </w:p>
    <w:p w14:paraId="7ED78066" w14:textId="2C24BCAA" w:rsidR="00DC25C2" w:rsidRDefault="00DC25C2" w:rsidP="00375AA4">
      <w:pPr>
        <w:pStyle w:val="Num-DocParagraph"/>
        <w:spacing w:after="120"/>
      </w:pPr>
      <w:r>
        <w:fldChar w:fldCharType="begin"/>
      </w:r>
      <w:r>
        <w:instrText xml:space="preserve"> MACROBUTTON NUMBERING </w:instrText>
      </w:r>
      <w:r>
        <w:fldChar w:fldCharType="begin"/>
      </w:r>
      <w:r>
        <w:instrText xml:space="preserve"> SEQ  dpara</w:instrText>
      </w:r>
      <w:r>
        <w:fldChar w:fldCharType="separate"/>
      </w:r>
      <w:r w:rsidR="002114FC">
        <w:rPr>
          <w:noProof/>
        </w:rPr>
        <w:instrText>29</w:instrText>
      </w:r>
      <w:r>
        <w:fldChar w:fldCharType="end"/>
      </w:r>
      <w:r>
        <w:instrText>.</w:instrText>
      </w:r>
      <w:r>
        <w:tab/>
      </w:r>
      <w:r>
        <w:fldChar w:fldCharType="end"/>
      </w:r>
      <w:r>
        <w:t xml:space="preserve"> Household survey-based top income shares can be computed from estimated Pareto coefficients</w:t>
      </w:r>
      <w:r w:rsidR="00770EE1">
        <w:t>.</w:t>
      </w:r>
      <w:r>
        <w:rPr>
          <w:rStyle w:val="FootnoteReference"/>
        </w:rPr>
        <w:footnoteReference w:id="9"/>
      </w:r>
      <w:r>
        <w:t xml:space="preserve"> Figure 2 presents the top 1% series estimated from the OECD data over the set of countries common with </w:t>
      </w:r>
      <w:r>
        <w:lastRenderedPageBreak/>
        <w:t>the WTID. In most cases, survey-based series are consistent with tax-based series, particularly so for Australia, France, Italy, Japan, the Netherlands, Portugal, the United States, Spain and Sweden. Norway is a notable exception, because WTID data for this country display an erratic pattern after the early-1990s; before however, estimates are again very close. Survey-based series are also generally smoother than the WTID series. This is expected in the sense that survey methodologies in OECD countries are to a large extent stable over time while, as highlighted above, tax data are subject to factors such as tax shifting, tax avoidance and changes in tax legislation that are likely to make the top income series erratic.</w:t>
      </w:r>
    </w:p>
    <w:p w14:paraId="01423A86" w14:textId="4BE609B5" w:rsidR="00DC25C2" w:rsidRDefault="00DC25C2" w:rsidP="00375AA4">
      <w:pPr>
        <w:pStyle w:val="FigureTitle"/>
        <w:spacing w:after="120"/>
      </w:pPr>
      <w:r>
        <w:fldChar w:fldCharType="begin"/>
      </w:r>
      <w:r>
        <w:instrText xml:space="preserve"> MACROBUTTON NUMBERING Figure </w:instrText>
      </w:r>
      <w:r>
        <w:fldChar w:fldCharType="begin"/>
      </w:r>
      <w:r>
        <w:instrText xml:space="preserve"> SEQ  figure</w:instrText>
      </w:r>
      <w:r>
        <w:fldChar w:fldCharType="separate"/>
      </w:r>
      <w:r w:rsidR="002114FC">
        <w:rPr>
          <w:noProof/>
        </w:rPr>
        <w:instrText>2</w:instrText>
      </w:r>
      <w:r>
        <w:fldChar w:fldCharType="end"/>
      </w:r>
      <w:r>
        <w:instrText>.</w:instrText>
      </w:r>
      <w:r>
        <w:tab/>
      </w:r>
      <w:r>
        <w:fldChar w:fldCharType="end"/>
      </w:r>
      <w:r>
        <w:t>Top 1% income shares : comparison between IDD and WTID data for selected OECD countries</w:t>
      </w:r>
      <w:r>
        <w:fldChar w:fldCharType="begin"/>
      </w:r>
      <w:r>
        <w:instrText xml:space="preserve"> TC \f f \l 2 "</w:instrText>
      </w:r>
      <w:bookmarkStart w:id="38" w:name="_Toc416797094"/>
      <w:bookmarkStart w:id="39" w:name="_Toc416860584"/>
      <w:r>
        <w:instrText xml:space="preserve">Figure </w:instrText>
      </w:r>
      <w:r>
        <w:fldChar w:fldCharType="begin"/>
      </w:r>
      <w:r>
        <w:instrText xml:space="preserve"> SEQ  \c figure</w:instrText>
      </w:r>
      <w:r>
        <w:fldChar w:fldCharType="separate"/>
      </w:r>
      <w:r w:rsidR="002114FC">
        <w:rPr>
          <w:noProof/>
        </w:rPr>
        <w:instrText>2</w:instrText>
      </w:r>
      <w:r>
        <w:fldChar w:fldCharType="end"/>
      </w:r>
      <w:r>
        <w:instrText>.</w:instrText>
      </w:r>
      <w:r>
        <w:tab/>
        <w:instrText>Top 1% income shares : comparison between IDD and WTID data for selected OECD countries</w:instrText>
      </w:r>
      <w:bookmarkEnd w:id="38"/>
      <w:bookmarkEnd w:id="39"/>
      <w:r>
        <w:instrText xml:space="preserve">"  </w:instrText>
      </w:r>
      <w:r>
        <w:fldChar w:fldCharType="end"/>
      </w:r>
    </w:p>
    <w:p w14:paraId="1BCE3C69" w14:textId="59FA24C7" w:rsidR="00DC25C2" w:rsidRDefault="00DC25C2" w:rsidP="00375AA4">
      <w:pPr>
        <w:pStyle w:val="Graphic"/>
        <w:spacing w:after="120"/>
      </w:pPr>
      <w:r>
        <w:rPr>
          <w:noProof/>
          <w:lang w:eastAsia="en-GB"/>
        </w:rPr>
        <w:drawing>
          <wp:inline distT="0" distB="0" distL="0" distR="0" wp14:anchorId="63B3E20D" wp14:editId="096047F7">
            <wp:extent cx="4343400" cy="654231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3400" cy="6542315"/>
                    </a:xfrm>
                    <a:prstGeom prst="rect">
                      <a:avLst/>
                    </a:prstGeom>
                  </pic:spPr>
                </pic:pic>
              </a:graphicData>
            </a:graphic>
          </wp:inline>
        </w:drawing>
      </w:r>
    </w:p>
    <w:p w14:paraId="4E08C923" w14:textId="77777777" w:rsidR="00DC25C2" w:rsidRPr="00DC25C2" w:rsidRDefault="00DC25C2" w:rsidP="00DC25C2">
      <w:pPr>
        <w:pStyle w:val="BodyText"/>
      </w:pPr>
    </w:p>
    <w:p w14:paraId="438E7E05" w14:textId="2F3179DE" w:rsidR="00392266" w:rsidRPr="006F264A" w:rsidRDefault="006F264A" w:rsidP="006C334A">
      <w:pPr>
        <w:pStyle w:val="Num-DocParagraph"/>
      </w:pPr>
      <w:r>
        <w:lastRenderedPageBreak/>
        <w:fldChar w:fldCharType="begin"/>
      </w:r>
      <w:r>
        <w:instrText xml:space="preserve"> MACROBUTTON NUMBERING </w:instrText>
      </w:r>
      <w:r>
        <w:fldChar w:fldCharType="begin"/>
      </w:r>
      <w:r>
        <w:instrText xml:space="preserve"> SEQ  dpara</w:instrText>
      </w:r>
      <w:r>
        <w:fldChar w:fldCharType="separate"/>
      </w:r>
      <w:r w:rsidR="002114FC">
        <w:rPr>
          <w:noProof/>
        </w:rPr>
        <w:instrText>30</w:instrText>
      </w:r>
      <w:r>
        <w:fldChar w:fldCharType="end"/>
      </w:r>
      <w:r>
        <w:instrText>.</w:instrText>
      </w:r>
      <w:r>
        <w:tab/>
      </w:r>
      <w:r>
        <w:fldChar w:fldCharType="end"/>
      </w:r>
      <w:r w:rsidR="008F7299" w:rsidRPr="006F264A">
        <w:t xml:space="preserve">Table 2 </w:t>
      </w:r>
      <w:r w:rsidR="00112281">
        <w:t xml:space="preserve">delivers a synthetic comparison of </w:t>
      </w:r>
      <w:r w:rsidR="008F7299" w:rsidRPr="006F264A">
        <w:t xml:space="preserve">top income shares from </w:t>
      </w:r>
      <w:r w:rsidR="00A94590" w:rsidRPr="006F264A">
        <w:t>OECD data and the WTID</w:t>
      </w:r>
      <w:r w:rsidR="00112281">
        <w:t>, covering both the cross-section and time-series dimension</w:t>
      </w:r>
      <w:r w:rsidR="00674EDE">
        <w:t>s</w:t>
      </w:r>
      <w:r w:rsidR="00A94590" w:rsidRPr="006F264A">
        <w:t xml:space="preserve">. For countries common to both sources in 2010, the average difference </w:t>
      </w:r>
      <w:r w:rsidR="00112281">
        <w:t xml:space="preserve">in the share of income accruing to the top 1% </w:t>
      </w:r>
      <w:r w:rsidR="00A94590" w:rsidRPr="006F264A">
        <w:t>is 2 percentage points</w:t>
      </w:r>
      <w:r w:rsidR="008238CC" w:rsidRPr="006F264A">
        <w:t xml:space="preserve">; </w:t>
      </w:r>
      <w:r w:rsidR="00112281">
        <w:t>on average between the mid-1980s and 2010</w:t>
      </w:r>
      <w:r w:rsidR="00A94590" w:rsidRPr="006F264A">
        <w:t xml:space="preserve">, the </w:t>
      </w:r>
      <w:r w:rsidR="00112281">
        <w:t>two top</w:t>
      </w:r>
      <w:r w:rsidR="00674EDE">
        <w:t>-</w:t>
      </w:r>
      <w:r w:rsidR="00112281">
        <w:t>income share series exhibit the same trend direction</w:t>
      </w:r>
      <w:r w:rsidR="00A94590" w:rsidRPr="006F264A">
        <w:t xml:space="preserve"> 70% of the time</w:t>
      </w:r>
      <w:r w:rsidR="00770EE1">
        <w:t>.</w:t>
      </w:r>
      <w:r w:rsidR="00A94590" w:rsidRPr="006F264A">
        <w:rPr>
          <w:rStyle w:val="FootnoteReference"/>
        </w:rPr>
        <w:footnoteReference w:id="10"/>
      </w:r>
    </w:p>
    <w:p w14:paraId="16CF2595" w14:textId="5E5C2382" w:rsidR="00513F5A" w:rsidRPr="00513F5A" w:rsidRDefault="00513F5A" w:rsidP="00513F5A">
      <w:pPr>
        <w:pStyle w:val="TableTitle"/>
        <w:rPr>
          <w:lang w:eastAsia="en-GB"/>
        </w:rPr>
      </w:pPr>
      <w:r>
        <w:rPr>
          <w:lang w:eastAsia="en-GB"/>
        </w:rPr>
        <w:t>Table 2.</w:t>
      </w:r>
      <w:r>
        <w:rPr>
          <w:lang w:eastAsia="en-GB"/>
        </w:rPr>
        <w:tab/>
        <w:t xml:space="preserve"> Summary of the differences between the OECD data and the World Top Incomes Database (for OECD countries common to both sources in 2010)</w:t>
      </w:r>
      <w:r>
        <w:rPr>
          <w:lang w:eastAsia="en-GB"/>
        </w:rPr>
        <w:fldChar w:fldCharType="begin"/>
      </w:r>
      <w:r>
        <w:rPr>
          <w:lang w:eastAsia="en-GB"/>
        </w:rPr>
        <w:instrText xml:space="preserve"> TC \f t \l 2 "</w:instrText>
      </w:r>
      <w:bookmarkStart w:id="40" w:name="_Toc416860241"/>
      <w:r>
        <w:rPr>
          <w:lang w:eastAsia="en-GB"/>
        </w:rPr>
        <w:instrText>Table 2.</w:instrText>
      </w:r>
      <w:r>
        <w:rPr>
          <w:lang w:eastAsia="en-GB"/>
        </w:rPr>
        <w:tab/>
        <w:instrText>Summary of the differences between the OECD data and the World Top Incomes Database (for OECD countries common to both sources in 2010)</w:instrText>
      </w:r>
      <w:bookmarkEnd w:id="40"/>
      <w:r>
        <w:rPr>
          <w:lang w:eastAsia="en-GB"/>
        </w:rPr>
        <w:instrText xml:space="preserve">"  </w:instrText>
      </w:r>
      <w:r>
        <w:rPr>
          <w:lang w:eastAsia="en-GB"/>
        </w:rPr>
        <w:fldChar w:fldCharType="end"/>
      </w:r>
    </w:p>
    <w:tbl>
      <w:tblPr>
        <w:tblW w:w="4977" w:type="dxa"/>
        <w:jc w:val="center"/>
        <w:tblInd w:w="93" w:type="dxa"/>
        <w:tblLook w:val="04A0" w:firstRow="1" w:lastRow="0" w:firstColumn="1" w:lastColumn="0" w:noHBand="0" w:noVBand="1"/>
      </w:tblPr>
      <w:tblGrid>
        <w:gridCol w:w="2000"/>
        <w:gridCol w:w="2977"/>
      </w:tblGrid>
      <w:tr w:rsidR="00E81D2E" w:rsidRPr="007A495F" w14:paraId="679D5F2C" w14:textId="77777777" w:rsidTr="00E81D2E">
        <w:trPr>
          <w:trHeight w:val="315"/>
          <w:jc w:val="center"/>
        </w:trPr>
        <w:tc>
          <w:tcPr>
            <w:tcW w:w="4977" w:type="dxa"/>
            <w:gridSpan w:val="2"/>
            <w:tcBorders>
              <w:top w:val="single" w:sz="4" w:space="0" w:color="auto"/>
              <w:bottom w:val="single" w:sz="4" w:space="0" w:color="auto"/>
            </w:tcBorders>
            <w:shd w:val="clear" w:color="auto" w:fill="auto"/>
            <w:noWrap/>
            <w:vAlign w:val="center"/>
            <w:hideMark/>
          </w:tcPr>
          <w:p w14:paraId="1539DB43" w14:textId="77777777" w:rsidR="00E81D2E" w:rsidRPr="007A495F" w:rsidRDefault="00E81D2E" w:rsidP="00513F5A">
            <w:pPr>
              <w:pStyle w:val="Table"/>
              <w:spacing w:after="120"/>
              <w:rPr>
                <w:lang w:eastAsia="en-GB"/>
              </w:rPr>
            </w:pPr>
            <w:r w:rsidRPr="007A495F">
              <w:rPr>
                <w:lang w:eastAsia="en-GB"/>
              </w:rPr>
              <w:t>Differences in levels (2010)</w:t>
            </w:r>
          </w:p>
        </w:tc>
      </w:tr>
      <w:tr w:rsidR="00E81D2E" w:rsidRPr="007A495F" w14:paraId="048EC55D" w14:textId="77777777" w:rsidTr="00E81D2E">
        <w:trPr>
          <w:trHeight w:val="694"/>
          <w:jc w:val="center"/>
        </w:trPr>
        <w:tc>
          <w:tcPr>
            <w:tcW w:w="2000" w:type="dxa"/>
            <w:tcBorders>
              <w:top w:val="single" w:sz="4" w:space="0" w:color="auto"/>
              <w:bottom w:val="single" w:sz="4" w:space="0" w:color="auto"/>
            </w:tcBorders>
            <w:shd w:val="clear" w:color="auto" w:fill="auto"/>
            <w:vAlign w:val="center"/>
            <w:hideMark/>
          </w:tcPr>
          <w:p w14:paraId="1B58FFEA" w14:textId="77777777" w:rsidR="00E81D2E" w:rsidRPr="007A495F" w:rsidRDefault="00E81D2E" w:rsidP="00513F5A">
            <w:pPr>
              <w:pStyle w:val="Table"/>
              <w:spacing w:after="120"/>
              <w:rPr>
                <w:lang w:eastAsia="en-GB"/>
              </w:rPr>
            </w:pPr>
            <w:r w:rsidRPr="007A495F">
              <w:rPr>
                <w:lang w:eastAsia="en-GB"/>
              </w:rPr>
              <w:t>Countries</w:t>
            </w:r>
          </w:p>
        </w:tc>
        <w:tc>
          <w:tcPr>
            <w:tcW w:w="2977" w:type="dxa"/>
            <w:tcBorders>
              <w:top w:val="single" w:sz="4" w:space="0" w:color="auto"/>
              <w:bottom w:val="single" w:sz="4" w:space="0" w:color="auto"/>
            </w:tcBorders>
            <w:shd w:val="clear" w:color="auto" w:fill="auto"/>
            <w:vAlign w:val="center"/>
            <w:hideMark/>
          </w:tcPr>
          <w:p w14:paraId="405E812F" w14:textId="77777777" w:rsidR="00E81D2E" w:rsidRPr="007A495F" w:rsidRDefault="00E81D2E" w:rsidP="00513F5A">
            <w:pPr>
              <w:pStyle w:val="Table"/>
              <w:spacing w:after="120"/>
              <w:rPr>
                <w:lang w:eastAsia="en-GB"/>
              </w:rPr>
            </w:pPr>
            <w:r w:rsidRPr="007A495F">
              <w:rPr>
                <w:lang w:eastAsia="en-GB"/>
              </w:rPr>
              <w:t xml:space="preserve">Differences in top 1% income shares (in percentage points) </w:t>
            </w:r>
          </w:p>
        </w:tc>
      </w:tr>
      <w:tr w:rsidR="00E81D2E" w:rsidRPr="007A495F" w14:paraId="580A3E92" w14:textId="77777777" w:rsidTr="00E81D2E">
        <w:trPr>
          <w:trHeight w:val="229"/>
          <w:jc w:val="center"/>
        </w:trPr>
        <w:tc>
          <w:tcPr>
            <w:tcW w:w="2000" w:type="dxa"/>
            <w:tcBorders>
              <w:top w:val="nil"/>
              <w:bottom w:val="nil"/>
            </w:tcBorders>
            <w:shd w:val="clear" w:color="000000" w:fill="DCE6F1"/>
            <w:vAlign w:val="center"/>
            <w:hideMark/>
          </w:tcPr>
          <w:p w14:paraId="743639BA" w14:textId="77777777" w:rsidR="00E81D2E" w:rsidRPr="007A495F" w:rsidRDefault="00E81D2E" w:rsidP="00513F5A">
            <w:pPr>
              <w:pStyle w:val="Table"/>
              <w:spacing w:after="120"/>
              <w:rPr>
                <w:lang w:eastAsia="en-GB"/>
              </w:rPr>
            </w:pPr>
            <w:r w:rsidRPr="007A495F">
              <w:rPr>
                <w:lang w:eastAsia="en-GB"/>
              </w:rPr>
              <w:t>AUS</w:t>
            </w:r>
          </w:p>
        </w:tc>
        <w:tc>
          <w:tcPr>
            <w:tcW w:w="2977" w:type="dxa"/>
            <w:tcBorders>
              <w:top w:val="nil"/>
              <w:bottom w:val="nil"/>
            </w:tcBorders>
            <w:shd w:val="clear" w:color="000000" w:fill="DCE6F1"/>
            <w:vAlign w:val="center"/>
            <w:hideMark/>
          </w:tcPr>
          <w:p w14:paraId="5F519692" w14:textId="77777777" w:rsidR="00E81D2E" w:rsidRPr="007A495F" w:rsidRDefault="00E81D2E" w:rsidP="00513F5A">
            <w:pPr>
              <w:pStyle w:val="Table"/>
              <w:spacing w:after="120"/>
              <w:rPr>
                <w:lang w:eastAsia="en-GB"/>
              </w:rPr>
            </w:pPr>
            <w:r w:rsidRPr="007A495F">
              <w:rPr>
                <w:lang w:eastAsia="en-GB"/>
              </w:rPr>
              <w:t>3.09%</w:t>
            </w:r>
          </w:p>
        </w:tc>
      </w:tr>
      <w:tr w:rsidR="00E81D2E" w:rsidRPr="007A495F" w14:paraId="72EAEF67" w14:textId="77777777" w:rsidTr="00E81D2E">
        <w:trPr>
          <w:trHeight w:val="229"/>
          <w:jc w:val="center"/>
        </w:trPr>
        <w:tc>
          <w:tcPr>
            <w:tcW w:w="2000" w:type="dxa"/>
            <w:tcBorders>
              <w:top w:val="nil"/>
              <w:bottom w:val="nil"/>
            </w:tcBorders>
            <w:shd w:val="clear" w:color="auto" w:fill="auto"/>
            <w:vAlign w:val="center"/>
            <w:hideMark/>
          </w:tcPr>
          <w:p w14:paraId="1C0F5795" w14:textId="77777777" w:rsidR="00E81D2E" w:rsidRPr="007A495F" w:rsidRDefault="00E81D2E" w:rsidP="00513F5A">
            <w:pPr>
              <w:pStyle w:val="Table"/>
              <w:spacing w:after="120"/>
              <w:rPr>
                <w:lang w:eastAsia="en-GB"/>
              </w:rPr>
            </w:pPr>
            <w:r w:rsidRPr="007A495F">
              <w:rPr>
                <w:lang w:eastAsia="en-GB"/>
              </w:rPr>
              <w:t>CAN</w:t>
            </w:r>
          </w:p>
        </w:tc>
        <w:tc>
          <w:tcPr>
            <w:tcW w:w="2977" w:type="dxa"/>
            <w:tcBorders>
              <w:top w:val="nil"/>
              <w:bottom w:val="nil"/>
            </w:tcBorders>
            <w:shd w:val="clear" w:color="auto" w:fill="auto"/>
            <w:vAlign w:val="center"/>
            <w:hideMark/>
          </w:tcPr>
          <w:p w14:paraId="139FC23A" w14:textId="77777777" w:rsidR="00E81D2E" w:rsidRPr="007A495F" w:rsidRDefault="00E81D2E" w:rsidP="00513F5A">
            <w:pPr>
              <w:pStyle w:val="Table"/>
              <w:spacing w:after="120"/>
              <w:rPr>
                <w:lang w:eastAsia="en-GB"/>
              </w:rPr>
            </w:pPr>
            <w:r w:rsidRPr="007A495F">
              <w:rPr>
                <w:lang w:eastAsia="en-GB"/>
              </w:rPr>
              <w:t>0.97%</w:t>
            </w:r>
          </w:p>
        </w:tc>
      </w:tr>
      <w:tr w:rsidR="00E81D2E" w:rsidRPr="007A495F" w14:paraId="761A51D3" w14:textId="77777777" w:rsidTr="00E81D2E">
        <w:trPr>
          <w:trHeight w:val="229"/>
          <w:jc w:val="center"/>
        </w:trPr>
        <w:tc>
          <w:tcPr>
            <w:tcW w:w="2000" w:type="dxa"/>
            <w:tcBorders>
              <w:top w:val="nil"/>
              <w:bottom w:val="nil"/>
            </w:tcBorders>
            <w:shd w:val="clear" w:color="000000" w:fill="DCE6F1"/>
            <w:vAlign w:val="center"/>
            <w:hideMark/>
          </w:tcPr>
          <w:p w14:paraId="39EF356F" w14:textId="77777777" w:rsidR="00E81D2E" w:rsidRPr="007A495F" w:rsidRDefault="00E81D2E" w:rsidP="00513F5A">
            <w:pPr>
              <w:pStyle w:val="Table"/>
              <w:spacing w:after="120"/>
              <w:rPr>
                <w:lang w:eastAsia="en-GB"/>
              </w:rPr>
            </w:pPr>
            <w:r w:rsidRPr="007A495F">
              <w:rPr>
                <w:lang w:eastAsia="en-GB"/>
              </w:rPr>
              <w:t>CHE</w:t>
            </w:r>
          </w:p>
        </w:tc>
        <w:tc>
          <w:tcPr>
            <w:tcW w:w="2977" w:type="dxa"/>
            <w:tcBorders>
              <w:top w:val="nil"/>
              <w:bottom w:val="nil"/>
            </w:tcBorders>
            <w:shd w:val="clear" w:color="000000" w:fill="DCE6F1"/>
            <w:vAlign w:val="center"/>
            <w:hideMark/>
          </w:tcPr>
          <w:p w14:paraId="28E1B646" w14:textId="77777777" w:rsidR="00E81D2E" w:rsidRPr="007A495F" w:rsidRDefault="00E81D2E" w:rsidP="00513F5A">
            <w:pPr>
              <w:pStyle w:val="Table"/>
              <w:spacing w:after="120"/>
              <w:rPr>
                <w:lang w:eastAsia="en-GB"/>
              </w:rPr>
            </w:pPr>
            <w:r w:rsidRPr="007A495F">
              <w:rPr>
                <w:lang w:eastAsia="en-GB"/>
              </w:rPr>
              <w:t>2.44%</w:t>
            </w:r>
          </w:p>
        </w:tc>
      </w:tr>
      <w:tr w:rsidR="00E81D2E" w:rsidRPr="007A495F" w14:paraId="1C311DEA" w14:textId="77777777" w:rsidTr="00E81D2E">
        <w:trPr>
          <w:trHeight w:val="229"/>
          <w:jc w:val="center"/>
        </w:trPr>
        <w:tc>
          <w:tcPr>
            <w:tcW w:w="2000" w:type="dxa"/>
            <w:tcBorders>
              <w:top w:val="nil"/>
              <w:bottom w:val="nil"/>
            </w:tcBorders>
            <w:shd w:val="clear" w:color="auto" w:fill="auto"/>
            <w:vAlign w:val="center"/>
            <w:hideMark/>
          </w:tcPr>
          <w:p w14:paraId="6AC206E8" w14:textId="77777777" w:rsidR="00E81D2E" w:rsidRPr="007A495F" w:rsidRDefault="00E81D2E" w:rsidP="00513F5A">
            <w:pPr>
              <w:pStyle w:val="Table"/>
              <w:spacing w:after="120"/>
              <w:rPr>
                <w:lang w:eastAsia="en-GB"/>
              </w:rPr>
            </w:pPr>
            <w:r w:rsidRPr="007A495F">
              <w:rPr>
                <w:lang w:eastAsia="en-GB"/>
              </w:rPr>
              <w:t>ESP</w:t>
            </w:r>
          </w:p>
        </w:tc>
        <w:tc>
          <w:tcPr>
            <w:tcW w:w="2977" w:type="dxa"/>
            <w:tcBorders>
              <w:top w:val="nil"/>
              <w:bottom w:val="nil"/>
            </w:tcBorders>
            <w:shd w:val="clear" w:color="auto" w:fill="auto"/>
            <w:vAlign w:val="center"/>
            <w:hideMark/>
          </w:tcPr>
          <w:p w14:paraId="308FEAD8" w14:textId="77777777" w:rsidR="00E81D2E" w:rsidRPr="007A495F" w:rsidRDefault="00E81D2E" w:rsidP="00513F5A">
            <w:pPr>
              <w:pStyle w:val="Table"/>
              <w:spacing w:after="120"/>
              <w:rPr>
                <w:lang w:eastAsia="en-GB"/>
              </w:rPr>
            </w:pPr>
            <w:r w:rsidRPr="007A495F">
              <w:rPr>
                <w:lang w:eastAsia="en-GB"/>
              </w:rPr>
              <w:t>2.92%</w:t>
            </w:r>
          </w:p>
        </w:tc>
      </w:tr>
      <w:tr w:rsidR="00E81D2E" w:rsidRPr="007A495F" w14:paraId="39D35A4C" w14:textId="77777777" w:rsidTr="00E81D2E">
        <w:trPr>
          <w:trHeight w:val="229"/>
          <w:jc w:val="center"/>
        </w:trPr>
        <w:tc>
          <w:tcPr>
            <w:tcW w:w="2000" w:type="dxa"/>
            <w:tcBorders>
              <w:top w:val="nil"/>
              <w:bottom w:val="nil"/>
            </w:tcBorders>
            <w:shd w:val="clear" w:color="000000" w:fill="DCE6F1"/>
            <w:vAlign w:val="center"/>
            <w:hideMark/>
          </w:tcPr>
          <w:p w14:paraId="23554B63" w14:textId="77777777" w:rsidR="00E81D2E" w:rsidRPr="007A495F" w:rsidRDefault="00E81D2E" w:rsidP="00513F5A">
            <w:pPr>
              <w:pStyle w:val="Table"/>
              <w:spacing w:after="120"/>
              <w:rPr>
                <w:lang w:eastAsia="en-GB"/>
              </w:rPr>
            </w:pPr>
            <w:r w:rsidRPr="007A495F">
              <w:rPr>
                <w:lang w:eastAsia="en-GB"/>
              </w:rPr>
              <w:t>FRA</w:t>
            </w:r>
          </w:p>
        </w:tc>
        <w:tc>
          <w:tcPr>
            <w:tcW w:w="2977" w:type="dxa"/>
            <w:tcBorders>
              <w:top w:val="nil"/>
              <w:bottom w:val="nil"/>
            </w:tcBorders>
            <w:shd w:val="clear" w:color="000000" w:fill="DCE6F1"/>
            <w:vAlign w:val="center"/>
            <w:hideMark/>
          </w:tcPr>
          <w:p w14:paraId="1A39E358" w14:textId="77777777" w:rsidR="00E81D2E" w:rsidRPr="007A495F" w:rsidRDefault="00E81D2E" w:rsidP="00513F5A">
            <w:pPr>
              <w:pStyle w:val="Table"/>
              <w:spacing w:after="120"/>
              <w:rPr>
                <w:lang w:eastAsia="en-GB"/>
              </w:rPr>
            </w:pPr>
            <w:r w:rsidRPr="007A495F">
              <w:rPr>
                <w:lang w:eastAsia="en-GB"/>
              </w:rPr>
              <w:t>0.66%</w:t>
            </w:r>
          </w:p>
        </w:tc>
      </w:tr>
      <w:tr w:rsidR="00E81D2E" w:rsidRPr="007A495F" w14:paraId="73546F7E" w14:textId="77777777" w:rsidTr="00E81D2E">
        <w:trPr>
          <w:trHeight w:val="229"/>
          <w:jc w:val="center"/>
        </w:trPr>
        <w:tc>
          <w:tcPr>
            <w:tcW w:w="2000" w:type="dxa"/>
            <w:tcBorders>
              <w:top w:val="nil"/>
              <w:bottom w:val="nil"/>
            </w:tcBorders>
            <w:shd w:val="clear" w:color="auto" w:fill="auto"/>
            <w:vAlign w:val="center"/>
            <w:hideMark/>
          </w:tcPr>
          <w:p w14:paraId="7C3BD957" w14:textId="77777777" w:rsidR="00E81D2E" w:rsidRPr="007A495F" w:rsidRDefault="00E81D2E" w:rsidP="00513F5A">
            <w:pPr>
              <w:pStyle w:val="Table"/>
              <w:spacing w:after="120"/>
              <w:rPr>
                <w:lang w:eastAsia="en-GB"/>
              </w:rPr>
            </w:pPr>
            <w:r w:rsidRPr="007A495F">
              <w:rPr>
                <w:lang w:eastAsia="en-GB"/>
              </w:rPr>
              <w:t>IRL</w:t>
            </w:r>
          </w:p>
        </w:tc>
        <w:tc>
          <w:tcPr>
            <w:tcW w:w="2977" w:type="dxa"/>
            <w:tcBorders>
              <w:top w:val="nil"/>
              <w:bottom w:val="nil"/>
            </w:tcBorders>
            <w:shd w:val="clear" w:color="auto" w:fill="auto"/>
            <w:vAlign w:val="center"/>
            <w:hideMark/>
          </w:tcPr>
          <w:p w14:paraId="1F0DE69A" w14:textId="77777777" w:rsidR="00E81D2E" w:rsidRPr="007A495F" w:rsidRDefault="00E81D2E" w:rsidP="00513F5A">
            <w:pPr>
              <w:pStyle w:val="Table"/>
              <w:spacing w:after="120"/>
              <w:rPr>
                <w:lang w:eastAsia="en-GB"/>
              </w:rPr>
            </w:pPr>
            <w:r w:rsidRPr="007A495F">
              <w:rPr>
                <w:lang w:eastAsia="en-GB"/>
              </w:rPr>
              <w:t>1.72%</w:t>
            </w:r>
          </w:p>
        </w:tc>
      </w:tr>
      <w:tr w:rsidR="00E81D2E" w:rsidRPr="007A495F" w14:paraId="6D504D45" w14:textId="77777777" w:rsidTr="00E81D2E">
        <w:trPr>
          <w:trHeight w:val="229"/>
          <w:jc w:val="center"/>
        </w:trPr>
        <w:tc>
          <w:tcPr>
            <w:tcW w:w="2000" w:type="dxa"/>
            <w:tcBorders>
              <w:top w:val="nil"/>
              <w:bottom w:val="nil"/>
            </w:tcBorders>
            <w:shd w:val="clear" w:color="000000" w:fill="DCE6F1"/>
            <w:vAlign w:val="center"/>
            <w:hideMark/>
          </w:tcPr>
          <w:p w14:paraId="094634E8" w14:textId="77777777" w:rsidR="00E81D2E" w:rsidRPr="007A495F" w:rsidRDefault="00E81D2E" w:rsidP="00513F5A">
            <w:pPr>
              <w:pStyle w:val="Table"/>
              <w:spacing w:after="120"/>
              <w:rPr>
                <w:lang w:eastAsia="en-GB"/>
              </w:rPr>
            </w:pPr>
            <w:r w:rsidRPr="007A495F">
              <w:rPr>
                <w:lang w:eastAsia="en-GB"/>
              </w:rPr>
              <w:t>ITA</w:t>
            </w:r>
          </w:p>
        </w:tc>
        <w:tc>
          <w:tcPr>
            <w:tcW w:w="2977" w:type="dxa"/>
            <w:tcBorders>
              <w:top w:val="nil"/>
              <w:bottom w:val="nil"/>
            </w:tcBorders>
            <w:shd w:val="clear" w:color="000000" w:fill="DCE6F1"/>
            <w:vAlign w:val="center"/>
            <w:hideMark/>
          </w:tcPr>
          <w:p w14:paraId="65684C9F" w14:textId="77777777" w:rsidR="00E81D2E" w:rsidRPr="007A495F" w:rsidRDefault="00E81D2E" w:rsidP="00513F5A">
            <w:pPr>
              <w:pStyle w:val="Table"/>
              <w:spacing w:after="120"/>
              <w:rPr>
                <w:lang w:eastAsia="en-GB"/>
              </w:rPr>
            </w:pPr>
            <w:r w:rsidRPr="007A495F">
              <w:rPr>
                <w:lang w:eastAsia="en-GB"/>
              </w:rPr>
              <w:t>2.46%</w:t>
            </w:r>
          </w:p>
        </w:tc>
      </w:tr>
      <w:tr w:rsidR="00E81D2E" w:rsidRPr="007A495F" w14:paraId="35CB356A" w14:textId="77777777" w:rsidTr="00E81D2E">
        <w:trPr>
          <w:trHeight w:val="229"/>
          <w:jc w:val="center"/>
        </w:trPr>
        <w:tc>
          <w:tcPr>
            <w:tcW w:w="2000" w:type="dxa"/>
            <w:tcBorders>
              <w:top w:val="nil"/>
              <w:bottom w:val="nil"/>
            </w:tcBorders>
            <w:shd w:val="clear" w:color="auto" w:fill="auto"/>
            <w:vAlign w:val="center"/>
            <w:hideMark/>
          </w:tcPr>
          <w:p w14:paraId="3CB14448" w14:textId="77777777" w:rsidR="00E81D2E" w:rsidRPr="007A495F" w:rsidRDefault="00E81D2E" w:rsidP="00513F5A">
            <w:pPr>
              <w:pStyle w:val="Table"/>
              <w:spacing w:after="120"/>
              <w:rPr>
                <w:lang w:eastAsia="en-GB"/>
              </w:rPr>
            </w:pPr>
            <w:r w:rsidRPr="007A495F">
              <w:rPr>
                <w:lang w:eastAsia="en-GB"/>
              </w:rPr>
              <w:t>JPN</w:t>
            </w:r>
          </w:p>
        </w:tc>
        <w:tc>
          <w:tcPr>
            <w:tcW w:w="2977" w:type="dxa"/>
            <w:tcBorders>
              <w:top w:val="nil"/>
              <w:bottom w:val="nil"/>
            </w:tcBorders>
            <w:shd w:val="clear" w:color="auto" w:fill="auto"/>
            <w:vAlign w:val="center"/>
            <w:hideMark/>
          </w:tcPr>
          <w:p w14:paraId="77954D81" w14:textId="77777777" w:rsidR="00E81D2E" w:rsidRPr="007A495F" w:rsidRDefault="00E81D2E" w:rsidP="00513F5A">
            <w:pPr>
              <w:pStyle w:val="Table"/>
              <w:spacing w:after="120"/>
              <w:rPr>
                <w:lang w:eastAsia="en-GB"/>
              </w:rPr>
            </w:pPr>
            <w:r w:rsidRPr="007A495F">
              <w:rPr>
                <w:lang w:eastAsia="en-GB"/>
              </w:rPr>
              <w:t>2.76%</w:t>
            </w:r>
          </w:p>
        </w:tc>
      </w:tr>
      <w:tr w:rsidR="00E81D2E" w:rsidRPr="007A495F" w14:paraId="1F12F739" w14:textId="77777777" w:rsidTr="00E81D2E">
        <w:trPr>
          <w:trHeight w:val="229"/>
          <w:jc w:val="center"/>
        </w:trPr>
        <w:tc>
          <w:tcPr>
            <w:tcW w:w="2000" w:type="dxa"/>
            <w:tcBorders>
              <w:top w:val="nil"/>
              <w:bottom w:val="nil"/>
            </w:tcBorders>
            <w:shd w:val="clear" w:color="000000" w:fill="DCE6F1"/>
            <w:vAlign w:val="center"/>
            <w:hideMark/>
          </w:tcPr>
          <w:p w14:paraId="4FCCFE65" w14:textId="77777777" w:rsidR="00E81D2E" w:rsidRPr="007A495F" w:rsidRDefault="00E81D2E" w:rsidP="00513F5A">
            <w:pPr>
              <w:pStyle w:val="Table"/>
              <w:spacing w:after="120"/>
              <w:rPr>
                <w:lang w:eastAsia="en-GB"/>
              </w:rPr>
            </w:pPr>
            <w:r w:rsidRPr="007A495F">
              <w:rPr>
                <w:lang w:eastAsia="en-GB"/>
              </w:rPr>
              <w:t>NLD</w:t>
            </w:r>
          </w:p>
        </w:tc>
        <w:tc>
          <w:tcPr>
            <w:tcW w:w="2977" w:type="dxa"/>
            <w:tcBorders>
              <w:top w:val="nil"/>
              <w:bottom w:val="nil"/>
            </w:tcBorders>
            <w:shd w:val="clear" w:color="000000" w:fill="DCE6F1"/>
            <w:vAlign w:val="center"/>
            <w:hideMark/>
          </w:tcPr>
          <w:p w14:paraId="06484F32" w14:textId="77777777" w:rsidR="00E81D2E" w:rsidRPr="007A495F" w:rsidRDefault="00E81D2E" w:rsidP="00513F5A">
            <w:pPr>
              <w:pStyle w:val="Table"/>
              <w:spacing w:after="120"/>
              <w:rPr>
                <w:lang w:eastAsia="en-GB"/>
              </w:rPr>
            </w:pPr>
            <w:r w:rsidRPr="007A495F">
              <w:rPr>
                <w:lang w:eastAsia="en-GB"/>
              </w:rPr>
              <w:t>0.83%</w:t>
            </w:r>
          </w:p>
        </w:tc>
      </w:tr>
      <w:tr w:rsidR="00E81D2E" w:rsidRPr="007A495F" w14:paraId="09458518" w14:textId="77777777" w:rsidTr="00E81D2E">
        <w:trPr>
          <w:trHeight w:val="229"/>
          <w:jc w:val="center"/>
        </w:trPr>
        <w:tc>
          <w:tcPr>
            <w:tcW w:w="2000" w:type="dxa"/>
            <w:tcBorders>
              <w:top w:val="nil"/>
              <w:bottom w:val="nil"/>
            </w:tcBorders>
            <w:shd w:val="clear" w:color="auto" w:fill="auto"/>
            <w:vAlign w:val="center"/>
            <w:hideMark/>
          </w:tcPr>
          <w:p w14:paraId="35A3192E" w14:textId="77777777" w:rsidR="00E81D2E" w:rsidRPr="007A495F" w:rsidRDefault="00E81D2E" w:rsidP="00513F5A">
            <w:pPr>
              <w:pStyle w:val="Table"/>
              <w:spacing w:after="120"/>
              <w:rPr>
                <w:lang w:eastAsia="en-GB"/>
              </w:rPr>
            </w:pPr>
            <w:r w:rsidRPr="007A495F">
              <w:rPr>
                <w:lang w:eastAsia="en-GB"/>
              </w:rPr>
              <w:t>NOR</w:t>
            </w:r>
          </w:p>
        </w:tc>
        <w:tc>
          <w:tcPr>
            <w:tcW w:w="2977" w:type="dxa"/>
            <w:tcBorders>
              <w:top w:val="nil"/>
              <w:bottom w:val="nil"/>
            </w:tcBorders>
            <w:shd w:val="clear" w:color="auto" w:fill="auto"/>
            <w:vAlign w:val="center"/>
            <w:hideMark/>
          </w:tcPr>
          <w:p w14:paraId="4D09BA86" w14:textId="77777777" w:rsidR="00E81D2E" w:rsidRPr="007A495F" w:rsidRDefault="00E81D2E" w:rsidP="00513F5A">
            <w:pPr>
              <w:pStyle w:val="Table"/>
              <w:spacing w:after="120"/>
              <w:rPr>
                <w:lang w:eastAsia="en-GB"/>
              </w:rPr>
            </w:pPr>
            <w:r w:rsidRPr="007A495F">
              <w:rPr>
                <w:lang w:eastAsia="en-GB"/>
              </w:rPr>
              <w:t>3.06%</w:t>
            </w:r>
          </w:p>
        </w:tc>
      </w:tr>
      <w:tr w:rsidR="00E81D2E" w:rsidRPr="007A495F" w14:paraId="43BEC291" w14:textId="77777777" w:rsidTr="00E81D2E">
        <w:trPr>
          <w:trHeight w:val="229"/>
          <w:jc w:val="center"/>
        </w:trPr>
        <w:tc>
          <w:tcPr>
            <w:tcW w:w="2000" w:type="dxa"/>
            <w:tcBorders>
              <w:top w:val="nil"/>
              <w:bottom w:val="nil"/>
            </w:tcBorders>
            <w:shd w:val="clear" w:color="000000" w:fill="DCE6F1"/>
            <w:vAlign w:val="center"/>
            <w:hideMark/>
          </w:tcPr>
          <w:p w14:paraId="4B0F9819" w14:textId="77777777" w:rsidR="00E81D2E" w:rsidRPr="007A495F" w:rsidRDefault="00E81D2E" w:rsidP="00513F5A">
            <w:pPr>
              <w:pStyle w:val="Table"/>
              <w:spacing w:after="120"/>
              <w:rPr>
                <w:lang w:eastAsia="en-GB"/>
              </w:rPr>
            </w:pPr>
            <w:r w:rsidRPr="007A495F">
              <w:rPr>
                <w:lang w:eastAsia="en-GB"/>
              </w:rPr>
              <w:t>PRT</w:t>
            </w:r>
          </w:p>
        </w:tc>
        <w:tc>
          <w:tcPr>
            <w:tcW w:w="2977" w:type="dxa"/>
            <w:tcBorders>
              <w:top w:val="nil"/>
              <w:bottom w:val="nil"/>
            </w:tcBorders>
            <w:shd w:val="clear" w:color="000000" w:fill="DCE6F1"/>
            <w:vAlign w:val="center"/>
            <w:hideMark/>
          </w:tcPr>
          <w:p w14:paraId="304AE1A2" w14:textId="77777777" w:rsidR="00E81D2E" w:rsidRPr="007A495F" w:rsidRDefault="00E81D2E" w:rsidP="00513F5A">
            <w:pPr>
              <w:pStyle w:val="Table"/>
              <w:spacing w:after="120"/>
              <w:rPr>
                <w:lang w:eastAsia="en-GB"/>
              </w:rPr>
            </w:pPr>
            <w:r w:rsidRPr="007A495F">
              <w:rPr>
                <w:lang w:eastAsia="en-GB"/>
              </w:rPr>
              <w:t>5.28%</w:t>
            </w:r>
          </w:p>
        </w:tc>
      </w:tr>
      <w:tr w:rsidR="00E81D2E" w:rsidRPr="007A495F" w14:paraId="21136EA8" w14:textId="77777777" w:rsidTr="00E81D2E">
        <w:trPr>
          <w:trHeight w:val="229"/>
          <w:jc w:val="center"/>
        </w:trPr>
        <w:tc>
          <w:tcPr>
            <w:tcW w:w="2000" w:type="dxa"/>
            <w:tcBorders>
              <w:top w:val="nil"/>
              <w:bottom w:val="nil"/>
            </w:tcBorders>
            <w:shd w:val="clear" w:color="auto" w:fill="auto"/>
            <w:vAlign w:val="center"/>
            <w:hideMark/>
          </w:tcPr>
          <w:p w14:paraId="083B0FCB" w14:textId="77777777" w:rsidR="00E81D2E" w:rsidRPr="007A495F" w:rsidRDefault="00E81D2E" w:rsidP="00513F5A">
            <w:pPr>
              <w:pStyle w:val="Table"/>
              <w:spacing w:after="120"/>
              <w:rPr>
                <w:lang w:eastAsia="en-GB"/>
              </w:rPr>
            </w:pPr>
            <w:r w:rsidRPr="007A495F">
              <w:rPr>
                <w:lang w:eastAsia="en-GB"/>
              </w:rPr>
              <w:t>SWE</w:t>
            </w:r>
          </w:p>
        </w:tc>
        <w:tc>
          <w:tcPr>
            <w:tcW w:w="2977" w:type="dxa"/>
            <w:tcBorders>
              <w:top w:val="nil"/>
              <w:bottom w:val="nil"/>
            </w:tcBorders>
            <w:shd w:val="clear" w:color="auto" w:fill="auto"/>
            <w:vAlign w:val="center"/>
            <w:hideMark/>
          </w:tcPr>
          <w:p w14:paraId="5CD98D6D" w14:textId="77777777" w:rsidR="00E81D2E" w:rsidRPr="007A495F" w:rsidRDefault="00E81D2E" w:rsidP="00513F5A">
            <w:pPr>
              <w:pStyle w:val="Table"/>
              <w:spacing w:after="120"/>
              <w:rPr>
                <w:lang w:eastAsia="en-GB"/>
              </w:rPr>
            </w:pPr>
            <w:r w:rsidRPr="007A495F">
              <w:rPr>
                <w:lang w:eastAsia="en-GB"/>
              </w:rPr>
              <w:t>0.35%</w:t>
            </w:r>
          </w:p>
        </w:tc>
      </w:tr>
      <w:tr w:rsidR="00E81D2E" w:rsidRPr="007A495F" w14:paraId="0B33C69F" w14:textId="77777777" w:rsidTr="00E81D2E">
        <w:trPr>
          <w:trHeight w:val="229"/>
          <w:jc w:val="center"/>
        </w:trPr>
        <w:tc>
          <w:tcPr>
            <w:tcW w:w="2000" w:type="dxa"/>
            <w:tcBorders>
              <w:top w:val="nil"/>
              <w:bottom w:val="nil"/>
            </w:tcBorders>
            <w:shd w:val="clear" w:color="000000" w:fill="DCE6F1"/>
            <w:vAlign w:val="center"/>
            <w:hideMark/>
          </w:tcPr>
          <w:p w14:paraId="0188F7A1" w14:textId="77777777" w:rsidR="00E81D2E" w:rsidRPr="007A495F" w:rsidRDefault="00E81D2E" w:rsidP="00513F5A">
            <w:pPr>
              <w:pStyle w:val="Table"/>
              <w:spacing w:after="120"/>
              <w:rPr>
                <w:lang w:eastAsia="en-GB"/>
              </w:rPr>
            </w:pPr>
            <w:r w:rsidRPr="007A495F">
              <w:rPr>
                <w:lang w:eastAsia="en-GB"/>
              </w:rPr>
              <w:t>USA</w:t>
            </w:r>
          </w:p>
        </w:tc>
        <w:tc>
          <w:tcPr>
            <w:tcW w:w="2977" w:type="dxa"/>
            <w:tcBorders>
              <w:top w:val="nil"/>
              <w:bottom w:val="nil"/>
            </w:tcBorders>
            <w:shd w:val="clear" w:color="000000" w:fill="DCE6F1"/>
            <w:vAlign w:val="center"/>
            <w:hideMark/>
          </w:tcPr>
          <w:p w14:paraId="7E9091BC" w14:textId="77777777" w:rsidR="00E81D2E" w:rsidRPr="007A495F" w:rsidRDefault="00E81D2E" w:rsidP="00513F5A">
            <w:pPr>
              <w:pStyle w:val="Table"/>
              <w:spacing w:after="120"/>
              <w:rPr>
                <w:lang w:eastAsia="en-GB"/>
              </w:rPr>
            </w:pPr>
            <w:r w:rsidRPr="007A495F">
              <w:rPr>
                <w:lang w:eastAsia="en-GB"/>
              </w:rPr>
              <w:t>1.59%</w:t>
            </w:r>
          </w:p>
        </w:tc>
      </w:tr>
      <w:tr w:rsidR="00E81D2E" w:rsidRPr="007A495F" w14:paraId="7D92D145" w14:textId="77777777" w:rsidTr="00E81D2E">
        <w:trPr>
          <w:trHeight w:val="229"/>
          <w:jc w:val="center"/>
        </w:trPr>
        <w:tc>
          <w:tcPr>
            <w:tcW w:w="2000" w:type="dxa"/>
            <w:tcBorders>
              <w:top w:val="nil"/>
              <w:bottom w:val="nil"/>
            </w:tcBorders>
            <w:shd w:val="clear" w:color="auto" w:fill="auto"/>
            <w:noWrap/>
            <w:vAlign w:val="bottom"/>
            <w:hideMark/>
          </w:tcPr>
          <w:p w14:paraId="5C578139" w14:textId="77777777" w:rsidR="00E81D2E" w:rsidRPr="007A495F" w:rsidRDefault="00E81D2E" w:rsidP="00513F5A">
            <w:pPr>
              <w:pStyle w:val="Table"/>
              <w:spacing w:after="120"/>
              <w:rPr>
                <w:lang w:eastAsia="en-GB"/>
              </w:rPr>
            </w:pPr>
            <w:r w:rsidRPr="007A495F">
              <w:rPr>
                <w:lang w:eastAsia="en-GB"/>
              </w:rPr>
              <w:t>Average</w:t>
            </w:r>
          </w:p>
        </w:tc>
        <w:tc>
          <w:tcPr>
            <w:tcW w:w="2977" w:type="dxa"/>
            <w:tcBorders>
              <w:top w:val="nil"/>
              <w:bottom w:val="single" w:sz="4" w:space="0" w:color="auto"/>
            </w:tcBorders>
            <w:shd w:val="clear" w:color="auto" w:fill="auto"/>
            <w:noWrap/>
            <w:vAlign w:val="center"/>
            <w:hideMark/>
          </w:tcPr>
          <w:p w14:paraId="24056224" w14:textId="77777777" w:rsidR="00E81D2E" w:rsidRPr="007A495F" w:rsidRDefault="00E81D2E" w:rsidP="00513F5A">
            <w:pPr>
              <w:pStyle w:val="Table"/>
              <w:spacing w:after="120"/>
              <w:rPr>
                <w:lang w:eastAsia="en-GB"/>
              </w:rPr>
            </w:pPr>
            <w:r w:rsidRPr="007A495F">
              <w:rPr>
                <w:lang w:eastAsia="en-GB"/>
              </w:rPr>
              <w:t>2.16%</w:t>
            </w:r>
          </w:p>
        </w:tc>
      </w:tr>
      <w:tr w:rsidR="00E81D2E" w:rsidRPr="007A495F" w14:paraId="568D2B89" w14:textId="77777777" w:rsidTr="00E81D2E">
        <w:trPr>
          <w:trHeight w:val="229"/>
          <w:jc w:val="center"/>
        </w:trPr>
        <w:tc>
          <w:tcPr>
            <w:tcW w:w="4977" w:type="dxa"/>
            <w:gridSpan w:val="2"/>
            <w:tcBorders>
              <w:top w:val="single" w:sz="4" w:space="0" w:color="auto"/>
              <w:bottom w:val="single" w:sz="4" w:space="0" w:color="auto"/>
            </w:tcBorders>
            <w:shd w:val="clear" w:color="auto" w:fill="auto"/>
            <w:noWrap/>
            <w:vAlign w:val="center"/>
            <w:hideMark/>
          </w:tcPr>
          <w:p w14:paraId="04734E3D" w14:textId="77777777" w:rsidR="00E81D2E" w:rsidRPr="007A495F" w:rsidRDefault="00E81D2E" w:rsidP="00513F5A">
            <w:pPr>
              <w:pStyle w:val="Table"/>
              <w:spacing w:after="120"/>
              <w:rPr>
                <w:lang w:eastAsia="en-GB"/>
              </w:rPr>
            </w:pPr>
            <w:r w:rsidRPr="007A495F">
              <w:rPr>
                <w:lang w:eastAsia="en-GB"/>
              </w:rPr>
              <w:t>Trend comparison</w:t>
            </w:r>
          </w:p>
        </w:tc>
      </w:tr>
      <w:tr w:rsidR="00E81D2E" w:rsidRPr="007A495F" w14:paraId="3796B21C" w14:textId="77777777" w:rsidTr="00E81D2E">
        <w:trPr>
          <w:trHeight w:val="1095"/>
          <w:jc w:val="center"/>
        </w:trPr>
        <w:tc>
          <w:tcPr>
            <w:tcW w:w="2000" w:type="dxa"/>
            <w:tcBorders>
              <w:top w:val="single" w:sz="4" w:space="0" w:color="auto"/>
              <w:bottom w:val="single" w:sz="4" w:space="0" w:color="auto"/>
            </w:tcBorders>
            <w:shd w:val="clear" w:color="000000" w:fill="DCE6F1"/>
            <w:vAlign w:val="center"/>
            <w:hideMark/>
          </w:tcPr>
          <w:p w14:paraId="00CC1B83" w14:textId="77777777" w:rsidR="00E81D2E" w:rsidRPr="007A495F" w:rsidRDefault="00E81D2E" w:rsidP="00513F5A">
            <w:pPr>
              <w:pStyle w:val="Table"/>
              <w:spacing w:after="120"/>
              <w:rPr>
                <w:lang w:eastAsia="en-GB"/>
              </w:rPr>
            </w:pPr>
            <w:r w:rsidRPr="007A495F">
              <w:rPr>
                <w:lang w:eastAsia="en-GB"/>
              </w:rPr>
              <w:t>Proportion of common trends between IDD and WTID (between mid-1980s and 2011)</w:t>
            </w:r>
          </w:p>
        </w:tc>
        <w:tc>
          <w:tcPr>
            <w:tcW w:w="2977" w:type="dxa"/>
            <w:tcBorders>
              <w:top w:val="single" w:sz="4" w:space="0" w:color="auto"/>
              <w:bottom w:val="single" w:sz="4" w:space="0" w:color="auto"/>
            </w:tcBorders>
            <w:shd w:val="clear" w:color="000000" w:fill="DCE6F1"/>
            <w:noWrap/>
            <w:vAlign w:val="center"/>
            <w:hideMark/>
          </w:tcPr>
          <w:p w14:paraId="314823EB" w14:textId="77777777" w:rsidR="00E81D2E" w:rsidRPr="007A495F" w:rsidRDefault="00E81D2E" w:rsidP="00513F5A">
            <w:pPr>
              <w:pStyle w:val="Table"/>
              <w:spacing w:after="120"/>
              <w:rPr>
                <w:lang w:eastAsia="en-GB"/>
              </w:rPr>
            </w:pPr>
            <w:r w:rsidRPr="007A495F">
              <w:rPr>
                <w:lang w:eastAsia="en-GB"/>
              </w:rPr>
              <w:t>70.22%</w:t>
            </w:r>
          </w:p>
        </w:tc>
      </w:tr>
    </w:tbl>
    <w:p w14:paraId="16333236" w14:textId="451A0833" w:rsidR="00E81D2E" w:rsidRDefault="00E81D2E" w:rsidP="00392266">
      <w:pPr>
        <w:pStyle w:val="BodyText"/>
      </w:pPr>
    </w:p>
    <w:p w14:paraId="3579AD45" w14:textId="77777777" w:rsidR="00420EB6" w:rsidRDefault="00420EB6" w:rsidP="00420EB6">
      <w:pPr>
        <w:pStyle w:val="Heading3"/>
      </w:pPr>
      <w:bookmarkStart w:id="41" w:name="_Toc416797627"/>
      <w:bookmarkStart w:id="42" w:name="_Toc416860231"/>
      <w:r w:rsidRPr="00835DEE">
        <w:lastRenderedPageBreak/>
        <w:t>Top income shares in all OECD countries</w:t>
      </w:r>
      <w:bookmarkEnd w:id="41"/>
      <w:bookmarkEnd w:id="42"/>
    </w:p>
    <w:p w14:paraId="17F90A82" w14:textId="77777777" w:rsidR="00CD6319" w:rsidRPr="00B67849" w:rsidRDefault="00CD6319" w:rsidP="00420EB6">
      <w:pPr>
        <w:pStyle w:val="Num-DocParagraph"/>
        <w:rPr>
          <w:lang w:val="en-US"/>
        </w:rPr>
      </w:pPr>
      <w:r>
        <w:fldChar w:fldCharType="begin"/>
      </w:r>
      <w:r>
        <w:instrText xml:space="preserve"> MACROBUTTON NUMBERING </w:instrText>
      </w:r>
      <w:r>
        <w:fldChar w:fldCharType="begin"/>
      </w:r>
      <w:r>
        <w:instrText xml:space="preserve"> SEQ  dpara</w:instrText>
      </w:r>
      <w:r>
        <w:fldChar w:fldCharType="separate"/>
      </w:r>
      <w:r w:rsidR="002114FC">
        <w:rPr>
          <w:noProof/>
        </w:rPr>
        <w:instrText>31</w:instrText>
      </w:r>
      <w:r>
        <w:fldChar w:fldCharType="end"/>
      </w:r>
      <w:r>
        <w:instrText>.</w:instrText>
      </w:r>
      <w:r>
        <w:tab/>
      </w:r>
      <w:r>
        <w:fldChar w:fldCharType="end"/>
      </w:r>
      <w:r>
        <w:t>The methodology developed above allows for estimating top incomes across the 34 OECD countries, which expands</w:t>
      </w:r>
      <w:r w:rsidR="0084648C">
        <w:t xml:space="preserve"> the country coverage of the WTID</w:t>
      </w:r>
      <w:r>
        <w:t xml:space="preserve">. </w:t>
      </w:r>
      <w:r w:rsidR="0084648C">
        <w:t xml:space="preserve"> </w:t>
      </w:r>
      <w:r w:rsidR="00B67849">
        <w:t>This can be used to shed light on recent trends in top incomes, comparing the p</w:t>
      </w:r>
      <w:r w:rsidR="00334FA8">
        <w:t>re</w:t>
      </w:r>
      <w:r w:rsidR="00B67849">
        <w:t xml:space="preserve">-crisis period with the latest data point, generally 2010: </w:t>
      </w:r>
    </w:p>
    <w:p w14:paraId="4814D9EB" w14:textId="11B07FD3" w:rsidR="00B67849" w:rsidRDefault="00CD6319" w:rsidP="00DC25C2">
      <w:pPr>
        <w:pStyle w:val="ListBullet"/>
        <w:numPr>
          <w:ilvl w:val="0"/>
          <w:numId w:val="15"/>
        </w:numPr>
        <w:spacing w:after="120"/>
      </w:pPr>
      <w:r>
        <w:t xml:space="preserve">The share of income held by </w:t>
      </w:r>
      <w:r w:rsidR="00420EB6" w:rsidRPr="00CD6319">
        <w:t xml:space="preserve">the top 1% has </w:t>
      </w:r>
      <w:r w:rsidR="00334FA8">
        <w:t>been on the rise</w:t>
      </w:r>
      <w:r w:rsidR="00334FA8" w:rsidRPr="00CD6319">
        <w:t xml:space="preserve"> </w:t>
      </w:r>
      <w:r w:rsidR="00420EB6" w:rsidRPr="00CD6319">
        <w:t>in about half of OECD countries</w:t>
      </w:r>
      <w:r>
        <w:t xml:space="preserve"> between 2005 and 2010</w:t>
      </w:r>
      <w:r w:rsidR="00420EB6" w:rsidRPr="00CD6319">
        <w:t>, but fairly modest</w:t>
      </w:r>
      <w:r w:rsidR="00334FA8">
        <w:t>ly</w:t>
      </w:r>
      <w:r w:rsidR="00385F3A">
        <w:t xml:space="preserve"> (Figure 3</w:t>
      </w:r>
      <w:r w:rsidR="00420EB6" w:rsidRPr="00CD6319">
        <w:t>). The most significant increase occurred in the U</w:t>
      </w:r>
      <w:r w:rsidR="00DC3639">
        <w:t xml:space="preserve">nited </w:t>
      </w:r>
      <w:r w:rsidR="00420EB6" w:rsidRPr="00CD6319">
        <w:t>S</w:t>
      </w:r>
      <w:r w:rsidR="00DC3639">
        <w:t>tates</w:t>
      </w:r>
      <w:r w:rsidR="00420EB6" w:rsidRPr="00CD6319">
        <w:t xml:space="preserve">, </w:t>
      </w:r>
      <w:r w:rsidR="00B67849">
        <w:t>where top incomes have been</w:t>
      </w:r>
      <w:r w:rsidR="00B67849" w:rsidRPr="00CD6319">
        <w:t xml:space="preserve"> </w:t>
      </w:r>
      <w:r w:rsidR="00420EB6" w:rsidRPr="00CD6319">
        <w:t>rebound</w:t>
      </w:r>
      <w:r w:rsidR="00B67849">
        <w:t>ing after a temporary decline</w:t>
      </w:r>
      <w:r w:rsidR="00420EB6" w:rsidRPr="00CD6319">
        <w:t xml:space="preserve"> </w:t>
      </w:r>
      <w:r w:rsidR="00B67849">
        <w:t>over</w:t>
      </w:r>
      <w:r w:rsidR="00B67849" w:rsidRPr="00CD6319">
        <w:t xml:space="preserve"> </w:t>
      </w:r>
      <w:r w:rsidR="00420EB6" w:rsidRPr="00CD6319">
        <w:t>the crisis</w:t>
      </w:r>
      <w:r w:rsidR="00B67849">
        <w:t>.</w:t>
      </w:r>
      <w:r w:rsidR="00B67849">
        <w:rPr>
          <w:rStyle w:val="FootnoteReference"/>
        </w:rPr>
        <w:footnoteReference w:id="11"/>
      </w:r>
    </w:p>
    <w:p w14:paraId="6F8862C5" w14:textId="58C6C3F4" w:rsidR="00375AA4" w:rsidRDefault="00375AA4" w:rsidP="00375AA4">
      <w:pPr>
        <w:pStyle w:val="Graphic"/>
        <w:ind w:left="720"/>
        <w:rPr>
          <w:noProof/>
          <w:lang w:eastAsia="en-GB"/>
        </w:rPr>
      </w:pPr>
    </w:p>
    <w:p w14:paraId="5C585483" w14:textId="208DB3D6" w:rsidR="00DD40B0" w:rsidRDefault="00DD40B0" w:rsidP="00DD40B0">
      <w:pPr>
        <w:pStyle w:val="FigureTitle"/>
        <w:rPr>
          <w:lang w:eastAsia="en-GB"/>
        </w:rPr>
      </w:pPr>
      <w:r>
        <w:rPr>
          <w:lang w:eastAsia="en-GB"/>
        </w:rPr>
        <w:t>Figure 3.</w:t>
      </w:r>
      <w:r>
        <w:rPr>
          <w:lang w:eastAsia="en-GB"/>
        </w:rPr>
        <w:tab/>
        <w:t xml:space="preserve">Top 1% income shares in OECD countries (2005 and 2010) </w:t>
      </w:r>
      <w:r>
        <w:rPr>
          <w:lang w:eastAsia="en-GB"/>
        </w:rPr>
        <w:fldChar w:fldCharType="begin"/>
      </w:r>
      <w:r>
        <w:rPr>
          <w:lang w:eastAsia="en-GB"/>
        </w:rPr>
        <w:instrText xml:space="preserve"> TC \f f \l 2 "</w:instrText>
      </w:r>
      <w:bookmarkStart w:id="43" w:name="_Toc416797095"/>
      <w:bookmarkStart w:id="44" w:name="_Toc416860585"/>
      <w:r>
        <w:rPr>
          <w:lang w:eastAsia="en-GB"/>
        </w:rPr>
        <w:instrText>Figure 3.</w:instrText>
      </w:r>
      <w:r>
        <w:rPr>
          <w:lang w:eastAsia="en-GB"/>
        </w:rPr>
        <w:tab/>
        <w:instrText>Top 1% income shares in OECD countries (2005 and 2010)</w:instrText>
      </w:r>
      <w:bookmarkEnd w:id="43"/>
      <w:bookmarkEnd w:id="44"/>
      <w:r>
        <w:rPr>
          <w:lang w:eastAsia="en-GB"/>
        </w:rPr>
        <w:instrText xml:space="preserve"> "  </w:instrText>
      </w:r>
      <w:r>
        <w:rPr>
          <w:lang w:eastAsia="en-GB"/>
        </w:rPr>
        <w:fldChar w:fldCharType="end"/>
      </w:r>
    </w:p>
    <w:p w14:paraId="19272E82" w14:textId="5D04460E" w:rsidR="00DD40B0" w:rsidRDefault="00DD40B0" w:rsidP="00DD40B0">
      <w:pPr>
        <w:pStyle w:val="Graphic"/>
        <w:rPr>
          <w:lang w:eastAsia="en-GB"/>
        </w:rPr>
      </w:pPr>
      <w:r>
        <w:rPr>
          <w:noProof/>
          <w:lang w:eastAsia="en-GB"/>
        </w:rPr>
        <w:drawing>
          <wp:inline distT="0" distB="0" distL="0" distR="0" wp14:anchorId="74E1B388" wp14:editId="11B161DE">
            <wp:extent cx="5715000" cy="240982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5000" cy="2409825"/>
                    </a:xfrm>
                    <a:prstGeom prst="rect">
                      <a:avLst/>
                    </a:prstGeom>
                  </pic:spPr>
                </pic:pic>
              </a:graphicData>
            </a:graphic>
          </wp:inline>
        </w:drawing>
      </w:r>
    </w:p>
    <w:p w14:paraId="08008113" w14:textId="77777777" w:rsidR="00DD40B0" w:rsidRPr="00DD40B0" w:rsidRDefault="00DD40B0" w:rsidP="00DD40B0">
      <w:pPr>
        <w:pStyle w:val="BodyText"/>
        <w:rPr>
          <w:lang w:eastAsia="en-GB"/>
        </w:rPr>
      </w:pPr>
    </w:p>
    <w:p w14:paraId="62F8EB27" w14:textId="3B247654" w:rsidR="00334FA8" w:rsidRPr="00375AA4" w:rsidRDefault="00B67849" w:rsidP="00DC25C2">
      <w:pPr>
        <w:pStyle w:val="ListBullet"/>
        <w:numPr>
          <w:ilvl w:val="0"/>
          <w:numId w:val="15"/>
        </w:numPr>
        <w:spacing w:after="120"/>
      </w:pPr>
      <w:r w:rsidRPr="00375AA4">
        <w:t xml:space="preserve">Some OECD </w:t>
      </w:r>
      <w:r w:rsidR="00334FA8" w:rsidRPr="00375AA4">
        <w:t xml:space="preserve">countries </w:t>
      </w:r>
      <w:r w:rsidRPr="00375AA4">
        <w:t xml:space="preserve">have been experiencing significant declines in top income inequality: </w:t>
      </w:r>
      <w:r w:rsidR="002C4196" w:rsidRPr="00375AA4">
        <w:t>this</w:t>
      </w:r>
      <w:r w:rsidR="00835DEE" w:rsidRPr="00375AA4">
        <w:t xml:space="preserve"> is notably the</w:t>
      </w:r>
      <w:r w:rsidRPr="00375AA4">
        <w:t xml:space="preserve"> case </w:t>
      </w:r>
      <w:r w:rsidR="002C4196" w:rsidRPr="00375AA4">
        <w:t>in</w:t>
      </w:r>
      <w:r w:rsidRPr="00375AA4">
        <w:t xml:space="preserve"> Chile, where the</w:t>
      </w:r>
      <w:r w:rsidR="00420EB6" w:rsidRPr="00375AA4">
        <w:t xml:space="preserve"> </w:t>
      </w:r>
      <w:r w:rsidR="008B5A42" w:rsidRPr="00375AA4">
        <w:t>share of income held by the top 1%</w:t>
      </w:r>
      <w:r w:rsidR="00420EB6" w:rsidRPr="00375AA4">
        <w:t xml:space="preserve"> dropped by 4</w:t>
      </w:r>
      <w:r w:rsidR="00B62D59">
        <w:t> </w:t>
      </w:r>
      <w:r w:rsidR="00420EB6" w:rsidRPr="00375AA4">
        <w:t xml:space="preserve">percentage points. </w:t>
      </w:r>
      <w:r w:rsidR="00835DEE" w:rsidRPr="00375AA4">
        <w:t xml:space="preserve">Still, </w:t>
      </w:r>
      <w:r w:rsidR="008B5A42" w:rsidRPr="00375AA4">
        <w:t>it</w:t>
      </w:r>
      <w:r w:rsidR="00835DEE" w:rsidRPr="00375AA4">
        <w:t xml:space="preserve"> remains</w:t>
      </w:r>
      <w:r w:rsidR="008B5A42" w:rsidRPr="00375AA4">
        <w:t>,</w:t>
      </w:r>
      <w:r w:rsidR="00835DEE" w:rsidRPr="00375AA4">
        <w:t xml:space="preserve"> </w:t>
      </w:r>
      <w:r w:rsidR="008B5A42" w:rsidRPr="00375AA4">
        <w:t xml:space="preserve">at more than 25%, </w:t>
      </w:r>
      <w:r w:rsidR="00835DEE" w:rsidRPr="00375AA4">
        <w:t>the highest across the OECD.</w:t>
      </w:r>
    </w:p>
    <w:p w14:paraId="02622EC2" w14:textId="77777777" w:rsidR="00420EB6" w:rsidRPr="00334FA8" w:rsidRDefault="00420EB6" w:rsidP="00375AA4">
      <w:pPr>
        <w:pStyle w:val="ListBullet"/>
        <w:numPr>
          <w:ilvl w:val="0"/>
          <w:numId w:val="15"/>
        </w:numPr>
        <w:spacing w:before="240"/>
      </w:pPr>
      <w:r w:rsidRPr="00334FA8">
        <w:t xml:space="preserve">Overall, </w:t>
      </w:r>
      <w:r w:rsidR="00334FA8">
        <w:t xml:space="preserve">this new evidence delivers a more nuanced view on the evolution of </w:t>
      </w:r>
      <w:r w:rsidR="002377B2">
        <w:t>top incomes</w:t>
      </w:r>
      <w:r w:rsidRPr="00334FA8">
        <w:t xml:space="preserve"> in the aftermath of the crisis</w:t>
      </w:r>
      <w:r w:rsidR="00334FA8">
        <w:t xml:space="preserve">. </w:t>
      </w:r>
      <w:r w:rsidRPr="00334FA8">
        <w:t xml:space="preserve"> </w:t>
      </w:r>
      <w:r w:rsidR="00334FA8">
        <w:t xml:space="preserve">This is due </w:t>
      </w:r>
      <w:r w:rsidR="008E16B6">
        <w:t xml:space="preserve">to </w:t>
      </w:r>
      <w:r w:rsidR="00334FA8">
        <w:t>a wider</w:t>
      </w:r>
      <w:r w:rsidRPr="00334FA8">
        <w:t xml:space="preserve"> </w:t>
      </w:r>
      <w:r w:rsidR="00334FA8" w:rsidRPr="00334FA8">
        <w:t>countr</w:t>
      </w:r>
      <w:r w:rsidR="00334FA8">
        <w:t>y coverage</w:t>
      </w:r>
      <w:r w:rsidR="00334FA8" w:rsidRPr="00334FA8">
        <w:t xml:space="preserve"> </w:t>
      </w:r>
      <w:r w:rsidRPr="00334FA8">
        <w:t xml:space="preserve">compared to </w:t>
      </w:r>
      <w:r w:rsidR="00334FA8">
        <w:t xml:space="preserve">the one that can be achieved by </w:t>
      </w:r>
      <w:r w:rsidRPr="00334FA8">
        <w:t>tax-based tabulation (see Piketty and Saez, 2013 for the estimation of top incomes on the latest vintage of the WTID).</w:t>
      </w:r>
    </w:p>
    <w:p w14:paraId="5912980A" w14:textId="2DB212DB" w:rsidR="008238CC" w:rsidRPr="009477C6" w:rsidRDefault="009477C6" w:rsidP="00613E8C">
      <w:pPr>
        <w:pStyle w:val="Heading2"/>
      </w:pPr>
      <w:bookmarkStart w:id="45" w:name="_Toc416797628"/>
      <w:bookmarkStart w:id="46" w:name="_Toc416860232"/>
      <w:r w:rsidRPr="009477C6">
        <w:t>The full extent of income inequality in OECD countries</w:t>
      </w:r>
      <w:bookmarkEnd w:id="45"/>
      <w:bookmarkEnd w:id="46"/>
    </w:p>
    <w:p w14:paraId="395F9822" w14:textId="77777777" w:rsidR="0064768D" w:rsidRDefault="0064768D" w:rsidP="009477C6">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32</w:instrText>
      </w:r>
      <w:r>
        <w:fldChar w:fldCharType="end"/>
      </w:r>
      <w:r>
        <w:instrText>.</w:instrText>
      </w:r>
      <w:r>
        <w:tab/>
      </w:r>
      <w:r>
        <w:fldChar w:fldCharType="end"/>
      </w:r>
      <w:r w:rsidR="00D97A84">
        <w:t>The estimations</w:t>
      </w:r>
      <w:r w:rsidR="00573D4B">
        <w:t xml:space="preserve"> </w:t>
      </w:r>
      <w:r w:rsidR="006B7BA0">
        <w:t>of</w:t>
      </w:r>
      <w:r w:rsidR="00573D4B">
        <w:t xml:space="preserve"> top income </w:t>
      </w:r>
      <w:r w:rsidR="006B7BA0">
        <w:t>share</w:t>
      </w:r>
      <w:r w:rsidR="003234FB">
        <w:t>s</w:t>
      </w:r>
      <w:r w:rsidR="006B7BA0">
        <w:t xml:space="preserve"> can now </w:t>
      </w:r>
      <w:r w:rsidR="003234FB">
        <w:t xml:space="preserve">be </w:t>
      </w:r>
      <w:r w:rsidR="006B7BA0">
        <w:t>use</w:t>
      </w:r>
      <w:r w:rsidR="003234FB">
        <w:t>d</w:t>
      </w:r>
      <w:r w:rsidR="006B7BA0">
        <w:t xml:space="preserve"> to</w:t>
      </w:r>
      <w:r w:rsidR="00D97A84">
        <w:rPr>
          <w:lang w:val="en-US"/>
        </w:rPr>
        <w:t xml:space="preserve"> derive new</w:t>
      </w:r>
      <w:r w:rsidR="0052377F">
        <w:rPr>
          <w:lang w:val="en-US"/>
        </w:rPr>
        <w:t xml:space="preserve">, </w:t>
      </w:r>
      <w:r w:rsidR="002C4196">
        <w:rPr>
          <w:lang w:val="en-US"/>
        </w:rPr>
        <w:t>adjus</w:t>
      </w:r>
      <w:r w:rsidR="0052377F">
        <w:rPr>
          <w:lang w:val="en-US"/>
        </w:rPr>
        <w:t>ted</w:t>
      </w:r>
      <w:r w:rsidR="00D97A84">
        <w:rPr>
          <w:lang w:val="en-US"/>
        </w:rPr>
        <w:t xml:space="preserve"> income distributions </w:t>
      </w:r>
      <w:r w:rsidR="007F4626">
        <w:rPr>
          <w:lang w:val="en-US"/>
        </w:rPr>
        <w:t xml:space="preserve">and inequality measures, </w:t>
      </w:r>
      <w:r w:rsidR="00765D3D">
        <w:rPr>
          <w:lang w:val="en-US"/>
        </w:rPr>
        <w:t>where</w:t>
      </w:r>
      <w:r w:rsidR="00D97A84">
        <w:rPr>
          <w:lang w:val="en-US"/>
        </w:rPr>
        <w:t xml:space="preserve"> all the population is taken on board</w:t>
      </w:r>
      <w:r w:rsidR="003A14C6">
        <w:rPr>
          <w:lang w:val="en-US"/>
        </w:rPr>
        <w:t>,</w:t>
      </w:r>
      <w:r w:rsidR="00D97A84">
        <w:rPr>
          <w:lang w:val="en-US"/>
        </w:rPr>
        <w:t xml:space="preserve"> i.e. the 99% and the 1%. </w:t>
      </w:r>
      <w:r w:rsidR="007F4626">
        <w:rPr>
          <w:lang w:val="en-US"/>
        </w:rPr>
        <w:t>Such assessment</w:t>
      </w:r>
      <w:r w:rsidR="003234FB">
        <w:t xml:space="preserve"> is </w:t>
      </w:r>
      <w:r w:rsidR="00740DBD">
        <w:t xml:space="preserve">now </w:t>
      </w:r>
      <w:r w:rsidR="003234FB">
        <w:t>based on household</w:t>
      </w:r>
      <w:r>
        <w:t xml:space="preserve"> disposable income</w:t>
      </w:r>
      <w:r w:rsidR="007F4626">
        <w:t xml:space="preserve"> (i.e. income post-transfers and taxes) as opposed to taxable income in the last section. Household disposable income is</w:t>
      </w:r>
      <w:r w:rsidR="003234FB">
        <w:t xml:space="preserve"> conceptually </w:t>
      </w:r>
      <w:r>
        <w:t xml:space="preserve">most representative of the material conditions experienced by household (see Stiglitz et al., 2009). </w:t>
      </w:r>
    </w:p>
    <w:p w14:paraId="235C191C" w14:textId="29CA2A67" w:rsidR="00765D3D" w:rsidRPr="00765D3D" w:rsidRDefault="0064768D" w:rsidP="00765D3D">
      <w:pPr>
        <w:pStyle w:val="Num-DocParagraph"/>
        <w:rPr>
          <w:lang w:val="en-US"/>
        </w:rPr>
      </w:pPr>
      <w:r>
        <w:rPr>
          <w:lang w:val="en-US"/>
        </w:rPr>
        <w:lastRenderedPageBreak/>
        <w:fldChar w:fldCharType="begin"/>
      </w:r>
      <w:r>
        <w:rPr>
          <w:lang w:val="en-US"/>
        </w:rPr>
        <w:instrText xml:space="preserve"> MACROBUTTON NUMBERING </w:instrText>
      </w:r>
      <w:r>
        <w:rPr>
          <w:lang w:val="en-US"/>
        </w:rPr>
        <w:fldChar w:fldCharType="begin"/>
      </w:r>
      <w:r>
        <w:rPr>
          <w:lang w:val="en-US"/>
        </w:rPr>
        <w:instrText xml:space="preserve"> SEQ  dpara</w:instrText>
      </w:r>
      <w:r>
        <w:rPr>
          <w:lang w:val="en-US"/>
        </w:rPr>
        <w:fldChar w:fldCharType="separate"/>
      </w:r>
      <w:r w:rsidR="002114FC">
        <w:rPr>
          <w:noProof/>
          <w:lang w:val="en-US"/>
        </w:rPr>
        <w:instrText>33</w:instrText>
      </w:r>
      <w:r>
        <w:rPr>
          <w:lang w:val="en-US"/>
        </w:rPr>
        <w:fldChar w:fldCharType="end"/>
      </w:r>
      <w:r>
        <w:rPr>
          <w:lang w:val="en-US"/>
        </w:rPr>
        <w:instrText>.</w:instrText>
      </w:r>
      <w:r>
        <w:rPr>
          <w:lang w:val="en-US"/>
        </w:rPr>
        <w:tab/>
      </w:r>
      <w:r>
        <w:rPr>
          <w:lang w:val="en-US"/>
        </w:rPr>
        <w:fldChar w:fldCharType="end"/>
      </w:r>
      <w:r w:rsidR="000774C2" w:rsidRPr="0064768D">
        <w:rPr>
          <w:lang w:val="en-US"/>
        </w:rPr>
        <w:t xml:space="preserve">The adjustment proceeds as </w:t>
      </w:r>
      <w:r w:rsidR="00765D3D" w:rsidRPr="0064768D">
        <w:rPr>
          <w:lang w:val="en-US"/>
        </w:rPr>
        <w:t>in the last section</w:t>
      </w:r>
      <w:r w:rsidR="000774C2" w:rsidRPr="0064768D">
        <w:rPr>
          <w:lang w:val="en-US"/>
        </w:rPr>
        <w:t xml:space="preserve">: </w:t>
      </w:r>
      <w:r w:rsidR="00636ACC" w:rsidRPr="0064768D">
        <w:rPr>
          <w:lang w:val="en-US"/>
        </w:rPr>
        <w:t xml:space="preserve">IDD </w:t>
      </w:r>
      <w:r w:rsidR="0052377F">
        <w:rPr>
          <w:lang w:val="en-US"/>
        </w:rPr>
        <w:t xml:space="preserve">data </w:t>
      </w:r>
      <w:r w:rsidR="00636ACC" w:rsidRPr="0064768D">
        <w:rPr>
          <w:lang w:val="en-US"/>
        </w:rPr>
        <w:t xml:space="preserve">are </w:t>
      </w:r>
      <w:r w:rsidR="0052377F">
        <w:rPr>
          <w:lang w:val="en-US"/>
        </w:rPr>
        <w:t xml:space="preserve">directly used to measure incomes </w:t>
      </w:r>
      <w:r w:rsidR="00636ACC" w:rsidRPr="0064768D">
        <w:rPr>
          <w:lang w:val="en-US"/>
        </w:rPr>
        <w:t xml:space="preserve">for the bottom 90% of the population. </w:t>
      </w:r>
      <w:r w:rsidR="00405B5A" w:rsidRPr="0064768D">
        <w:rPr>
          <w:lang w:val="en-US"/>
        </w:rPr>
        <w:t>S</w:t>
      </w:r>
      <w:r w:rsidR="00636ACC" w:rsidRPr="0064768D">
        <w:rPr>
          <w:lang w:val="en-US"/>
        </w:rPr>
        <w:t>tatistics for the richest 10% are retrieved from Pareto estimation</w:t>
      </w:r>
      <w:r w:rsidR="00321FF8" w:rsidRPr="0064768D">
        <w:rPr>
          <w:lang w:val="en-US"/>
        </w:rPr>
        <w:t>s</w:t>
      </w:r>
      <w:r w:rsidR="00636ACC" w:rsidRPr="0064768D">
        <w:rPr>
          <w:lang w:val="en-US"/>
        </w:rPr>
        <w:t xml:space="preserve"> and </w:t>
      </w:r>
      <w:r w:rsidR="002C4196">
        <w:rPr>
          <w:lang w:val="en-US"/>
        </w:rPr>
        <w:t>adjus</w:t>
      </w:r>
      <w:r w:rsidR="00636ACC" w:rsidRPr="0064768D">
        <w:rPr>
          <w:lang w:val="en-US"/>
        </w:rPr>
        <w:t>ted for the missing t</w:t>
      </w:r>
      <w:r w:rsidR="00405B5A" w:rsidRPr="0064768D">
        <w:rPr>
          <w:lang w:val="en-US"/>
        </w:rPr>
        <w:t>op incomes,</w:t>
      </w:r>
      <w:r w:rsidR="00636ACC" w:rsidRPr="0064768D">
        <w:rPr>
          <w:lang w:val="en-US"/>
        </w:rPr>
        <w:t xml:space="preserve"> </w:t>
      </w:r>
      <w:r w:rsidR="00405B5A" w:rsidRPr="0064768D">
        <w:rPr>
          <w:lang w:val="en-US"/>
        </w:rPr>
        <w:t>for each year and country</w:t>
      </w:r>
      <w:r w:rsidR="0052377F">
        <w:rPr>
          <w:lang w:val="en-US"/>
        </w:rPr>
        <w:t>, applying the above-presented West estimator</w:t>
      </w:r>
      <w:r w:rsidR="00770EE1">
        <w:rPr>
          <w:lang w:val="en-US"/>
        </w:rPr>
        <w:t>.</w:t>
      </w:r>
      <w:r w:rsidR="004A71E8">
        <w:rPr>
          <w:rStyle w:val="FootnoteReference"/>
          <w:lang w:val="en-US"/>
        </w:rPr>
        <w:footnoteReference w:id="12"/>
      </w:r>
      <w:r w:rsidR="00476C85" w:rsidRPr="0064768D">
        <w:rPr>
          <w:lang w:val="en-US"/>
        </w:rPr>
        <w:t xml:space="preserve"> </w:t>
      </w:r>
      <w:r w:rsidR="0052377F">
        <w:rPr>
          <w:lang w:val="en-US"/>
        </w:rPr>
        <w:t>This results in</w:t>
      </w:r>
      <w:r w:rsidR="000774C2" w:rsidRPr="0064768D">
        <w:rPr>
          <w:lang w:val="en-US"/>
        </w:rPr>
        <w:t xml:space="preserve"> a </w:t>
      </w:r>
      <w:r w:rsidR="00321FF8" w:rsidRPr="0064768D">
        <w:rPr>
          <w:lang w:val="en-US"/>
        </w:rPr>
        <w:t xml:space="preserve">new </w:t>
      </w:r>
      <w:r w:rsidR="000774C2" w:rsidRPr="0064768D">
        <w:rPr>
          <w:lang w:val="en-US"/>
        </w:rPr>
        <w:t xml:space="preserve">quantification of </w:t>
      </w:r>
      <w:r w:rsidR="00476C85" w:rsidRPr="0064768D">
        <w:rPr>
          <w:lang w:val="en-US"/>
        </w:rPr>
        <w:t>the level</w:t>
      </w:r>
      <w:r w:rsidR="00405B5A" w:rsidRPr="0064768D">
        <w:rPr>
          <w:lang w:val="en-US"/>
        </w:rPr>
        <w:t>s</w:t>
      </w:r>
      <w:r w:rsidR="00476C85" w:rsidRPr="0064768D">
        <w:rPr>
          <w:lang w:val="en-US"/>
        </w:rPr>
        <w:t xml:space="preserve"> and evolution</w:t>
      </w:r>
      <w:r w:rsidR="00405B5A" w:rsidRPr="0064768D">
        <w:rPr>
          <w:lang w:val="en-US"/>
        </w:rPr>
        <w:t>s</w:t>
      </w:r>
      <w:r w:rsidR="00476C85" w:rsidRPr="0064768D">
        <w:rPr>
          <w:lang w:val="en-US"/>
        </w:rPr>
        <w:t xml:space="preserve"> of </w:t>
      </w:r>
      <w:r w:rsidR="000774C2" w:rsidRPr="0064768D">
        <w:rPr>
          <w:lang w:val="en-US"/>
        </w:rPr>
        <w:t>inequality in OECD countries</w:t>
      </w:r>
      <w:r w:rsidR="00321FF8" w:rsidRPr="0064768D">
        <w:rPr>
          <w:lang w:val="en-US"/>
        </w:rPr>
        <w:t>.</w:t>
      </w:r>
    </w:p>
    <w:p w14:paraId="1F3C08F6" w14:textId="77777777" w:rsidR="00E46872" w:rsidRDefault="00DA5535" w:rsidP="00E46872">
      <w:pPr>
        <w:pStyle w:val="Heading3"/>
        <w:rPr>
          <w:lang w:val="en-US"/>
        </w:rPr>
      </w:pPr>
      <w:bookmarkStart w:id="47" w:name="_Toc416797629"/>
      <w:bookmarkStart w:id="48" w:name="_Toc416860233"/>
      <w:r>
        <w:rPr>
          <w:lang w:val="en-US"/>
        </w:rPr>
        <w:t>Effects of the adjustment on mean income</w:t>
      </w:r>
      <w:r w:rsidR="003320A0">
        <w:rPr>
          <w:lang w:val="en-US"/>
        </w:rPr>
        <w:t>s</w:t>
      </w:r>
      <w:bookmarkEnd w:id="47"/>
      <w:bookmarkEnd w:id="48"/>
    </w:p>
    <w:p w14:paraId="5D308B46" w14:textId="77777777" w:rsidR="001B476A" w:rsidRDefault="001B476A" w:rsidP="00476C85">
      <w:pPr>
        <w:pStyle w:val="Num-DocParagraph"/>
      </w:pPr>
      <w:r>
        <w:rPr>
          <w:lang w:val="en-US"/>
        </w:rPr>
        <w:fldChar w:fldCharType="begin"/>
      </w:r>
      <w:r>
        <w:rPr>
          <w:lang w:val="en-US"/>
        </w:rPr>
        <w:instrText xml:space="preserve"> MACROBUTTON NUMBERING </w:instrText>
      </w:r>
      <w:r>
        <w:rPr>
          <w:lang w:val="en-US"/>
        </w:rPr>
        <w:fldChar w:fldCharType="begin"/>
      </w:r>
      <w:r>
        <w:rPr>
          <w:lang w:val="en-US"/>
        </w:rPr>
        <w:instrText xml:space="preserve"> SEQ  dpara</w:instrText>
      </w:r>
      <w:r>
        <w:rPr>
          <w:lang w:val="en-US"/>
        </w:rPr>
        <w:fldChar w:fldCharType="separate"/>
      </w:r>
      <w:r w:rsidR="002114FC">
        <w:rPr>
          <w:noProof/>
          <w:lang w:val="en-US"/>
        </w:rPr>
        <w:instrText>34</w:instrText>
      </w:r>
      <w:r>
        <w:rPr>
          <w:lang w:val="en-US"/>
        </w:rPr>
        <w:fldChar w:fldCharType="end"/>
      </w:r>
      <w:r>
        <w:rPr>
          <w:lang w:val="en-US"/>
        </w:rPr>
        <w:instrText>.</w:instrText>
      </w:r>
      <w:r>
        <w:rPr>
          <w:lang w:val="en-US"/>
        </w:rPr>
        <w:tab/>
      </w:r>
      <w:r>
        <w:rPr>
          <w:lang w:val="en-US"/>
        </w:rPr>
        <w:fldChar w:fldCharType="end"/>
      </w:r>
      <w:r w:rsidR="002372B9">
        <w:rPr>
          <w:lang w:val="en-US"/>
        </w:rPr>
        <w:t>A</w:t>
      </w:r>
      <w:r w:rsidR="00A42612">
        <w:rPr>
          <w:lang w:val="en-US"/>
        </w:rPr>
        <w:t>djus</w:t>
      </w:r>
      <w:r w:rsidR="002372B9">
        <w:rPr>
          <w:lang w:val="en-US"/>
        </w:rPr>
        <w:t xml:space="preserve">ting </w:t>
      </w:r>
      <w:r w:rsidR="00765D3D">
        <w:rPr>
          <w:lang w:val="en-US"/>
        </w:rPr>
        <w:t>income distribution</w:t>
      </w:r>
      <w:r w:rsidR="002372B9">
        <w:rPr>
          <w:lang w:val="en-US"/>
        </w:rPr>
        <w:t>s</w:t>
      </w:r>
      <w:r w:rsidR="00765D3D">
        <w:rPr>
          <w:lang w:val="en-US"/>
        </w:rPr>
        <w:t xml:space="preserve"> </w:t>
      </w:r>
      <w:r w:rsidR="00A42612">
        <w:rPr>
          <w:lang w:val="en-US"/>
        </w:rPr>
        <w:t xml:space="preserve">for top incomes </w:t>
      </w:r>
      <w:r w:rsidR="002372B9">
        <w:rPr>
          <w:lang w:val="en-US"/>
        </w:rPr>
        <w:t>results in an</w:t>
      </w:r>
      <w:r w:rsidR="00A42612">
        <w:rPr>
          <w:lang w:val="en-US"/>
        </w:rPr>
        <w:t xml:space="preserve"> up-scaling of mean income, which makes income distributions sig</w:t>
      </w:r>
      <w:r w:rsidR="00385F3A">
        <w:rPr>
          <w:lang w:val="en-US"/>
        </w:rPr>
        <w:t>nificantly more skewed (Figure 4</w:t>
      </w:r>
      <w:r w:rsidR="00A42612">
        <w:rPr>
          <w:lang w:val="en-US"/>
        </w:rPr>
        <w:t xml:space="preserve">). </w:t>
      </w:r>
      <w:r w:rsidR="00FF0A3E">
        <w:rPr>
          <w:lang w:val="en-US"/>
        </w:rPr>
        <w:t>For instance, i</w:t>
      </w:r>
      <w:r w:rsidR="00B33FB5">
        <w:rPr>
          <w:lang w:val="en-US"/>
        </w:rPr>
        <w:t xml:space="preserve">n </w:t>
      </w:r>
      <w:r w:rsidR="002372B9">
        <w:rPr>
          <w:lang w:val="en-US"/>
        </w:rPr>
        <w:t xml:space="preserve">2010, </w:t>
      </w:r>
      <w:r w:rsidR="00B33FB5">
        <w:rPr>
          <w:lang w:val="en-US"/>
        </w:rPr>
        <w:t xml:space="preserve">the gap between mean and median incomes </w:t>
      </w:r>
      <w:r w:rsidR="00405B5A">
        <w:rPr>
          <w:lang w:val="en-US"/>
        </w:rPr>
        <w:t xml:space="preserve">was </w:t>
      </w:r>
      <w:r w:rsidR="003320A0">
        <w:rPr>
          <w:lang w:val="en-US"/>
        </w:rPr>
        <w:t>1.2</w:t>
      </w:r>
      <w:r w:rsidR="002372B9">
        <w:rPr>
          <w:lang w:val="en-US"/>
        </w:rPr>
        <w:t xml:space="preserve"> on average across the OECD</w:t>
      </w:r>
      <w:r w:rsidR="00405B5A">
        <w:rPr>
          <w:lang w:val="en-US"/>
        </w:rPr>
        <w:t>; w</w:t>
      </w:r>
      <w:r w:rsidR="00B33FB5">
        <w:rPr>
          <w:lang w:val="en-US"/>
        </w:rPr>
        <w:t>hen adjusted for top incomes, this gap is re</w:t>
      </w:r>
      <w:r w:rsidR="00FF0A3E">
        <w:rPr>
          <w:lang w:val="en-US"/>
        </w:rPr>
        <w:t>-</w:t>
      </w:r>
      <w:r w:rsidR="00B33FB5">
        <w:rPr>
          <w:lang w:val="en-US"/>
        </w:rPr>
        <w:t xml:space="preserve">evaluated at </w:t>
      </w:r>
      <w:r w:rsidR="003320A0">
        <w:rPr>
          <w:lang w:val="en-US"/>
        </w:rPr>
        <w:t>1.5</w:t>
      </w:r>
      <w:r w:rsidR="00504818">
        <w:rPr>
          <w:rStyle w:val="FootnoteReference"/>
          <w:lang w:val="en-US"/>
        </w:rPr>
        <w:footnoteReference w:id="13"/>
      </w:r>
      <w:r w:rsidR="008426B2">
        <w:t xml:space="preserve"> (</w:t>
      </w:r>
      <w:r w:rsidR="00FF0A3E">
        <w:t xml:space="preserve">from </w:t>
      </w:r>
      <w:r w:rsidR="003320A0">
        <w:t>1.1</w:t>
      </w:r>
      <w:r w:rsidR="00FF0A3E">
        <w:t xml:space="preserve"> to </w:t>
      </w:r>
      <w:r w:rsidR="003320A0">
        <w:t>1.4</w:t>
      </w:r>
      <w:r w:rsidR="00405B5A">
        <w:t xml:space="preserve"> in 2010)</w:t>
      </w:r>
      <w:r w:rsidR="00FF0A3E">
        <w:t>.</w:t>
      </w:r>
      <w:r w:rsidR="000F1E38">
        <w:t xml:space="preserve"> The most notable changes occur in Chile and Mexico and to a lesser extent in Israel, Turkey and the United States. </w:t>
      </w:r>
      <w:r w:rsidR="00361B81">
        <w:t>Generally</w:t>
      </w:r>
      <w:r w:rsidR="000F1E38">
        <w:t xml:space="preserve">, the more unequal a country is within the 99%, the larger </w:t>
      </w:r>
      <w:r w:rsidR="002C4196">
        <w:t>i</w:t>
      </w:r>
      <w:r w:rsidR="00D84F0C">
        <w:t>s</w:t>
      </w:r>
      <w:r w:rsidR="000F1E38">
        <w:t xml:space="preserve"> </w:t>
      </w:r>
      <w:r w:rsidR="002C4196">
        <w:t>the</w:t>
      </w:r>
      <w:r w:rsidR="000F1E38">
        <w:t xml:space="preserve"> adjustment for the top 1</w:t>
      </w:r>
      <w:r w:rsidR="00CB07D5">
        <w:t>%.</w:t>
      </w:r>
    </w:p>
    <w:p w14:paraId="33F973BC" w14:textId="33BE6D12" w:rsidR="00613E8C" w:rsidRDefault="000B0CC0" w:rsidP="00613E8C">
      <w:pPr>
        <w:pStyle w:val="FigureTitle"/>
      </w:pPr>
      <w:r>
        <w:lastRenderedPageBreak/>
        <w:t>Figure 4.</w:t>
      </w:r>
      <w:r>
        <w:tab/>
      </w:r>
      <w:r w:rsidR="00613E8C">
        <w:t>Adjusted vs. non-adjusted mean income (as a multiple of median income)</w:t>
      </w:r>
      <w:r w:rsidR="00613E8C">
        <w:fldChar w:fldCharType="begin"/>
      </w:r>
      <w:r w:rsidR="00613E8C">
        <w:instrText xml:space="preserve"> TC \f f \l 2 "</w:instrText>
      </w:r>
      <w:bookmarkStart w:id="49" w:name="_Toc416797096"/>
      <w:bookmarkStart w:id="50" w:name="_Toc416860586"/>
      <w:r w:rsidR="00613E8C">
        <w:instrText xml:space="preserve">Figure </w:instrText>
      </w:r>
      <w:r>
        <w:instrText>4</w:instrText>
      </w:r>
      <w:r w:rsidR="00613E8C">
        <w:instrText>.</w:instrText>
      </w:r>
      <w:r w:rsidR="00613E8C">
        <w:tab/>
        <w:instrText>Adjusted vs. non-adjusted mean income (as a multiple of median income)</w:instrText>
      </w:r>
      <w:bookmarkEnd w:id="49"/>
      <w:bookmarkEnd w:id="50"/>
      <w:r w:rsidR="00613E8C">
        <w:instrText xml:space="preserve">"  </w:instrText>
      </w:r>
      <w:r w:rsidR="00613E8C">
        <w:fldChar w:fldCharType="end"/>
      </w:r>
    </w:p>
    <w:p w14:paraId="54A60BDC" w14:textId="15EF077A" w:rsidR="00DD40B0" w:rsidRDefault="00DD40B0" w:rsidP="00DD40B0">
      <w:pPr>
        <w:pStyle w:val="Graphic"/>
        <w:rPr>
          <w:lang w:eastAsia="en-GB"/>
        </w:rPr>
      </w:pPr>
      <w:r>
        <w:rPr>
          <w:noProof/>
          <w:lang w:eastAsia="en-GB"/>
        </w:rPr>
        <w:drawing>
          <wp:inline distT="0" distB="0" distL="0" distR="0" wp14:anchorId="63E751E2" wp14:editId="3C3D478F">
            <wp:extent cx="5838825" cy="482917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8825" cy="4829175"/>
                    </a:xfrm>
                    <a:prstGeom prst="rect">
                      <a:avLst/>
                    </a:prstGeom>
                  </pic:spPr>
                </pic:pic>
              </a:graphicData>
            </a:graphic>
          </wp:inline>
        </w:drawing>
      </w:r>
    </w:p>
    <w:p w14:paraId="22ECA793" w14:textId="1CF37F09" w:rsidR="00ED761A" w:rsidRDefault="00613E8C" w:rsidP="00613E8C">
      <w:pPr>
        <w:pStyle w:val="Num-DocParagraph"/>
        <w:spacing w:after="0"/>
      </w:pPr>
      <w:r>
        <w:fldChar w:fldCharType="begin"/>
      </w:r>
      <w:r>
        <w:instrText xml:space="preserve"> MACROBUTTON NUMBERING </w:instrText>
      </w:r>
      <w:r>
        <w:fldChar w:fldCharType="begin"/>
      </w:r>
      <w:r>
        <w:instrText xml:space="preserve"> SEQ  dpara</w:instrText>
      </w:r>
      <w:r>
        <w:fldChar w:fldCharType="separate"/>
      </w:r>
      <w:r w:rsidR="002114FC">
        <w:rPr>
          <w:noProof/>
        </w:rPr>
        <w:instrText>35</w:instrText>
      </w:r>
      <w:r>
        <w:fldChar w:fldCharType="end"/>
      </w:r>
      <w:r>
        <w:instrText>.</w:instrText>
      </w:r>
      <w:r>
        <w:tab/>
      </w:r>
      <w:r>
        <w:fldChar w:fldCharType="end"/>
      </w:r>
      <w:r w:rsidR="00915914">
        <w:t xml:space="preserve">By construction the adjustment occurs in the last decile of each income distribution. The adjusted mean income of the richest 10% </w:t>
      </w:r>
      <w:r w:rsidR="00A36096">
        <w:t xml:space="preserve">thus </w:t>
      </w:r>
      <w:r w:rsidR="00915914">
        <w:t>provides an alternative way to gauge the magnitude</w:t>
      </w:r>
      <w:r w:rsidR="002E2D20">
        <w:t>s impl</w:t>
      </w:r>
      <w:r w:rsidR="002C4196">
        <w:t>ied</w:t>
      </w:r>
      <w:r w:rsidR="002E2D20">
        <w:t xml:space="preserve"> by the top incomes correction. Over time, there is no clear pattern in the magnitude of the adjustment (F</w:t>
      </w:r>
      <w:r w:rsidR="003811C2">
        <w:t>igure</w:t>
      </w:r>
      <w:r w:rsidR="00B62D59">
        <w:t> </w:t>
      </w:r>
      <w:r w:rsidR="003811C2">
        <w:t>5</w:t>
      </w:r>
      <w:r w:rsidR="00AC116E">
        <w:t xml:space="preserve"> and Annex</w:t>
      </w:r>
      <w:r w:rsidR="00B62D59">
        <w:t> </w:t>
      </w:r>
      <w:r w:rsidR="00AC116E">
        <w:t>2</w:t>
      </w:r>
      <w:r w:rsidR="002E2D20">
        <w:t>): it can continuously increase (Israel), decrease (Chile), remain broadly stable (Canada) or having a more erratic pattern (Mexico). The adjusted series disclose in fact some varying trends across countries, which were masked by the unadjusted series. For instance, in Chile the gap between the mean income of the richest 10% and the median income remains constant over time</w:t>
      </w:r>
      <w:r w:rsidR="00CB07D5">
        <w:t>,</w:t>
      </w:r>
      <w:r w:rsidR="002E2D20">
        <w:t xml:space="preserve"> </w:t>
      </w:r>
      <w:r w:rsidR="002C4196">
        <w:t xml:space="preserve">at </w:t>
      </w:r>
      <w:r w:rsidR="002E2D20">
        <w:t xml:space="preserve">around 7 between the </w:t>
      </w:r>
      <w:r w:rsidR="00CB07D5">
        <w:t>mid-199</w:t>
      </w:r>
      <w:r w:rsidR="002E2D20">
        <w:t xml:space="preserve">0s and 2011 </w:t>
      </w:r>
      <w:r w:rsidR="00CB07D5">
        <w:t>for</w:t>
      </w:r>
      <w:r w:rsidR="002E2D20">
        <w:t xml:space="preserve"> the unadjusted series</w:t>
      </w:r>
      <w:r w:rsidR="00361B81">
        <w:t>,</w:t>
      </w:r>
      <w:r w:rsidR="002E2D20">
        <w:t xml:space="preserve"> while the adjusted series reveals a declining trend</w:t>
      </w:r>
      <w:r w:rsidR="00A36096">
        <w:t>,</w:t>
      </w:r>
      <w:r w:rsidR="002E2D20">
        <w:t xml:space="preserve"> from 20 to 12. The reverse occurs for Israel</w:t>
      </w:r>
      <w:r w:rsidR="00CB07D5">
        <w:t>: while the unadjusted ratio remains close to 3 between the mid-198</w:t>
      </w:r>
      <w:r w:rsidR="00D274FB">
        <w:t>0s and 2011, the adjusted ratio</w:t>
      </w:r>
      <w:r w:rsidR="00CB07D5">
        <w:t xml:space="preserve"> displays a marked increase</w:t>
      </w:r>
      <w:r w:rsidR="00A36096">
        <w:t>,</w:t>
      </w:r>
      <w:r w:rsidR="00CB07D5">
        <w:t xml:space="preserve"> from 4.1 to 6.5.</w:t>
      </w:r>
    </w:p>
    <w:p w14:paraId="78A62AA9" w14:textId="285583A7" w:rsidR="00613E8C" w:rsidRDefault="000B0CC0" w:rsidP="00E9411D">
      <w:pPr>
        <w:pStyle w:val="FigureTitle"/>
        <w:spacing w:before="240" w:after="120"/>
      </w:pPr>
      <w:r>
        <w:lastRenderedPageBreak/>
        <w:t>Figure 5.</w:t>
      </w:r>
      <w:r>
        <w:tab/>
      </w:r>
      <w:r w:rsidR="00613E8C">
        <w:t>Adjusted vs. unadjusted top decile mean income for selected OECD countries (as a multiple of median income)</w:t>
      </w:r>
      <w:r w:rsidR="00613E8C">
        <w:fldChar w:fldCharType="begin"/>
      </w:r>
      <w:r w:rsidR="00613E8C">
        <w:instrText xml:space="preserve"> TC \f f \l 2 "</w:instrText>
      </w:r>
      <w:bookmarkStart w:id="51" w:name="_Toc416797097"/>
      <w:bookmarkStart w:id="52" w:name="_Toc416860587"/>
      <w:r w:rsidR="00613E8C">
        <w:instrText xml:space="preserve">Figure </w:instrText>
      </w:r>
      <w:r>
        <w:instrText>5</w:instrText>
      </w:r>
      <w:r w:rsidR="00613E8C">
        <w:instrText>.</w:instrText>
      </w:r>
      <w:r w:rsidR="00613E8C">
        <w:tab/>
        <w:instrText>Adjusted vs. unadjusted top decile mean income for selected OECD countries (as a multiple of median income)</w:instrText>
      </w:r>
      <w:bookmarkEnd w:id="51"/>
      <w:bookmarkEnd w:id="52"/>
      <w:r w:rsidR="00613E8C">
        <w:instrText xml:space="preserve">"  </w:instrText>
      </w:r>
      <w:r w:rsidR="00613E8C">
        <w:fldChar w:fldCharType="end"/>
      </w:r>
    </w:p>
    <w:p w14:paraId="23363713" w14:textId="5B350D85" w:rsidR="00613E8C" w:rsidRDefault="00613E8C" w:rsidP="00613E8C">
      <w:pPr>
        <w:pStyle w:val="Graphic"/>
      </w:pPr>
      <w:r>
        <w:rPr>
          <w:noProof/>
          <w:lang w:eastAsia="en-GB"/>
        </w:rPr>
        <w:drawing>
          <wp:inline distT="0" distB="0" distL="0" distR="0" wp14:anchorId="61BDCE2A" wp14:editId="7889D601">
            <wp:extent cx="4169229" cy="6651171"/>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76009" cy="6661987"/>
                    </a:xfrm>
                    <a:prstGeom prst="rect">
                      <a:avLst/>
                    </a:prstGeom>
                  </pic:spPr>
                </pic:pic>
              </a:graphicData>
            </a:graphic>
          </wp:inline>
        </w:drawing>
      </w:r>
    </w:p>
    <w:p w14:paraId="5B14D3D0" w14:textId="77777777" w:rsidR="00392266" w:rsidRDefault="00384A1A" w:rsidP="000A2406">
      <w:pPr>
        <w:pStyle w:val="Heading3"/>
      </w:pPr>
      <w:bookmarkStart w:id="53" w:name="_Toc416797630"/>
      <w:bookmarkStart w:id="54" w:name="_Toc416860234"/>
      <w:r>
        <w:t>Inequality across the 100%</w:t>
      </w:r>
      <w:bookmarkEnd w:id="53"/>
      <w:bookmarkEnd w:id="54"/>
    </w:p>
    <w:p w14:paraId="490EC008" w14:textId="77777777" w:rsidR="009777A2" w:rsidRDefault="009777A2" w:rsidP="000A2406">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36</w:instrText>
      </w:r>
      <w:r>
        <w:fldChar w:fldCharType="end"/>
      </w:r>
      <w:r>
        <w:instrText>.</w:instrText>
      </w:r>
      <w:r>
        <w:tab/>
      </w:r>
      <w:r>
        <w:fldChar w:fldCharType="end"/>
      </w:r>
      <w:r w:rsidR="002B6880">
        <w:rPr>
          <w:lang w:val="en-US"/>
        </w:rPr>
        <w:t xml:space="preserve">Adjusting income distributions for top incomes allows for a reassessment of the </w:t>
      </w:r>
      <w:r w:rsidR="00D274FB">
        <w:rPr>
          <w:lang w:val="en-US"/>
        </w:rPr>
        <w:t xml:space="preserve">official </w:t>
      </w:r>
      <w:r w:rsidR="002B6880">
        <w:rPr>
          <w:lang w:val="en-US"/>
        </w:rPr>
        <w:t>level</w:t>
      </w:r>
      <w:r w:rsidR="00D274FB">
        <w:rPr>
          <w:lang w:val="en-US"/>
        </w:rPr>
        <w:t>s</w:t>
      </w:r>
      <w:r w:rsidR="002B6880">
        <w:rPr>
          <w:lang w:val="en-US"/>
        </w:rPr>
        <w:t xml:space="preserve"> of</w:t>
      </w:r>
      <w:r w:rsidR="00D274FB">
        <w:rPr>
          <w:lang w:val="en-US"/>
        </w:rPr>
        <w:t xml:space="preserve"> </w:t>
      </w:r>
      <w:r w:rsidR="002B6880">
        <w:rPr>
          <w:lang w:val="en-US"/>
        </w:rPr>
        <w:t>inequality</w:t>
      </w:r>
      <w:r>
        <w:rPr>
          <w:lang w:val="en-US"/>
        </w:rPr>
        <w:t xml:space="preserve"> </w:t>
      </w:r>
      <w:r w:rsidR="002B6880">
        <w:rPr>
          <w:lang w:val="en-US"/>
        </w:rPr>
        <w:t xml:space="preserve">across countries. </w:t>
      </w:r>
      <w:r w:rsidR="00EF2B61">
        <w:t xml:space="preserve"> </w:t>
      </w:r>
      <w:r w:rsidR="00046C2F">
        <w:t>Summary m</w:t>
      </w:r>
      <w:r w:rsidR="009160EF">
        <w:t>easures</w:t>
      </w:r>
      <w:r w:rsidR="00046C2F">
        <w:t xml:space="preserve"> of income dispersions</w:t>
      </w:r>
      <w:r w:rsidR="00A13329">
        <w:t>,</w:t>
      </w:r>
      <w:r w:rsidR="00EF2B61">
        <w:t xml:space="preserve"> such as the</w:t>
      </w:r>
      <w:r w:rsidR="00F223BE">
        <w:t xml:space="preserve"> </w:t>
      </w:r>
      <w:r w:rsidR="00EF2B61">
        <w:t>Gini coefficient</w:t>
      </w:r>
      <w:r w:rsidR="00A13329">
        <w:t>,</w:t>
      </w:r>
      <w:r w:rsidR="00EF2B61">
        <w:t xml:space="preserve"> </w:t>
      </w:r>
      <w:r w:rsidR="00046C2F">
        <w:t>risk under-estimating the “true” level of inequality when applied to unadjusted series, as</w:t>
      </w:r>
      <w:r w:rsidR="008B5A42">
        <w:t xml:space="preserve"> the latter</w:t>
      </w:r>
      <w:r w:rsidR="00046C2F">
        <w:t xml:space="preserve"> basically fail</w:t>
      </w:r>
      <w:r w:rsidR="00D16C98">
        <w:t xml:space="preserve"> </w:t>
      </w:r>
      <w:r w:rsidR="00046C2F">
        <w:t xml:space="preserve">to cover </w:t>
      </w:r>
      <w:r w:rsidR="00D16C98">
        <w:t>top incomes</w:t>
      </w:r>
      <w:r w:rsidR="00A13329">
        <w:t>.</w:t>
      </w:r>
      <w:r w:rsidR="00D16C98">
        <w:t xml:space="preserve"> </w:t>
      </w:r>
      <w:r w:rsidR="00C42530">
        <w:t>Indeed, the m</w:t>
      </w:r>
      <w:r>
        <w:t xml:space="preserve">ain findings from this adjustment can be summarised as follows: </w:t>
      </w:r>
    </w:p>
    <w:p w14:paraId="55E9DB35" w14:textId="77777777" w:rsidR="009777A2" w:rsidRDefault="009777A2" w:rsidP="001A22AD">
      <w:pPr>
        <w:pStyle w:val="ListBullet"/>
        <w:numPr>
          <w:ilvl w:val="0"/>
          <w:numId w:val="16"/>
        </w:numPr>
        <w:spacing w:after="120"/>
      </w:pPr>
      <w:r w:rsidRPr="009777A2">
        <w:lastRenderedPageBreak/>
        <w:t>The</w:t>
      </w:r>
      <w:r w:rsidR="00A13329" w:rsidRPr="009777A2">
        <w:t xml:space="preserve"> Gini coefficient increases by 6 percentage points, from 0.31 to 0.37, o</w:t>
      </w:r>
      <w:r w:rsidR="00D274FB">
        <w:t>n average across OECD countries</w:t>
      </w:r>
      <w:r w:rsidR="00A13329" w:rsidRPr="009777A2">
        <w:t xml:space="preserve"> when the data are </w:t>
      </w:r>
      <w:r w:rsidR="00D16C98" w:rsidRPr="009777A2">
        <w:t>adjust</w:t>
      </w:r>
      <w:r w:rsidR="00A13329" w:rsidRPr="009777A2">
        <w:t>ed</w:t>
      </w:r>
      <w:r w:rsidR="00F223BE" w:rsidRPr="009777A2">
        <w:t xml:space="preserve"> </w:t>
      </w:r>
      <w:r w:rsidR="00803928" w:rsidRPr="009777A2">
        <w:t xml:space="preserve">for top </w:t>
      </w:r>
      <w:r w:rsidR="00A13329" w:rsidRPr="009777A2">
        <w:t>incomes</w:t>
      </w:r>
      <w:r w:rsidR="003811C2">
        <w:t xml:space="preserve"> (Figure 6</w:t>
      </w:r>
      <w:r w:rsidR="00D16C98" w:rsidRPr="009777A2">
        <w:t>).</w:t>
      </w:r>
      <w:r w:rsidR="00F97DB1" w:rsidRPr="009777A2">
        <w:t xml:space="preserve"> </w:t>
      </w:r>
      <w:r w:rsidR="006D354F" w:rsidRPr="009777A2">
        <w:t xml:space="preserve">Stated otherwise, the top incomes-adjusted level of inequality in OECD countries is on average equivalent to the level of inequality </w:t>
      </w:r>
      <w:r w:rsidR="00604F9D" w:rsidRPr="009777A2">
        <w:t xml:space="preserve">prevailing </w:t>
      </w:r>
      <w:r w:rsidR="006D354F" w:rsidRPr="009777A2">
        <w:t>in the United States</w:t>
      </w:r>
      <w:r w:rsidR="00604F9D" w:rsidRPr="009777A2">
        <w:t xml:space="preserve"> before </w:t>
      </w:r>
      <w:r w:rsidR="00D039E5" w:rsidRPr="009777A2">
        <w:t xml:space="preserve">the </w:t>
      </w:r>
      <w:r w:rsidR="00604F9D" w:rsidRPr="009777A2">
        <w:t>adjustment</w:t>
      </w:r>
      <w:r w:rsidR="006D354F" w:rsidRPr="009777A2">
        <w:t>.</w:t>
      </w:r>
    </w:p>
    <w:p w14:paraId="078B541A" w14:textId="69AC0B3E" w:rsidR="00E72248" w:rsidRDefault="009777A2" w:rsidP="001A22AD">
      <w:pPr>
        <w:pStyle w:val="ListBullet"/>
        <w:numPr>
          <w:ilvl w:val="0"/>
          <w:numId w:val="16"/>
        </w:numPr>
        <w:spacing w:after="120"/>
      </w:pPr>
      <w:r>
        <w:t>The</w:t>
      </w:r>
      <w:r w:rsidR="006163AA" w:rsidRPr="009777A2">
        <w:t xml:space="preserve"> ratio of </w:t>
      </w:r>
      <w:r w:rsidR="00803928" w:rsidRPr="009777A2">
        <w:t>mean incomes</w:t>
      </w:r>
      <w:r w:rsidR="006163AA" w:rsidRPr="009777A2">
        <w:t xml:space="preserve"> </w:t>
      </w:r>
      <w:r w:rsidR="00803928" w:rsidRPr="009777A2">
        <w:t xml:space="preserve">of the </w:t>
      </w:r>
      <w:r w:rsidR="006163AA" w:rsidRPr="009777A2">
        <w:t xml:space="preserve">richest </w:t>
      </w:r>
      <w:r w:rsidR="00D039E5" w:rsidRPr="009777A2">
        <w:t xml:space="preserve">to </w:t>
      </w:r>
      <w:r w:rsidR="006163AA" w:rsidRPr="009777A2">
        <w:t>the poorest 10</w:t>
      </w:r>
      <w:r w:rsidRPr="009777A2">
        <w:t>%</w:t>
      </w:r>
      <w:r>
        <w:t xml:space="preserve"> </w:t>
      </w:r>
      <w:r w:rsidRPr="009777A2">
        <w:t>increases from 10 to 15</w:t>
      </w:r>
      <w:r>
        <w:t xml:space="preserve">, </w:t>
      </w:r>
      <w:r w:rsidR="006163AA" w:rsidRPr="009777A2">
        <w:t>on average</w:t>
      </w:r>
      <w:r w:rsidR="00514432" w:rsidRPr="009777A2">
        <w:t xml:space="preserve"> across OECD </w:t>
      </w:r>
      <w:r w:rsidRPr="009777A2">
        <w:t>countries</w:t>
      </w:r>
      <w:r w:rsidR="00514432" w:rsidRPr="009777A2">
        <w:t xml:space="preserve">. This </w:t>
      </w:r>
      <w:r w:rsidR="00DF1760" w:rsidRPr="009777A2">
        <w:t xml:space="preserve">inequality </w:t>
      </w:r>
      <w:r w:rsidR="00514432" w:rsidRPr="009777A2">
        <w:t xml:space="preserve">measure is most sensitive to top incomes and the average adjustment masks substantive heterogeneity across countries: </w:t>
      </w:r>
      <w:r w:rsidR="00DF1760" w:rsidRPr="009777A2">
        <w:t xml:space="preserve">the incomes of the richest 10% are </w:t>
      </w:r>
      <w:r w:rsidR="00B62D59">
        <w:t>six</w:t>
      </w:r>
      <w:r w:rsidR="00DF1760" w:rsidRPr="009777A2">
        <w:t xml:space="preserve"> times higher than those of the poorest 10% instead of </w:t>
      </w:r>
      <w:r w:rsidR="00B62D59">
        <w:t>five</w:t>
      </w:r>
      <w:r w:rsidR="00DF1760" w:rsidRPr="009777A2">
        <w:t xml:space="preserve"> times higher in Denmark – a relatively negligible under</w:t>
      </w:r>
      <w:r w:rsidR="00C42530">
        <w:t>-estimation</w:t>
      </w:r>
      <w:r w:rsidR="00DF1760" w:rsidRPr="009777A2">
        <w:t xml:space="preserve">; at the opposite </w:t>
      </w:r>
      <w:r w:rsidR="00C42530">
        <w:t xml:space="preserve">end of the </w:t>
      </w:r>
      <w:r w:rsidR="00DF1760" w:rsidRPr="009777A2">
        <w:t>spectrum, the incomes of the richest 10% are 64 times higher than those of the poorest 10% instead of 29</w:t>
      </w:r>
      <w:r w:rsidR="00B62D59">
        <w:t> </w:t>
      </w:r>
      <w:r w:rsidR="00DF1760" w:rsidRPr="009777A2">
        <w:t>times higher in Mexico – a dramatic unde</w:t>
      </w:r>
      <w:r w:rsidR="00C42530">
        <w:t>r-estimation</w:t>
      </w:r>
      <w:r w:rsidR="00DF1760" w:rsidRPr="009777A2">
        <w:t xml:space="preserve"> </w:t>
      </w:r>
      <w:r w:rsidR="003811C2">
        <w:t>(Figure 6</w:t>
      </w:r>
      <w:r w:rsidR="006163AA" w:rsidRPr="009777A2">
        <w:t>).</w:t>
      </w:r>
    </w:p>
    <w:p w14:paraId="072626BE" w14:textId="02473037" w:rsidR="000A2406" w:rsidRDefault="002000C2" w:rsidP="00A82BAF">
      <w:pPr>
        <w:pStyle w:val="ListBullet"/>
        <w:numPr>
          <w:ilvl w:val="0"/>
          <w:numId w:val="16"/>
        </w:numPr>
      </w:pPr>
      <w:r>
        <w:t>C</w:t>
      </w:r>
      <w:r w:rsidR="00E72248">
        <w:t xml:space="preserve">ountry rankings remain </w:t>
      </w:r>
      <w:r>
        <w:t xml:space="preserve">however </w:t>
      </w:r>
      <w:r w:rsidR="00E72248">
        <w:t xml:space="preserve">broadly unaltered following the adjustment, whatever the indicator considered. </w:t>
      </w:r>
      <w:r w:rsidR="00E804FE" w:rsidRPr="00E72248">
        <w:t xml:space="preserve"> </w:t>
      </w:r>
    </w:p>
    <w:p w14:paraId="0E52771D" w14:textId="09536235" w:rsidR="001A22AD" w:rsidRDefault="000B0CC0" w:rsidP="001A22AD">
      <w:pPr>
        <w:pStyle w:val="FigureTitle"/>
        <w:spacing w:after="120"/>
      </w:pPr>
      <w:r>
        <w:t>Figure 6.</w:t>
      </w:r>
      <w:r>
        <w:tab/>
      </w:r>
      <w:r w:rsidR="001A22AD">
        <w:t>Impact of the adjustment on standard indexes of income inequality</w:t>
      </w:r>
      <w:r w:rsidR="001A22AD">
        <w:fldChar w:fldCharType="begin"/>
      </w:r>
      <w:r w:rsidR="001A22AD">
        <w:instrText xml:space="preserve"> TC \f f \l 2 "</w:instrText>
      </w:r>
      <w:bookmarkStart w:id="55" w:name="_Toc416797098"/>
      <w:bookmarkStart w:id="56" w:name="_Toc416860588"/>
      <w:r w:rsidR="001A22AD">
        <w:instrText xml:space="preserve">Figure </w:instrText>
      </w:r>
      <w:r>
        <w:instrText>6</w:instrText>
      </w:r>
      <w:r w:rsidR="001A22AD">
        <w:instrText>.</w:instrText>
      </w:r>
      <w:r w:rsidR="001A22AD">
        <w:tab/>
        <w:instrText>Impact of the adjustment on standard indexes of income inequality</w:instrText>
      </w:r>
      <w:bookmarkEnd w:id="55"/>
      <w:bookmarkEnd w:id="56"/>
      <w:r w:rsidR="001A22AD">
        <w:instrText xml:space="preserve">"  </w:instrText>
      </w:r>
      <w:r w:rsidR="001A22AD">
        <w:fldChar w:fldCharType="end"/>
      </w:r>
    </w:p>
    <w:p w14:paraId="7AA84B03" w14:textId="3AA25C35" w:rsidR="001A22AD" w:rsidRDefault="001A22AD" w:rsidP="001A22AD">
      <w:pPr>
        <w:pStyle w:val="FigureSub-title"/>
      </w:pPr>
      <w:r>
        <w:t>Around 2010</w:t>
      </w:r>
    </w:p>
    <w:p w14:paraId="01B83AB2" w14:textId="194CFE1D" w:rsidR="001A22AD" w:rsidRDefault="001A22AD" w:rsidP="00A82BAF">
      <w:pPr>
        <w:pStyle w:val="Graphic"/>
      </w:pPr>
      <w:r>
        <w:rPr>
          <w:noProof/>
          <w:lang w:eastAsia="en-GB"/>
        </w:rPr>
        <w:drawing>
          <wp:inline distT="0" distB="0" distL="0" distR="0" wp14:anchorId="70E82FCD" wp14:editId="167ECB61">
            <wp:extent cx="5867400" cy="465772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67400" cy="4657725"/>
                    </a:xfrm>
                    <a:prstGeom prst="rect">
                      <a:avLst/>
                    </a:prstGeom>
                  </pic:spPr>
                </pic:pic>
              </a:graphicData>
            </a:graphic>
          </wp:inline>
        </w:drawing>
      </w:r>
    </w:p>
    <w:p w14:paraId="3437ADD9" w14:textId="74653E94" w:rsidR="00B73141" w:rsidRDefault="00B73141" w:rsidP="00A82BAF">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37</w:instrText>
      </w:r>
      <w:r>
        <w:fldChar w:fldCharType="end"/>
      </w:r>
      <w:r>
        <w:instrText>.</w:instrText>
      </w:r>
      <w:r>
        <w:tab/>
      </w:r>
      <w:r>
        <w:fldChar w:fldCharType="end"/>
      </w:r>
      <w:r w:rsidR="00D274FB">
        <w:t>A</w:t>
      </w:r>
      <w:r w:rsidR="00D274FB" w:rsidRPr="00C661E4">
        <w:rPr>
          <w:lang w:val="en-US"/>
        </w:rPr>
        <w:t>djusting</w:t>
      </w:r>
      <w:r w:rsidR="009777A2" w:rsidRPr="00C661E4">
        <w:rPr>
          <w:lang w:val="en-US"/>
        </w:rPr>
        <w:t xml:space="preserve"> income distributions for top incomes allows </w:t>
      </w:r>
      <w:r w:rsidR="00D274FB">
        <w:rPr>
          <w:lang w:val="en-US"/>
        </w:rPr>
        <w:t xml:space="preserve">also </w:t>
      </w:r>
      <w:r w:rsidR="009777A2" w:rsidRPr="00C661E4">
        <w:rPr>
          <w:lang w:val="en-US"/>
        </w:rPr>
        <w:t xml:space="preserve">for a reassessment of the </w:t>
      </w:r>
      <w:r w:rsidR="005B0C0B" w:rsidRPr="00C661E4">
        <w:rPr>
          <w:lang w:val="en-US"/>
        </w:rPr>
        <w:t>evolution</w:t>
      </w:r>
      <w:r w:rsidR="009777A2" w:rsidRPr="00C661E4">
        <w:rPr>
          <w:lang w:val="en-US"/>
        </w:rPr>
        <w:t xml:space="preserve"> of inequality.</w:t>
      </w:r>
      <w:r w:rsidR="008C63D9" w:rsidRPr="00C661E4">
        <w:rPr>
          <w:lang w:val="en-US"/>
        </w:rPr>
        <w:t xml:space="preserve"> </w:t>
      </w:r>
      <w:r w:rsidR="00845DE1" w:rsidRPr="00C661E4">
        <w:rPr>
          <w:lang w:val="en-US"/>
        </w:rPr>
        <w:t>Such a</w:t>
      </w:r>
      <w:r w:rsidR="008B5A42">
        <w:rPr>
          <w:lang w:val="en-US"/>
        </w:rPr>
        <w:t>ssess</w:t>
      </w:r>
      <w:r w:rsidR="00845DE1" w:rsidRPr="00C661E4">
        <w:rPr>
          <w:lang w:val="en-US"/>
        </w:rPr>
        <w:t xml:space="preserve">ment is </w:t>
      </w:r>
      <w:r w:rsidR="00C661E4" w:rsidRPr="00C661E4">
        <w:rPr>
          <w:lang w:val="en-US"/>
        </w:rPr>
        <w:t>performed here</w:t>
      </w:r>
      <w:r w:rsidR="00845DE1" w:rsidRPr="00C661E4">
        <w:rPr>
          <w:lang w:val="en-US"/>
        </w:rPr>
        <w:t xml:space="preserve"> on the basis of a more comprehensive and </w:t>
      </w:r>
      <w:r w:rsidR="00C661E4">
        <w:rPr>
          <w:lang w:val="en-US"/>
        </w:rPr>
        <w:t xml:space="preserve">granular </w:t>
      </w:r>
      <w:r w:rsidR="00845DE1" w:rsidRPr="00C661E4">
        <w:lastRenderedPageBreak/>
        <w:t xml:space="preserve">approach for </w:t>
      </w:r>
      <w:r w:rsidR="008B5A42">
        <w:t>measur</w:t>
      </w:r>
      <w:r w:rsidR="00845DE1" w:rsidRPr="00C661E4">
        <w:t xml:space="preserve">ing inequality than that based on </w:t>
      </w:r>
      <w:r w:rsidR="00C661E4">
        <w:t>summary indexes</w:t>
      </w:r>
      <w:r w:rsidR="00845DE1" w:rsidRPr="00C661E4">
        <w:t xml:space="preserve">, </w:t>
      </w:r>
      <w:r w:rsidR="00C661E4">
        <w:t xml:space="preserve">i.e. </w:t>
      </w:r>
      <w:r w:rsidR="00DF15A2" w:rsidRPr="00C661E4">
        <w:t>through general mean curves</w:t>
      </w:r>
      <w:r w:rsidR="00770EE1">
        <w:t>.</w:t>
      </w:r>
      <w:r w:rsidR="001F6E8E">
        <w:rPr>
          <w:rStyle w:val="FootnoteReference"/>
        </w:rPr>
        <w:footnoteReference w:id="14"/>
      </w:r>
      <w:r w:rsidR="00770EE1">
        <w:t xml:space="preserve"> </w:t>
      </w:r>
      <w:r w:rsidR="00C661E4">
        <w:t>This allows for</w:t>
      </w:r>
      <w:r w:rsidR="00C661E4" w:rsidRPr="00C661E4">
        <w:t xml:space="preserve"> </w:t>
      </w:r>
      <w:r w:rsidR="00DF15A2" w:rsidRPr="00C661E4">
        <w:t>visuali</w:t>
      </w:r>
      <w:r w:rsidR="00B62D59">
        <w:t>s</w:t>
      </w:r>
      <w:r w:rsidR="00DF15A2" w:rsidRPr="00C661E4">
        <w:t>ing the broad evolution of inequality but also associated profiles, i.e. the sources and patterns of changing inequality within each country</w:t>
      </w:r>
      <w:r w:rsidR="00DF15A2" w:rsidRPr="00387C40">
        <w:t>.</w:t>
      </w:r>
      <w:r w:rsidRPr="00B73141">
        <w:t xml:space="preserve"> </w:t>
      </w:r>
      <w:r>
        <w:t>Main findings from this adjustment can be summarised as follows</w:t>
      </w:r>
      <w:r w:rsidR="00C06FCB">
        <w:t xml:space="preserve">, focusing on the period between </w:t>
      </w:r>
      <w:r w:rsidR="0011251D">
        <w:t>mid-1990s to late 2000s</w:t>
      </w:r>
      <w:r w:rsidR="009976D0">
        <w:t xml:space="preserve"> (Figure 7</w:t>
      </w:r>
      <w:r w:rsidR="00D274FB">
        <w:t xml:space="preserve"> and Annex 3</w:t>
      </w:r>
      <w:r w:rsidR="00C66E35">
        <w:t>)</w:t>
      </w:r>
      <w:r w:rsidR="00C06FCB">
        <w:t>:</w:t>
      </w:r>
      <w:r>
        <w:t xml:space="preserve"> </w:t>
      </w:r>
    </w:p>
    <w:p w14:paraId="571536C5" w14:textId="77777777" w:rsidR="00B73141" w:rsidRDefault="00B73141" w:rsidP="00C42530">
      <w:pPr>
        <w:pStyle w:val="ListBullet"/>
        <w:numPr>
          <w:ilvl w:val="0"/>
          <w:numId w:val="16"/>
        </w:numPr>
      </w:pPr>
      <w:r>
        <w:t xml:space="preserve">For the majority of OECD countries, </w:t>
      </w:r>
      <w:r w:rsidR="00EA3123">
        <w:t>trends in income inequality</w:t>
      </w:r>
      <w:r w:rsidR="00EA3123" w:rsidRPr="00B73141">
        <w:t xml:space="preserve"> </w:t>
      </w:r>
      <w:r w:rsidR="00EA3123" w:rsidRPr="000D79E2">
        <w:t>across the 100% remain</w:t>
      </w:r>
      <w:r>
        <w:t xml:space="preserve"> </w:t>
      </w:r>
      <w:r w:rsidRPr="000D79E2">
        <w:t xml:space="preserve">qualitatively unchanged </w:t>
      </w:r>
      <w:r>
        <w:t xml:space="preserve">compared </w:t>
      </w:r>
      <w:r w:rsidRPr="000D79E2">
        <w:t>to those derived from the 99%</w:t>
      </w:r>
      <w:r w:rsidR="00EA3123">
        <w:t>. T</w:t>
      </w:r>
      <w:r w:rsidR="00EA3123" w:rsidRPr="000D79E2">
        <w:t xml:space="preserve">he upper portion of general means curves </w:t>
      </w:r>
      <w:r w:rsidR="00C06FCB">
        <w:t>is</w:t>
      </w:r>
      <w:r w:rsidR="00EA3123" w:rsidRPr="000D79E2">
        <w:t xml:space="preserve"> tilted upward </w:t>
      </w:r>
      <w:r w:rsidR="00EA3123">
        <w:t>in countries where top incomes have been experiencing stronger</w:t>
      </w:r>
      <w:r w:rsidR="00F7098E">
        <w:t xml:space="preserve"> relative income gains</w:t>
      </w:r>
      <w:r w:rsidR="00EA3123">
        <w:t xml:space="preserve"> </w:t>
      </w:r>
      <w:r w:rsidR="00F7098E">
        <w:t>and downward</w:t>
      </w:r>
      <w:r w:rsidR="00F7098E" w:rsidRPr="000D79E2">
        <w:t xml:space="preserve"> </w:t>
      </w:r>
      <w:r w:rsidR="00F7098E">
        <w:t xml:space="preserve">in countries where top incomes have been experiencing </w:t>
      </w:r>
      <w:r w:rsidR="00C06FCB">
        <w:t>weaker</w:t>
      </w:r>
      <w:r w:rsidR="00F7098E">
        <w:t xml:space="preserve"> relative income gains. </w:t>
      </w:r>
      <w:r w:rsidR="00C06FCB">
        <w:t>T</w:t>
      </w:r>
      <w:r w:rsidR="00F7098E">
        <w:t>he</w:t>
      </w:r>
      <w:r w:rsidR="00EA3123" w:rsidRPr="000D79E2">
        <w:t xml:space="preserve"> overall profile</w:t>
      </w:r>
      <w:r w:rsidR="00EA3123">
        <w:t>s</w:t>
      </w:r>
      <w:r w:rsidR="00EA3123" w:rsidRPr="000D79E2">
        <w:t xml:space="preserve"> of the curves remain </w:t>
      </w:r>
      <w:r w:rsidR="00EA3123">
        <w:t>the same</w:t>
      </w:r>
      <w:r w:rsidR="00F7098E">
        <w:t>, indicating the same qualitative evolution of income dispersion. Nevertheless, t</w:t>
      </w:r>
      <w:r w:rsidR="00F7098E" w:rsidRPr="00F7098E">
        <w:t xml:space="preserve">he magnitudes </w:t>
      </w:r>
      <w:r w:rsidR="00F7098E">
        <w:t xml:space="preserve">involved are </w:t>
      </w:r>
      <w:r w:rsidR="00F7098E" w:rsidRPr="00F7098E">
        <w:t xml:space="preserve">quite different </w:t>
      </w:r>
      <w:r w:rsidR="00C06FCB">
        <w:t>when</w:t>
      </w:r>
      <w:r w:rsidR="00F7098E" w:rsidRPr="00F7098E">
        <w:t xml:space="preserve"> accounting for top income developments</w:t>
      </w:r>
      <w:r w:rsidR="00F7098E">
        <w:t xml:space="preserve">: </w:t>
      </w:r>
      <w:r w:rsidR="00633B1F">
        <w:t>the rise in inequality is much more pronounced in Japan, Spain and the United States</w:t>
      </w:r>
      <w:r w:rsidR="00C06FCB">
        <w:t xml:space="preserve"> and much less in Australia and </w:t>
      </w:r>
      <w:r w:rsidR="00EA787B">
        <w:t>Austria</w:t>
      </w:r>
      <w:r w:rsidR="00C06FCB">
        <w:t>; the</w:t>
      </w:r>
      <w:r w:rsidR="00633B1F">
        <w:t xml:space="preserve"> decline in inequality </w:t>
      </w:r>
      <w:r w:rsidR="00C06FCB">
        <w:t xml:space="preserve">is </w:t>
      </w:r>
      <w:r w:rsidR="00EA787B">
        <w:t>more pronounced</w:t>
      </w:r>
      <w:r w:rsidR="00C06FCB">
        <w:t xml:space="preserve"> </w:t>
      </w:r>
      <w:r w:rsidR="00633B1F">
        <w:t>in Chile</w:t>
      </w:r>
      <w:r w:rsidR="00C06FCB">
        <w:t xml:space="preserve"> and Italy.</w:t>
      </w:r>
    </w:p>
    <w:p w14:paraId="63E314B5" w14:textId="3916983E" w:rsidR="00881B0F" w:rsidRDefault="00C06FCB" w:rsidP="00C42530">
      <w:pPr>
        <w:pStyle w:val="ListBullet"/>
        <w:numPr>
          <w:ilvl w:val="0"/>
          <w:numId w:val="16"/>
        </w:numPr>
      </w:pPr>
      <w:r w:rsidRPr="00881B0F">
        <w:t xml:space="preserve">For some </w:t>
      </w:r>
      <w:r w:rsidR="0011251D" w:rsidRPr="00881B0F">
        <w:t xml:space="preserve">OECD </w:t>
      </w:r>
      <w:r w:rsidRPr="00881B0F">
        <w:t xml:space="preserve">countries, trends in income inequality across the 100% are </w:t>
      </w:r>
      <w:r w:rsidR="00881B0F" w:rsidRPr="00881B0F">
        <w:t xml:space="preserve">even </w:t>
      </w:r>
      <w:r w:rsidRPr="00881B0F">
        <w:t xml:space="preserve">qualitatively different </w:t>
      </w:r>
      <w:r w:rsidR="002953EC">
        <w:t>from</w:t>
      </w:r>
      <w:r w:rsidRPr="00881B0F">
        <w:t xml:space="preserve"> those derived from the 99%. </w:t>
      </w:r>
      <w:r w:rsidR="00881B0F">
        <w:t>Ireland and the United Kingdom</w:t>
      </w:r>
      <w:r w:rsidR="001F0F6A">
        <w:t xml:space="preserve"> share a similar pattern</w:t>
      </w:r>
      <w:r w:rsidR="00881B0F">
        <w:t xml:space="preserve">: </w:t>
      </w:r>
      <w:r w:rsidR="002953EC">
        <w:t xml:space="preserve">while </w:t>
      </w:r>
      <w:r w:rsidR="00881B0F">
        <w:t xml:space="preserve">the unadjusted curves point to a trend increase in </w:t>
      </w:r>
      <w:r w:rsidR="00881B0F" w:rsidRPr="00881B0F">
        <w:t>income dispersion over the last 15 years</w:t>
      </w:r>
      <w:r w:rsidR="001F0F6A">
        <w:t xml:space="preserve">, </w:t>
      </w:r>
      <w:r w:rsidR="00881B0F">
        <w:t xml:space="preserve">the </w:t>
      </w:r>
      <w:r w:rsidR="002D0602">
        <w:t xml:space="preserve">adjusted </w:t>
      </w:r>
      <w:r w:rsidR="002D0602" w:rsidRPr="00881B0F">
        <w:t>curves</w:t>
      </w:r>
      <w:r w:rsidR="001F0F6A">
        <w:t xml:space="preserve"> </w:t>
      </w:r>
      <w:r w:rsidR="002953EC">
        <w:t>indicate</w:t>
      </w:r>
      <w:r w:rsidR="00881B0F">
        <w:t xml:space="preserve"> a more nuanced and granular trend whereby households in the middle class have been experiencing strongest income gains relative to both rich and poor households.</w:t>
      </w:r>
      <w:r w:rsidR="002D0602">
        <w:t xml:space="preserve"> In the case of France, adjusting for top income developments results in a notable flattening of the curve </w:t>
      </w:r>
      <w:r w:rsidR="00EA787B">
        <w:t>which delivers a different assessment of inequality developments, i.e. that income dispersion has remained broadly unchanged between the mid-90s and late-2000s</w:t>
      </w:r>
      <w:r w:rsidR="002953EC">
        <w:t xml:space="preserve"> rather than rising</w:t>
      </w:r>
      <w:r w:rsidR="00EA787B">
        <w:t xml:space="preserve">. </w:t>
      </w:r>
    </w:p>
    <w:p w14:paraId="110AE4C6" w14:textId="663FD855" w:rsidR="00E9411D" w:rsidRDefault="000B0CC0" w:rsidP="00E9411D">
      <w:pPr>
        <w:pStyle w:val="FigureTitle"/>
      </w:pPr>
      <w:r>
        <w:lastRenderedPageBreak/>
        <w:t>Figure 7.</w:t>
      </w:r>
      <w:r>
        <w:tab/>
      </w:r>
      <w:r w:rsidR="00E9411D">
        <w:t>Growth in household income across the distribution between the mid-1990s and late 2000s : selected countries</w:t>
      </w:r>
      <w:r w:rsidR="00E9411D">
        <w:fldChar w:fldCharType="begin"/>
      </w:r>
      <w:r w:rsidR="00E9411D">
        <w:instrText xml:space="preserve"> TC \f f \l 2 "</w:instrText>
      </w:r>
      <w:bookmarkStart w:id="57" w:name="_Toc416797099"/>
      <w:bookmarkStart w:id="58" w:name="_Toc416860589"/>
      <w:r w:rsidR="00E9411D">
        <w:instrText xml:space="preserve">Figure </w:instrText>
      </w:r>
      <w:r>
        <w:instrText>7</w:instrText>
      </w:r>
      <w:r w:rsidR="00E9411D">
        <w:instrText>.</w:instrText>
      </w:r>
      <w:r w:rsidR="00E9411D">
        <w:tab/>
      </w:r>
      <w:r>
        <w:tab/>
      </w:r>
      <w:r w:rsidR="00E9411D">
        <w:instrText>Growth in household income across the distribution between the mid-1990s and late 2000s : selected countries</w:instrText>
      </w:r>
      <w:bookmarkEnd w:id="57"/>
      <w:bookmarkEnd w:id="58"/>
      <w:r w:rsidR="00E9411D">
        <w:instrText xml:space="preserve">"  </w:instrText>
      </w:r>
      <w:r w:rsidR="00E9411D">
        <w:fldChar w:fldCharType="end"/>
      </w:r>
    </w:p>
    <w:p w14:paraId="44D965DD" w14:textId="08B1AE07" w:rsidR="00E9411D" w:rsidRDefault="00E9411D" w:rsidP="00E9411D">
      <w:pPr>
        <w:pStyle w:val="FigureSub-title"/>
      </w:pPr>
      <w:r>
        <w:t>Between the mid-1990s and late 2000s</w:t>
      </w:r>
    </w:p>
    <w:p w14:paraId="236DEE28" w14:textId="65DD4A8B" w:rsidR="00E9411D" w:rsidRDefault="00E9411D" w:rsidP="00E9411D">
      <w:pPr>
        <w:pStyle w:val="Graphic"/>
      </w:pPr>
      <w:r>
        <w:rPr>
          <w:noProof/>
          <w:lang w:eastAsia="en-GB"/>
        </w:rPr>
        <w:drawing>
          <wp:inline distT="0" distB="0" distL="0" distR="0" wp14:anchorId="36918AAA" wp14:editId="08815D19">
            <wp:extent cx="5438775" cy="68103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8775" cy="6810375"/>
                    </a:xfrm>
                    <a:prstGeom prst="rect">
                      <a:avLst/>
                    </a:prstGeom>
                  </pic:spPr>
                </pic:pic>
              </a:graphicData>
            </a:graphic>
          </wp:inline>
        </w:drawing>
      </w:r>
    </w:p>
    <w:p w14:paraId="758194C1" w14:textId="77777777" w:rsidR="00E9411D" w:rsidRPr="00E9411D" w:rsidRDefault="00E9411D" w:rsidP="00E9411D">
      <w:pPr>
        <w:pStyle w:val="BodyText"/>
      </w:pPr>
    </w:p>
    <w:p w14:paraId="6845EF86" w14:textId="3E39E3F6" w:rsidR="004D4A12" w:rsidRDefault="004D4A12" w:rsidP="001A22AD">
      <w:pPr>
        <w:pStyle w:val="Heading2"/>
      </w:pPr>
      <w:bookmarkStart w:id="59" w:name="_Toc416797631"/>
      <w:bookmarkStart w:id="60" w:name="_Toc416860235"/>
      <w:r>
        <w:lastRenderedPageBreak/>
        <w:t>Conclusion</w:t>
      </w:r>
      <w:bookmarkEnd w:id="59"/>
      <w:bookmarkEnd w:id="60"/>
    </w:p>
    <w:p w14:paraId="5E02DDB1" w14:textId="77777777" w:rsidR="00D70018" w:rsidRDefault="001838AF" w:rsidP="00D70018">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38</w:instrText>
      </w:r>
      <w:r>
        <w:fldChar w:fldCharType="end"/>
      </w:r>
      <w:r>
        <w:instrText>.</w:instrText>
      </w:r>
      <w:r>
        <w:tab/>
      </w:r>
      <w:r>
        <w:fldChar w:fldCharType="end"/>
      </w:r>
      <w:r w:rsidR="006A4499">
        <w:t xml:space="preserve">The </w:t>
      </w:r>
      <w:r w:rsidR="00941749">
        <w:t>evidence gathered on</w:t>
      </w:r>
      <w:r w:rsidR="006A4499">
        <w:t xml:space="preserve"> top income</w:t>
      </w:r>
      <w:r w:rsidR="00941749">
        <w:t>s</w:t>
      </w:r>
      <w:r w:rsidR="006A4499">
        <w:t xml:space="preserve"> over the last fifteen years </w:t>
      </w:r>
      <w:r w:rsidR="008A6415">
        <w:t>has changed</w:t>
      </w:r>
      <w:r w:rsidR="00941749">
        <w:t xml:space="preserve"> the general </w:t>
      </w:r>
      <w:r w:rsidR="002953EC">
        <w:t>perception</w:t>
      </w:r>
      <w:r w:rsidR="00B8371E">
        <w:t xml:space="preserve"> about inequality</w:t>
      </w:r>
      <w:r w:rsidR="008A6415">
        <w:t xml:space="preserve"> </w:t>
      </w:r>
      <w:r w:rsidR="00851700" w:rsidRPr="00851700">
        <w:t xml:space="preserve">both among specialists and the wider public </w:t>
      </w:r>
      <w:r w:rsidR="008A6415">
        <w:t>and in fact this has raised awareness and attention devoted to the topic</w:t>
      </w:r>
      <w:r w:rsidR="00941749">
        <w:t xml:space="preserve">. </w:t>
      </w:r>
      <w:r w:rsidR="00D70018">
        <w:t xml:space="preserve">At the same time the top income debate resulted in a more fragmented approach towards measuring and assessing inequality. The </w:t>
      </w:r>
      <w:r w:rsidR="00851700">
        <w:t>under-estimation of the level of inequality associated with the</w:t>
      </w:r>
      <w:r w:rsidR="00D70018">
        <w:t xml:space="preserve"> use of household surveys to characteri</w:t>
      </w:r>
      <w:r w:rsidR="00C10026">
        <w:t>s</w:t>
      </w:r>
      <w:r w:rsidR="00D70018">
        <w:t xml:space="preserve">e </w:t>
      </w:r>
      <w:r w:rsidR="00851700">
        <w:t>the income distribution</w:t>
      </w:r>
      <w:r w:rsidR="00D70018">
        <w:t xml:space="preserve"> is now </w:t>
      </w:r>
      <w:r w:rsidR="00851700">
        <w:t xml:space="preserve">well </w:t>
      </w:r>
      <w:r w:rsidR="00D70018">
        <w:t xml:space="preserve">recognised, </w:t>
      </w:r>
      <w:r w:rsidR="00851700">
        <w:t>leading to separate</w:t>
      </w:r>
      <w:r w:rsidR="00D70018">
        <w:t xml:space="preserve"> analys</w:t>
      </w:r>
      <w:r w:rsidR="00851700">
        <w:t>es</w:t>
      </w:r>
      <w:r w:rsidR="00D70018">
        <w:t xml:space="preserve"> </w:t>
      </w:r>
      <w:r w:rsidR="00851700">
        <w:t xml:space="preserve">of </w:t>
      </w:r>
      <w:r w:rsidR="00D70018">
        <w:t xml:space="preserve">top incomes. At the same time, the analysis of top income through tax return data </w:t>
      </w:r>
      <w:r w:rsidR="00C10026">
        <w:t>put</w:t>
      </w:r>
      <w:r w:rsidR="00D70018">
        <w:t>s the focus on a small group of the population and ignores the majority, e.g. the middle class and the poor. A comprehensive approach is needed for assessing inequality</w:t>
      </w:r>
      <w:r w:rsidR="00851700">
        <w:t>,</w:t>
      </w:r>
      <w:r w:rsidR="00D70018">
        <w:t xml:space="preserve"> </w:t>
      </w:r>
      <w:r w:rsidR="00851700">
        <w:t xml:space="preserve">especially at a time </w:t>
      </w:r>
      <w:r w:rsidR="00D70018">
        <w:t>whe</w:t>
      </w:r>
      <w:r w:rsidR="00851700">
        <w:t>n</w:t>
      </w:r>
      <w:r w:rsidR="00D70018">
        <w:t xml:space="preserve"> international organisations are</w:t>
      </w:r>
      <w:r w:rsidR="00C67123">
        <w:t xml:space="preserve"> treating the reduction in income inequality </w:t>
      </w:r>
      <w:r w:rsidR="00D70018">
        <w:t>as an important policy objective</w:t>
      </w:r>
      <w:r w:rsidR="00C67123">
        <w:t xml:space="preserve"> along with boosting incomes</w:t>
      </w:r>
      <w:r w:rsidR="00D70018">
        <w:t>: such is the case of the OECD Inclusive Growth Initiative (OECD, 2014b) and the World Bank Shared Prosperity Initiative (World Bank, 2014).</w:t>
      </w:r>
    </w:p>
    <w:p w14:paraId="2EFFAC5D" w14:textId="77777777" w:rsidR="00C709E1" w:rsidRPr="001838AF" w:rsidRDefault="001838AF" w:rsidP="00D70018">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39</w:instrText>
      </w:r>
      <w:r>
        <w:fldChar w:fldCharType="end"/>
      </w:r>
      <w:r>
        <w:instrText>.</w:instrText>
      </w:r>
      <w:r>
        <w:tab/>
      </w:r>
      <w:r>
        <w:fldChar w:fldCharType="end"/>
      </w:r>
      <w:r w:rsidR="003606E1" w:rsidRPr="00137D42">
        <w:t xml:space="preserve">This paper </w:t>
      </w:r>
      <w:r w:rsidR="00543FD1" w:rsidRPr="00137D42">
        <w:t>develops a new approach towards achieving a comprehensive and unified assessment</w:t>
      </w:r>
      <w:r w:rsidR="000677B9" w:rsidRPr="00137D42">
        <w:t xml:space="preserve"> of inequality, putting together the 99% and top 1%</w:t>
      </w:r>
      <w:r w:rsidR="00543FD1" w:rsidRPr="00137D42">
        <w:t>.</w:t>
      </w:r>
      <w:r w:rsidR="00543FD1">
        <w:t xml:space="preserve"> Th</w:t>
      </w:r>
      <w:r w:rsidR="00C67123">
        <w:t>e</w:t>
      </w:r>
      <w:r w:rsidR="00543FD1">
        <w:t xml:space="preserve"> approach is applied to estimate levels and trends in </w:t>
      </w:r>
      <w:r w:rsidR="00543FD1" w:rsidRPr="001838AF">
        <w:t>inequality</w:t>
      </w:r>
      <w:r w:rsidR="00543FD1">
        <w:t xml:space="preserve"> across</w:t>
      </w:r>
      <w:r w:rsidR="003606E1" w:rsidRPr="001838AF">
        <w:t xml:space="preserve"> OECD countries</w:t>
      </w:r>
      <w:r w:rsidR="00543FD1">
        <w:t>.</w:t>
      </w:r>
      <w:r w:rsidR="003606E1" w:rsidRPr="001838AF">
        <w:t xml:space="preserve"> </w:t>
      </w:r>
      <w:r w:rsidR="00543FD1">
        <w:t xml:space="preserve">The analysis </w:t>
      </w:r>
      <w:r w:rsidR="00C10026">
        <w:t>uses information</w:t>
      </w:r>
      <w:r w:rsidR="00543FD1">
        <w:t xml:space="preserve"> </w:t>
      </w:r>
      <w:r w:rsidR="00C10026">
        <w:t>from</w:t>
      </w:r>
      <w:r w:rsidR="00543FD1">
        <w:t xml:space="preserve"> household surveys to deliver</w:t>
      </w:r>
      <w:r w:rsidR="003606E1" w:rsidRPr="001838AF">
        <w:t xml:space="preserve"> top income </w:t>
      </w:r>
      <w:r w:rsidR="00543FD1" w:rsidRPr="001838AF">
        <w:t>estimat</w:t>
      </w:r>
      <w:r w:rsidR="00543FD1">
        <w:t>es</w:t>
      </w:r>
      <w:r w:rsidR="000677B9">
        <w:t>. Such</w:t>
      </w:r>
      <w:r w:rsidR="00543FD1">
        <w:t xml:space="preserve"> estimates are </w:t>
      </w:r>
      <w:r w:rsidR="000677B9">
        <w:t xml:space="preserve">compared and </w:t>
      </w:r>
      <w:r w:rsidR="00543FD1">
        <w:t xml:space="preserve">found in line with those </w:t>
      </w:r>
      <w:r w:rsidR="000677B9">
        <w:t>available</w:t>
      </w:r>
      <w:r w:rsidR="00543FD1">
        <w:t xml:space="preserve"> in the benchmark WT</w:t>
      </w:r>
      <w:r w:rsidR="000677B9">
        <w:t>I</w:t>
      </w:r>
      <w:r w:rsidR="00D84F0C">
        <w:t>D</w:t>
      </w:r>
      <w:r w:rsidR="00543FD1">
        <w:t xml:space="preserve"> database</w:t>
      </w:r>
      <w:r w:rsidR="003606E1" w:rsidRPr="001838AF">
        <w:t xml:space="preserve"> </w:t>
      </w:r>
      <w:r w:rsidR="00543FD1">
        <w:t xml:space="preserve">This approach is still preliminary and </w:t>
      </w:r>
      <w:r w:rsidR="00811323" w:rsidRPr="001838AF">
        <w:t>subject to various limitations</w:t>
      </w:r>
      <w:r w:rsidR="000677B9">
        <w:t>.</w:t>
      </w:r>
      <w:r w:rsidR="000677B9" w:rsidRPr="001838AF">
        <w:t xml:space="preserve"> </w:t>
      </w:r>
      <w:r w:rsidR="000677B9">
        <w:t>N</w:t>
      </w:r>
      <w:r w:rsidR="00543FD1">
        <w:t xml:space="preserve">evertheless it is potentially a promising step to raise </w:t>
      </w:r>
      <w:r w:rsidR="000677B9">
        <w:t xml:space="preserve">the accuracy of </w:t>
      </w:r>
      <w:r w:rsidR="000677B9" w:rsidRPr="001838AF">
        <w:t>the</w:t>
      </w:r>
      <w:r w:rsidR="000677B9">
        <w:t xml:space="preserve"> data and analytical material </w:t>
      </w:r>
      <w:r w:rsidR="00543FD1">
        <w:t xml:space="preserve">underlying </w:t>
      </w:r>
      <w:r w:rsidR="00543FD1" w:rsidRPr="001838AF">
        <w:t>policy</w:t>
      </w:r>
      <w:r w:rsidR="00B8371E" w:rsidRPr="001838AF">
        <w:t xml:space="preserve"> discussions</w:t>
      </w:r>
      <w:r w:rsidR="000677B9">
        <w:t xml:space="preserve"> on inclusive growth.</w:t>
      </w:r>
    </w:p>
    <w:p w14:paraId="13431735" w14:textId="77777777" w:rsidR="00A82BAF" w:rsidRDefault="00A82BAF">
      <w:pPr>
        <w:tabs>
          <w:tab w:val="clear" w:pos="850"/>
          <w:tab w:val="clear" w:pos="1191"/>
          <w:tab w:val="clear" w:pos="1531"/>
        </w:tabs>
        <w:jc w:val="left"/>
        <w:rPr>
          <w:b/>
          <w:bCs/>
          <w:caps/>
        </w:rPr>
      </w:pPr>
      <w:r>
        <w:br w:type="page"/>
      </w:r>
    </w:p>
    <w:p w14:paraId="21843631" w14:textId="1BF14DD1" w:rsidR="00C709E1" w:rsidRPr="00E72248" w:rsidRDefault="00C709E1" w:rsidP="00C709E1">
      <w:pPr>
        <w:pStyle w:val="BibliographyHeading"/>
      </w:pPr>
      <w:bookmarkStart w:id="61" w:name="_Toc416797632"/>
      <w:bookmarkStart w:id="62" w:name="_Toc416860236"/>
      <w:r w:rsidRPr="00E72248">
        <w:lastRenderedPageBreak/>
        <w:t>bibliography</w:t>
      </w:r>
      <w:bookmarkEnd w:id="61"/>
      <w:bookmarkEnd w:id="62"/>
    </w:p>
    <w:p w14:paraId="681FB770" w14:textId="7218C267" w:rsidR="00125631" w:rsidRDefault="00125631" w:rsidP="00125631">
      <w:pPr>
        <w:pStyle w:val="Biblio-Entry"/>
      </w:pPr>
      <w:r w:rsidRPr="00125631">
        <w:t>Acemoglu, D., and J. A. Robinson (2014), “</w:t>
      </w:r>
      <w:r w:rsidRPr="0097548B">
        <w:t>The Rise and Fall of General Laws of Capitalism</w:t>
      </w:r>
      <w:r>
        <w:t xml:space="preserve">”, </w:t>
      </w:r>
      <w:r w:rsidRPr="00125631">
        <w:rPr>
          <w:i/>
        </w:rPr>
        <w:t>Working Paper, Harvard University</w:t>
      </w:r>
      <w:r>
        <w:t>.</w:t>
      </w:r>
    </w:p>
    <w:p w14:paraId="23CD2206" w14:textId="6FF312F3" w:rsidR="00056A32" w:rsidRDefault="00056A32" w:rsidP="00056A32">
      <w:pPr>
        <w:pStyle w:val="Biblio-Entry"/>
      </w:pPr>
      <w:r w:rsidRPr="00056A32">
        <w:t>Armour</w:t>
      </w:r>
      <w:r>
        <w:t xml:space="preserve">, P., </w:t>
      </w:r>
      <w:r w:rsidRPr="00056A32">
        <w:t>R</w:t>
      </w:r>
      <w:r>
        <w:t>.</w:t>
      </w:r>
      <w:r w:rsidRPr="00056A32">
        <w:t xml:space="preserve"> V. Burkhauser</w:t>
      </w:r>
      <w:r>
        <w:t>, and</w:t>
      </w:r>
      <w:r w:rsidRPr="00056A32">
        <w:t xml:space="preserve"> </w:t>
      </w:r>
      <w:r>
        <w:t>J. Larrimore</w:t>
      </w:r>
      <w:r w:rsidRPr="00056A32">
        <w:t xml:space="preserve"> </w:t>
      </w:r>
      <w:r>
        <w:t>(</w:t>
      </w:r>
      <w:r w:rsidRPr="00056A32">
        <w:t>2013</w:t>
      </w:r>
      <w:r>
        <w:t>),</w:t>
      </w:r>
      <w:r w:rsidRPr="00056A32">
        <w:t xml:space="preserve"> </w:t>
      </w:r>
      <w:r>
        <w:t>“</w:t>
      </w:r>
      <w:r w:rsidRPr="0097548B">
        <w:t>Deconstructing Income and Income Inequality Measures: A Crosswalk from Market Income to Comprehensive Income</w:t>
      </w:r>
      <w:r>
        <w:t xml:space="preserve">”, </w:t>
      </w:r>
      <w:r w:rsidRPr="0097548B">
        <w:rPr>
          <w:i/>
        </w:rPr>
        <w:t>American Economic Review</w:t>
      </w:r>
      <w:r w:rsidRPr="00056A32">
        <w:t xml:space="preserve">, </w:t>
      </w:r>
      <w:r w:rsidR="008F69C5">
        <w:t>V</w:t>
      </w:r>
      <w:r w:rsidRPr="00056A32">
        <w:t xml:space="preserve">ol. 103(3), </w:t>
      </w:r>
      <w:r>
        <w:t>pp.</w:t>
      </w:r>
      <w:r w:rsidRPr="00056A32">
        <w:t xml:space="preserve"> 173-</w:t>
      </w:r>
      <w:r>
        <w:t>1</w:t>
      </w:r>
      <w:r w:rsidRPr="00056A32">
        <w:t>77</w:t>
      </w:r>
      <w:r>
        <w:t>.</w:t>
      </w:r>
    </w:p>
    <w:p w14:paraId="0F9F0DF5" w14:textId="77777777" w:rsidR="00517FF6" w:rsidRDefault="00517FF6" w:rsidP="00517FF6">
      <w:pPr>
        <w:pStyle w:val="Biblio-Entry"/>
      </w:pPr>
      <w:r w:rsidRPr="00517FF6">
        <w:t>A</w:t>
      </w:r>
      <w:r>
        <w:t>tkinson, A. B., and T.</w:t>
      </w:r>
      <w:r w:rsidRPr="00517FF6">
        <w:t xml:space="preserve"> P</w:t>
      </w:r>
      <w:r>
        <w:t>iketty (2007),</w:t>
      </w:r>
      <w:r w:rsidRPr="00517FF6">
        <w:t xml:space="preserve"> </w:t>
      </w:r>
      <w:r>
        <w:rPr>
          <w:i/>
        </w:rPr>
        <w:t>Top Incomes over the Twentieth Century: a Contrast Between Continental European and English-Speaking C</w:t>
      </w:r>
      <w:r w:rsidRPr="00517FF6">
        <w:rPr>
          <w:i/>
        </w:rPr>
        <w:t>ountries</w:t>
      </w:r>
      <w:r w:rsidRPr="00517FF6">
        <w:t>, Oxford : Oxford university press</w:t>
      </w:r>
      <w:r>
        <w:t>.</w:t>
      </w:r>
    </w:p>
    <w:p w14:paraId="63E7384F" w14:textId="5B2AEE2F" w:rsidR="00517FF6" w:rsidRPr="00517FF6" w:rsidRDefault="00517FF6" w:rsidP="00517FF6">
      <w:pPr>
        <w:pStyle w:val="Biblio-Entry"/>
      </w:pPr>
      <w:r w:rsidRPr="00125631">
        <w:t>Atkinson, A. B., T. Piketty, and E. Saez</w:t>
      </w:r>
      <w:r w:rsidR="00CA78F5">
        <w:t xml:space="preserve"> (201</w:t>
      </w:r>
      <w:r w:rsidRPr="00125631">
        <w:t xml:space="preserve">1), “Top incomes in the long run of history”, </w:t>
      </w:r>
      <w:r w:rsidRPr="00125631">
        <w:rPr>
          <w:i/>
        </w:rPr>
        <w:t>Journal of Economic Litterature</w:t>
      </w:r>
      <w:r w:rsidRPr="00125631">
        <w:t xml:space="preserve">, </w:t>
      </w:r>
      <w:r w:rsidR="008F69C5">
        <w:t>V</w:t>
      </w:r>
      <w:r w:rsidRPr="00125631">
        <w:t>ol. 49 (1), pp. 3-71.</w:t>
      </w:r>
    </w:p>
    <w:p w14:paraId="38681367" w14:textId="40BA7181" w:rsidR="00BB1E17" w:rsidRDefault="00BB1E17" w:rsidP="00BB1E17">
      <w:pPr>
        <w:pStyle w:val="Biblio-Entry"/>
      </w:pPr>
      <w:r>
        <w:t xml:space="preserve">Autor, D., L. Katz and M. Kearney (2008), “Trends in U.S. Wage Inequality: Revising the Revisionists”, </w:t>
      </w:r>
      <w:r w:rsidRPr="00BB1E17">
        <w:rPr>
          <w:i/>
        </w:rPr>
        <w:t>The Review of Economics and Statistics</w:t>
      </w:r>
      <w:r>
        <w:t xml:space="preserve">, </w:t>
      </w:r>
      <w:r w:rsidR="008F69C5">
        <w:t>V</w:t>
      </w:r>
      <w:r>
        <w:t>ol. 90, pp. 300–323.</w:t>
      </w:r>
    </w:p>
    <w:p w14:paraId="0BBD350E" w14:textId="4BA132DC" w:rsidR="00BD4FFF" w:rsidRPr="00BD4FFF" w:rsidRDefault="00BD4FFF" w:rsidP="00BD4FFF">
      <w:pPr>
        <w:pStyle w:val="Biblio-Entry"/>
      </w:pPr>
      <w:r w:rsidRPr="00BD4FFF">
        <w:t>Brandolini</w:t>
      </w:r>
      <w:r>
        <w:t>, A., and A. B. Atkinson</w:t>
      </w:r>
      <w:r w:rsidRPr="00BD4FFF">
        <w:t xml:space="preserve"> </w:t>
      </w:r>
      <w:r>
        <w:t>(</w:t>
      </w:r>
      <w:r w:rsidRPr="00BD4FFF">
        <w:t>2001</w:t>
      </w:r>
      <w:r>
        <w:t>),</w:t>
      </w:r>
      <w:r w:rsidRPr="00BD4FFF">
        <w:t xml:space="preserve"> </w:t>
      </w:r>
      <w:r>
        <w:t>“</w:t>
      </w:r>
      <w:r w:rsidRPr="0097548B">
        <w:t>Promise and Pitfalls in the Use of “Secondary” Data-Sets: Income Inequality in OECD Countries as a Case Study</w:t>
      </w:r>
      <w:r>
        <w:t>”,</w:t>
      </w:r>
      <w:r w:rsidRPr="00BD4FFF">
        <w:rPr>
          <w:rStyle w:val="apple-converted-space"/>
        </w:rPr>
        <w:t> </w:t>
      </w:r>
      <w:r w:rsidRPr="0097548B">
        <w:rPr>
          <w:i/>
        </w:rPr>
        <w:t>Journal of Economic Literature</w:t>
      </w:r>
      <w:r>
        <w:t xml:space="preserve">, </w:t>
      </w:r>
      <w:r w:rsidR="008F69C5">
        <w:t>V</w:t>
      </w:r>
      <w:r>
        <w:t xml:space="preserve">ol. </w:t>
      </w:r>
      <w:r w:rsidRPr="00BD4FFF">
        <w:t xml:space="preserve">39(3), </w:t>
      </w:r>
      <w:r>
        <w:t>pp.</w:t>
      </w:r>
      <w:r w:rsidRPr="00BD4FFF">
        <w:t xml:space="preserve"> 771-799</w:t>
      </w:r>
      <w:r>
        <w:t>.</w:t>
      </w:r>
    </w:p>
    <w:p w14:paraId="74A91D5E" w14:textId="02290954" w:rsidR="00F10626" w:rsidRPr="00F10626" w:rsidRDefault="00F10626" w:rsidP="00090513">
      <w:pPr>
        <w:pStyle w:val="Biblio-Entry"/>
      </w:pPr>
      <w:r>
        <w:t xml:space="preserve">Barro, R. J. (2000), “Inequality and Growth in a Panel of Countries”, </w:t>
      </w:r>
      <w:r w:rsidRPr="00125631">
        <w:rPr>
          <w:i/>
        </w:rPr>
        <w:t xml:space="preserve">Journal of Economic </w:t>
      </w:r>
      <w:r>
        <w:rPr>
          <w:i/>
        </w:rPr>
        <w:t>Growth</w:t>
      </w:r>
      <w:r w:rsidRPr="00125631">
        <w:t xml:space="preserve">, </w:t>
      </w:r>
      <w:r w:rsidR="008F69C5">
        <w:t>V</w:t>
      </w:r>
      <w:r w:rsidRPr="00125631">
        <w:t xml:space="preserve">ol. </w:t>
      </w:r>
      <w:r>
        <w:t xml:space="preserve">5, </w:t>
      </w:r>
      <w:r w:rsidRPr="00125631">
        <w:t>pp</w:t>
      </w:r>
      <w:r>
        <w:t>. 5</w:t>
      </w:r>
      <w:r w:rsidRPr="00125631">
        <w:t>-</w:t>
      </w:r>
      <w:r>
        <w:t>32</w:t>
      </w:r>
      <w:r w:rsidRPr="00125631">
        <w:t>.</w:t>
      </w:r>
    </w:p>
    <w:p w14:paraId="16D8A3B3" w14:textId="7B57821A" w:rsidR="0065053B" w:rsidRPr="0065053B" w:rsidRDefault="0065053B" w:rsidP="0065053B">
      <w:pPr>
        <w:pStyle w:val="Biblio-Entry"/>
      </w:pPr>
      <w:r>
        <w:t xml:space="preserve">Bishop, J. A., J-R. Chiou, and J. P. Formby (1994), “Truncation Bias and the Ordinal Evaluation of Income Inequality”, </w:t>
      </w:r>
      <w:r w:rsidRPr="0065053B">
        <w:rPr>
          <w:i/>
        </w:rPr>
        <w:t>Journal of Business and Economic Statistics</w:t>
      </w:r>
      <w:r>
        <w:t xml:space="preserve">, </w:t>
      </w:r>
      <w:r w:rsidR="008F69C5">
        <w:t>V</w:t>
      </w:r>
      <w:r>
        <w:t>ol. 12, pp. 123-127.</w:t>
      </w:r>
    </w:p>
    <w:p w14:paraId="100CC9F2" w14:textId="67270E31" w:rsidR="000B1097" w:rsidRPr="000B1097" w:rsidRDefault="000B1097" w:rsidP="00090513">
      <w:pPr>
        <w:pStyle w:val="Biblio-Entry"/>
      </w:pPr>
      <w:r>
        <w:t xml:space="preserve">Bourguignon, F. (2005), “Comments on: </w:t>
      </w:r>
      <w:r w:rsidRPr="00125631">
        <w:t xml:space="preserve">Measuring Poverty in a Growing World (or Measuring Growth in a Poor World)”, </w:t>
      </w:r>
      <w:r w:rsidRPr="00125631">
        <w:rPr>
          <w:i/>
        </w:rPr>
        <w:t>The Review of Economics and Statistics</w:t>
      </w:r>
      <w:r>
        <w:t xml:space="preserve">, </w:t>
      </w:r>
      <w:r w:rsidR="008F69C5">
        <w:t>V</w:t>
      </w:r>
      <w:r>
        <w:t>ol. LXXXVII, pp. 20-22</w:t>
      </w:r>
      <w:r w:rsidRPr="00125631">
        <w:t>.</w:t>
      </w:r>
    </w:p>
    <w:p w14:paraId="55ABFA11" w14:textId="60584A09" w:rsidR="001F75BD" w:rsidRDefault="001F75BD" w:rsidP="00090513">
      <w:pPr>
        <w:pStyle w:val="Biblio-Entry"/>
      </w:pPr>
      <w:r>
        <w:t xml:space="preserve">Burkhauser, R., S. Feng, S. Jenkins, and J. Larrimore (2012), “Recent Trends in Top Incomes Shares in the United States: Reconciling Estimates from March CPS and IRS Tax Return Data”, </w:t>
      </w:r>
      <w:r w:rsidRPr="00697C94">
        <w:rPr>
          <w:i/>
        </w:rPr>
        <w:t>The Review of Economics and Statistics</w:t>
      </w:r>
      <w:r>
        <w:t xml:space="preserve">, </w:t>
      </w:r>
      <w:r w:rsidR="008F69C5">
        <w:t>V</w:t>
      </w:r>
      <w:r>
        <w:t>ol. XCIV, pp. 371-388.</w:t>
      </w:r>
    </w:p>
    <w:p w14:paraId="41A53E02" w14:textId="361D2C1D" w:rsidR="00625097" w:rsidRPr="00625097" w:rsidRDefault="00625097" w:rsidP="00090513">
      <w:pPr>
        <w:pStyle w:val="Biblio-Entry"/>
      </w:pPr>
      <w:r w:rsidRPr="00625097">
        <w:t xml:space="preserve">Causa, O., A. De Serres, and N. Ruiz (2014), </w:t>
      </w:r>
      <w:r>
        <w:t>“</w:t>
      </w:r>
      <w:r w:rsidR="00745403">
        <w:t>Can Pro-Growth Policies Lift All Boats? An Analysis Based on Household Disposable I</w:t>
      </w:r>
      <w:r>
        <w:t xml:space="preserve">ncome”, </w:t>
      </w:r>
      <w:r w:rsidRPr="006C4AFA">
        <w:rPr>
          <w:i/>
        </w:rPr>
        <w:t>OECD Economics Department working paper</w:t>
      </w:r>
      <w:r>
        <w:rPr>
          <w:i/>
        </w:rPr>
        <w:t xml:space="preserve">, </w:t>
      </w:r>
      <w:r w:rsidR="00B62D59">
        <w:t>No. 1180, OECD Publishing, Paris.</w:t>
      </w:r>
    </w:p>
    <w:p w14:paraId="7B48B8C7" w14:textId="5594C84A" w:rsidR="007311E1" w:rsidRDefault="007311E1" w:rsidP="007311E1">
      <w:pPr>
        <w:pStyle w:val="Biblio-Entry"/>
      </w:pPr>
      <w:r>
        <w:t>Champernowne, D.</w:t>
      </w:r>
      <w:r w:rsidRPr="007311E1">
        <w:t xml:space="preserve"> G. </w:t>
      </w:r>
      <w:r>
        <w:t>(</w:t>
      </w:r>
      <w:r w:rsidRPr="007311E1">
        <w:t>1953</w:t>
      </w:r>
      <w:r>
        <w:t>),</w:t>
      </w:r>
      <w:r w:rsidRPr="007311E1">
        <w:t xml:space="preserve"> </w:t>
      </w:r>
      <w:r>
        <w:t>“A Model of Income Distribution</w:t>
      </w:r>
      <w:r w:rsidRPr="007311E1">
        <w:t>”</w:t>
      </w:r>
      <w:r>
        <w:t>,</w:t>
      </w:r>
      <w:r w:rsidRPr="007311E1">
        <w:t xml:space="preserve"> </w:t>
      </w:r>
      <w:r w:rsidRPr="007311E1">
        <w:rPr>
          <w:i/>
          <w:iCs/>
        </w:rPr>
        <w:t>The Economic Journal</w:t>
      </w:r>
      <w:r w:rsidRPr="007311E1">
        <w:t xml:space="preserve">, </w:t>
      </w:r>
      <w:r w:rsidR="00B62D59">
        <w:t>V</w:t>
      </w:r>
      <w:r>
        <w:t>ol. 63, pp.</w:t>
      </w:r>
      <w:r w:rsidR="00B62D59">
        <w:t> </w:t>
      </w:r>
      <w:r>
        <w:t>318-</w:t>
      </w:r>
      <w:r w:rsidRPr="007311E1">
        <w:t>51.</w:t>
      </w:r>
    </w:p>
    <w:p w14:paraId="2FE59345" w14:textId="45F314D7" w:rsidR="00AC208F" w:rsidRPr="00AC208F" w:rsidRDefault="00AC208F" w:rsidP="00AC208F">
      <w:pPr>
        <w:pStyle w:val="Biblio-Entry"/>
      </w:pPr>
      <w:r w:rsidRPr="00AC208F">
        <w:t xml:space="preserve">Davies, J. B. </w:t>
      </w:r>
      <w:r>
        <w:t>and A. F.</w:t>
      </w:r>
      <w:r w:rsidRPr="00AC208F">
        <w:t xml:space="preserve"> Shorrocks</w:t>
      </w:r>
      <w:r>
        <w:t xml:space="preserve"> (</w:t>
      </w:r>
      <w:r w:rsidRPr="00AC208F">
        <w:t>1989</w:t>
      </w:r>
      <w:r>
        <w:t>),</w:t>
      </w:r>
      <w:r w:rsidRPr="00AC208F">
        <w:t xml:space="preserve"> </w:t>
      </w:r>
      <w:r>
        <w:t>“</w:t>
      </w:r>
      <w:r w:rsidRPr="00AC208F">
        <w:t>Optimal Grouping of Income and Wealth Data</w:t>
      </w:r>
      <w:r>
        <w:t>”,</w:t>
      </w:r>
      <w:r w:rsidRPr="00AC208F">
        <w:rPr>
          <w:rStyle w:val="apple-converted-space"/>
        </w:rPr>
        <w:t> </w:t>
      </w:r>
      <w:r w:rsidRPr="0097548B">
        <w:rPr>
          <w:i/>
        </w:rPr>
        <w:t>Journal of Econometrics</w:t>
      </w:r>
      <w:r w:rsidRPr="00AC208F">
        <w:t xml:space="preserve">, </w:t>
      </w:r>
      <w:r w:rsidR="00B62D59">
        <w:t>V</w:t>
      </w:r>
      <w:r w:rsidRPr="00AC208F">
        <w:t xml:space="preserve">ol. 42(1), </w:t>
      </w:r>
      <w:r>
        <w:t>pp.</w:t>
      </w:r>
      <w:r w:rsidRPr="00AC208F">
        <w:t xml:space="preserve"> 97-108</w:t>
      </w:r>
      <w:r>
        <w:t>.</w:t>
      </w:r>
    </w:p>
    <w:p w14:paraId="154F83FA" w14:textId="77777777" w:rsidR="00125631" w:rsidRPr="007311E1" w:rsidRDefault="00125631" w:rsidP="00AA7E32">
      <w:pPr>
        <w:pStyle w:val="Biblio-Entry"/>
      </w:pPr>
      <w:r w:rsidRPr="007311E1">
        <w:t xml:space="preserve">Deaton, A. (1997), </w:t>
      </w:r>
      <w:r w:rsidRPr="007311E1">
        <w:rPr>
          <w:i/>
        </w:rPr>
        <w:t>The Analysis of Household Surveys: A Microeconometric Approach to Development Policy</w:t>
      </w:r>
      <w:r w:rsidRPr="007311E1">
        <w:t>, Baltimore, Johns Hopkins University Press for the World Bank.</w:t>
      </w:r>
    </w:p>
    <w:p w14:paraId="2686D35B" w14:textId="19734C35" w:rsidR="004D4A12" w:rsidRDefault="004030CD" w:rsidP="00C709E1">
      <w:pPr>
        <w:pStyle w:val="Biblio-Entry"/>
      </w:pPr>
      <w:r w:rsidRPr="00125631">
        <w:t xml:space="preserve">Deaton, A. (2005), “Measuring Poverty in a Growing World (or Measuring Growth in a Poor World)”, </w:t>
      </w:r>
      <w:r w:rsidRPr="00125631">
        <w:rPr>
          <w:i/>
        </w:rPr>
        <w:t>The Review of Economics and Statistics</w:t>
      </w:r>
      <w:r w:rsidRPr="00125631">
        <w:t xml:space="preserve">, </w:t>
      </w:r>
      <w:r w:rsidR="00B62D59">
        <w:t>V</w:t>
      </w:r>
      <w:r w:rsidRPr="00125631">
        <w:t>ol. LXXXVII, pp. 1-19.</w:t>
      </w:r>
    </w:p>
    <w:p w14:paraId="1D67131E" w14:textId="51A2EC18" w:rsidR="00D17520" w:rsidRPr="00D17520" w:rsidRDefault="00D17520" w:rsidP="00D17520">
      <w:pPr>
        <w:pStyle w:val="Biblio-Entry"/>
      </w:pPr>
      <w:r>
        <w:lastRenderedPageBreak/>
        <w:t xml:space="preserve">Deininger, K. and L. Squire (1996), “New Data Set Measuring Income Inequality”, </w:t>
      </w:r>
      <w:r w:rsidRPr="00D17520">
        <w:rPr>
          <w:i/>
        </w:rPr>
        <w:t>World Bank Economic Review</w:t>
      </w:r>
      <w:r>
        <w:t xml:space="preserve">, </w:t>
      </w:r>
      <w:r w:rsidR="00B62D59">
        <w:t>V</w:t>
      </w:r>
      <w:r>
        <w:t>ol. 10, pp. 565-591.</w:t>
      </w:r>
    </w:p>
    <w:p w14:paraId="16551D33" w14:textId="72483F0A" w:rsidR="00F10626" w:rsidRPr="00F10626" w:rsidRDefault="00F10626" w:rsidP="00C709E1">
      <w:pPr>
        <w:pStyle w:val="Biblio-Entry"/>
      </w:pPr>
      <w:r>
        <w:t xml:space="preserve">Dollar, D., T. Kleineberg and A. Kraay (2013), “Growth is Still Good for the Poor”, </w:t>
      </w:r>
      <w:r>
        <w:rPr>
          <w:i/>
        </w:rPr>
        <w:t>Policy Research Working Paper 6568</w:t>
      </w:r>
      <w:r>
        <w:t>, The World Bank.</w:t>
      </w:r>
    </w:p>
    <w:p w14:paraId="5A4DE2F3" w14:textId="5F67C900" w:rsidR="00F10626" w:rsidRPr="00F10626" w:rsidRDefault="00F10626" w:rsidP="00F10626">
      <w:pPr>
        <w:pStyle w:val="Biblio-Entry"/>
      </w:pPr>
      <w:r>
        <w:t xml:space="preserve">Dollar, D. and A. Kraay (2002), “Growth is Good for the Poor”, </w:t>
      </w:r>
      <w:r w:rsidRPr="00F10626">
        <w:rPr>
          <w:i/>
        </w:rPr>
        <w:t>Journal of Economic Growth</w:t>
      </w:r>
      <w:r>
        <w:t xml:space="preserve">, </w:t>
      </w:r>
      <w:r w:rsidR="00B62D59">
        <w:t>V</w:t>
      </w:r>
      <w:r>
        <w:t>ol. 7, pp.</w:t>
      </w:r>
      <w:r w:rsidR="00B62D59">
        <w:t> </w:t>
      </w:r>
      <w:r>
        <w:t>195-225.</w:t>
      </w:r>
    </w:p>
    <w:p w14:paraId="790871AB" w14:textId="587392CF" w:rsidR="00BB1E17" w:rsidRPr="00BB1E17" w:rsidRDefault="00BB1E17" w:rsidP="00BB1E17">
      <w:pPr>
        <w:pStyle w:val="Biblio-Entry"/>
      </w:pPr>
      <w:r>
        <w:t xml:space="preserve">Fichtenbaum, R. and H. Shahidi (1988), “Truncation Bias and the Measurement of Income Inequality”, </w:t>
      </w:r>
      <w:r w:rsidRPr="00BB1E17">
        <w:rPr>
          <w:i/>
        </w:rPr>
        <w:t>Journal of Business and Economic Statistics</w:t>
      </w:r>
      <w:r>
        <w:t xml:space="preserve">, </w:t>
      </w:r>
      <w:r w:rsidR="00B62D59">
        <w:t>V</w:t>
      </w:r>
      <w:r>
        <w:t>ol. 6, pp. 335-337.</w:t>
      </w:r>
    </w:p>
    <w:p w14:paraId="53FDB4D1" w14:textId="3032BB38" w:rsidR="00392266" w:rsidRDefault="004030CD" w:rsidP="004030CD">
      <w:pPr>
        <w:pStyle w:val="Biblio-Entry"/>
      </w:pPr>
      <w:r>
        <w:t xml:space="preserve">Foster, J. E. and M. Székely (2008), “Is Economic Growth Good for the Poor? Tracking Low Incomes Using General Means”, </w:t>
      </w:r>
      <w:r>
        <w:rPr>
          <w:i/>
          <w:iCs/>
        </w:rPr>
        <w:t>International Economic Review</w:t>
      </w:r>
      <w:r w:rsidRPr="004030CD">
        <w:rPr>
          <w:iCs/>
        </w:rPr>
        <w:t>,</w:t>
      </w:r>
      <w:r>
        <w:t xml:space="preserve"> </w:t>
      </w:r>
      <w:r w:rsidR="00B62D59">
        <w:t>V</w:t>
      </w:r>
      <w:r>
        <w:t>ol. 49 (4), pp. 1143–1172.</w:t>
      </w:r>
    </w:p>
    <w:p w14:paraId="470E8DF7" w14:textId="044C1CD2" w:rsidR="00B42258" w:rsidRDefault="00B42258" w:rsidP="004030CD">
      <w:pPr>
        <w:pStyle w:val="Biblio-Entry"/>
        <w:rPr>
          <w:color w:val="000000" w:themeColor="text1"/>
          <w:shd w:val="clear" w:color="auto" w:fill="FFFFFF"/>
        </w:rPr>
      </w:pPr>
      <w:r>
        <w:rPr>
          <w:color w:val="000000" w:themeColor="text1"/>
        </w:rPr>
        <w:t xml:space="preserve">Gabaix, X. (2009), </w:t>
      </w:r>
      <w:r w:rsidR="00B62D59">
        <w:rPr>
          <w:shd w:val="clear" w:color="auto" w:fill="FFFFFF"/>
        </w:rPr>
        <w:t>“</w:t>
      </w:r>
      <w:r w:rsidRPr="0097548B">
        <w:rPr>
          <w:shd w:val="clear" w:color="auto" w:fill="FFFFFF"/>
        </w:rPr>
        <w:t>Power Laws in Economics and Finance</w:t>
      </w:r>
      <w:r w:rsidR="00B62D59">
        <w:rPr>
          <w:shd w:val="clear" w:color="auto" w:fill="FFFFFF"/>
        </w:rPr>
        <w:t>”</w:t>
      </w:r>
      <w:r w:rsidRPr="00B42258">
        <w:rPr>
          <w:color w:val="000000" w:themeColor="text1"/>
          <w:shd w:val="clear" w:color="auto" w:fill="FFFFFF"/>
        </w:rPr>
        <w:t xml:space="preserve">, </w:t>
      </w:r>
      <w:r w:rsidRPr="00B42258">
        <w:rPr>
          <w:i/>
          <w:iCs/>
          <w:color w:val="000000" w:themeColor="text1"/>
          <w:shd w:val="clear" w:color="auto" w:fill="FFFFFF"/>
        </w:rPr>
        <w:t>Annual Review of Economics</w:t>
      </w:r>
      <w:r w:rsidRPr="00B42258">
        <w:rPr>
          <w:color w:val="000000" w:themeColor="text1"/>
          <w:shd w:val="clear" w:color="auto" w:fill="FFFFFF"/>
        </w:rPr>
        <w:t xml:space="preserve">, </w:t>
      </w:r>
      <w:r w:rsidR="00B62D59">
        <w:rPr>
          <w:color w:val="000000" w:themeColor="text1"/>
          <w:shd w:val="clear" w:color="auto" w:fill="FFFFFF"/>
        </w:rPr>
        <w:t>V</w:t>
      </w:r>
      <w:r>
        <w:rPr>
          <w:color w:val="000000" w:themeColor="text1"/>
          <w:shd w:val="clear" w:color="auto" w:fill="FFFFFF"/>
        </w:rPr>
        <w:t xml:space="preserve">ol. </w:t>
      </w:r>
      <w:r w:rsidRPr="00B42258">
        <w:rPr>
          <w:color w:val="000000" w:themeColor="text1"/>
          <w:shd w:val="clear" w:color="auto" w:fill="FFFFFF"/>
        </w:rPr>
        <w:t>1, p</w:t>
      </w:r>
      <w:r>
        <w:rPr>
          <w:color w:val="000000" w:themeColor="text1"/>
          <w:shd w:val="clear" w:color="auto" w:fill="FFFFFF"/>
        </w:rPr>
        <w:t>p.</w:t>
      </w:r>
      <w:r w:rsidR="00B62D59">
        <w:rPr>
          <w:color w:val="000000" w:themeColor="text1"/>
          <w:shd w:val="clear" w:color="auto" w:fill="FFFFFF"/>
        </w:rPr>
        <w:t> </w:t>
      </w:r>
      <w:r w:rsidRPr="00B42258">
        <w:rPr>
          <w:color w:val="000000" w:themeColor="text1"/>
          <w:shd w:val="clear" w:color="auto" w:fill="FFFFFF"/>
        </w:rPr>
        <w:t>255-</w:t>
      </w:r>
      <w:r>
        <w:rPr>
          <w:color w:val="000000" w:themeColor="text1"/>
          <w:shd w:val="clear" w:color="auto" w:fill="FFFFFF"/>
        </w:rPr>
        <w:t>2</w:t>
      </w:r>
      <w:r w:rsidRPr="00B42258">
        <w:rPr>
          <w:color w:val="000000" w:themeColor="text1"/>
          <w:shd w:val="clear" w:color="auto" w:fill="FFFFFF"/>
        </w:rPr>
        <w:t>93.</w:t>
      </w:r>
    </w:p>
    <w:p w14:paraId="146926FB" w14:textId="6E42B491" w:rsidR="008952C8" w:rsidRPr="008952C8" w:rsidRDefault="008952C8" w:rsidP="004030CD">
      <w:pPr>
        <w:pStyle w:val="Biblio-Entry"/>
        <w:rPr>
          <w:color w:val="000000" w:themeColor="text1"/>
        </w:rPr>
      </w:pPr>
      <w:r w:rsidRPr="008952C8">
        <w:t>Gruber, J. and E. Saez (2002), “The Elasticity of Taxable Income: Evidence and Implications”,</w:t>
      </w:r>
      <w:r w:rsidRPr="008952C8">
        <w:rPr>
          <w:rStyle w:val="apple-converted-space"/>
          <w:color w:val="000000"/>
        </w:rPr>
        <w:t> </w:t>
      </w:r>
      <w:r w:rsidRPr="008952C8">
        <w:rPr>
          <w:rStyle w:val="Emphasis"/>
          <w:color w:val="000000"/>
        </w:rPr>
        <w:t>Journal of Public Economics</w:t>
      </w:r>
      <w:r w:rsidRPr="008952C8">
        <w:t xml:space="preserve">, </w:t>
      </w:r>
      <w:r w:rsidR="00B62D59">
        <w:t>V</w:t>
      </w:r>
      <w:r w:rsidRPr="008952C8">
        <w:t>ol. 84, pp. 1-32.</w:t>
      </w:r>
    </w:p>
    <w:p w14:paraId="21093464" w14:textId="10160794" w:rsidR="007311E1" w:rsidRDefault="007311E1" w:rsidP="004030CD">
      <w:pPr>
        <w:pStyle w:val="Biblio-Entry"/>
      </w:pPr>
      <w:r>
        <w:t>Hill, B.</w:t>
      </w:r>
      <w:r w:rsidRPr="007311E1">
        <w:t xml:space="preserve"> M. </w:t>
      </w:r>
      <w:r>
        <w:t>(</w:t>
      </w:r>
      <w:r w:rsidRPr="007311E1">
        <w:t>1975</w:t>
      </w:r>
      <w:r>
        <w:t>),</w:t>
      </w:r>
      <w:r w:rsidRPr="007311E1">
        <w:t xml:space="preserve"> “A Simple</w:t>
      </w:r>
      <w:r>
        <w:t xml:space="preserve"> General Approach to Inference a</w:t>
      </w:r>
      <w:r w:rsidRPr="007311E1">
        <w:t xml:space="preserve">bout the Tail of a Distribution.” </w:t>
      </w:r>
      <w:r w:rsidRPr="007311E1">
        <w:rPr>
          <w:i/>
          <w:iCs/>
        </w:rPr>
        <w:t>The Annals of Statistics</w:t>
      </w:r>
      <w:r>
        <w:rPr>
          <w:i/>
          <w:iCs/>
        </w:rPr>
        <w:t xml:space="preserve">, </w:t>
      </w:r>
      <w:r w:rsidR="00B62D59">
        <w:rPr>
          <w:iCs/>
        </w:rPr>
        <w:t>V</w:t>
      </w:r>
      <w:r w:rsidRPr="007311E1">
        <w:rPr>
          <w:iCs/>
        </w:rPr>
        <w:t xml:space="preserve">ol. </w:t>
      </w:r>
      <w:r>
        <w:t xml:space="preserve">3(5), </w:t>
      </w:r>
      <w:r w:rsidRPr="007311E1">
        <w:t>pp</w:t>
      </w:r>
      <w:r>
        <w:t>. 1163-11</w:t>
      </w:r>
      <w:r w:rsidRPr="007311E1">
        <w:t>74.</w:t>
      </w:r>
    </w:p>
    <w:p w14:paraId="792BA58F" w14:textId="4353448A" w:rsidR="00BB1E17" w:rsidRDefault="00BB1E17" w:rsidP="00BB1E17">
      <w:pPr>
        <w:pStyle w:val="Biblio-Entry"/>
      </w:pPr>
      <w:r w:rsidRPr="00BB1E17">
        <w:t>Jenkins, S</w:t>
      </w:r>
      <w:r>
        <w:t>.</w:t>
      </w:r>
      <w:r w:rsidRPr="00BB1E17">
        <w:t xml:space="preserve"> P.</w:t>
      </w:r>
      <w:r>
        <w:t xml:space="preserve">, R. V. </w:t>
      </w:r>
      <w:r w:rsidRPr="00BB1E17">
        <w:t xml:space="preserve">Burkhauser, </w:t>
      </w:r>
      <w:r>
        <w:t>S.</w:t>
      </w:r>
      <w:r w:rsidRPr="00BB1E17">
        <w:t xml:space="preserve"> Feng and </w:t>
      </w:r>
      <w:r>
        <w:t xml:space="preserve">J. </w:t>
      </w:r>
      <w:r w:rsidRPr="00BB1E17">
        <w:t>Larrimore (2011)</w:t>
      </w:r>
      <w:r>
        <w:t>,</w:t>
      </w:r>
      <w:r w:rsidRPr="00BB1E17">
        <w:rPr>
          <w:rStyle w:val="apple-converted-space"/>
        </w:rPr>
        <w:t> </w:t>
      </w:r>
      <w:r>
        <w:rPr>
          <w:rStyle w:val="apple-converted-space"/>
        </w:rPr>
        <w:t>“</w:t>
      </w:r>
      <w:r w:rsidRPr="0097548B">
        <w:t>Measuring Inequality Using Censored Data: a Multiple-Imputation Approach to Estimation and Inference</w:t>
      </w:r>
      <w:r>
        <w:rPr>
          <w:rStyle w:val="Strong"/>
          <w:b w:val="0"/>
          <w:bCs w:val="0"/>
        </w:rPr>
        <w:t>”</w:t>
      </w:r>
      <w:r w:rsidR="00A405CF">
        <w:rPr>
          <w:rStyle w:val="Strong"/>
          <w:b w:val="0"/>
          <w:bCs w:val="0"/>
        </w:rPr>
        <w:t>,</w:t>
      </w:r>
      <w:r w:rsidRPr="00BB1E17">
        <w:rPr>
          <w:rStyle w:val="apple-converted-space"/>
        </w:rPr>
        <w:t> </w:t>
      </w:r>
      <w:r w:rsidRPr="00BB1E17">
        <w:rPr>
          <w:rStyle w:val="Emphasis"/>
          <w:iCs w:val="0"/>
        </w:rPr>
        <w:t>Journal of the Royal Statistical Society: Series A (Statistics in Society)</w:t>
      </w:r>
      <w:r w:rsidRPr="00BB1E17">
        <w:t xml:space="preserve">, </w:t>
      </w:r>
      <w:r w:rsidR="00B62D59">
        <w:t>V</w:t>
      </w:r>
      <w:r>
        <w:t>ol. 174(1), pp.</w:t>
      </w:r>
      <w:r w:rsidRPr="00BB1E17">
        <w:t xml:space="preserve"> 63-81.</w:t>
      </w:r>
    </w:p>
    <w:p w14:paraId="1A7B58DC" w14:textId="000A67A3" w:rsidR="00C67644" w:rsidRPr="00C67644" w:rsidRDefault="00C67644" w:rsidP="00C67644">
      <w:pPr>
        <w:pStyle w:val="Biblio-Entry"/>
      </w:pPr>
      <w:r>
        <w:t xml:space="preserve">Juhn, C., K. M. Murphy and B. Pierce (1993), “Wage Inequality and the Rise in Returns to Skill”, </w:t>
      </w:r>
      <w:r w:rsidRPr="00C67644">
        <w:rPr>
          <w:i/>
        </w:rPr>
        <w:t>Journal of Political Economy</w:t>
      </w:r>
      <w:r>
        <w:t xml:space="preserve">, </w:t>
      </w:r>
      <w:r w:rsidR="00B62D59">
        <w:t>V</w:t>
      </w:r>
      <w:r>
        <w:t>ol. 101(3), pp. 410-442.</w:t>
      </w:r>
    </w:p>
    <w:p w14:paraId="090CB7C8" w14:textId="07C26C30" w:rsidR="00261E45" w:rsidRPr="00261E45" w:rsidRDefault="00261E45" w:rsidP="00261E45">
      <w:pPr>
        <w:pStyle w:val="Biblio-Entry"/>
      </w:pPr>
      <w:r>
        <w:t xml:space="preserve">Katz, L. F. and K. M. Murphy (1992), “Changes in Relative Wages, 1963-87: Supply and Demand Factors”, </w:t>
      </w:r>
      <w:r w:rsidRPr="00261E45">
        <w:rPr>
          <w:i/>
        </w:rPr>
        <w:t>Quarterly Journal of Economics</w:t>
      </w:r>
      <w:r>
        <w:t xml:space="preserve">, </w:t>
      </w:r>
      <w:r w:rsidR="00B62D59">
        <w:t>V</w:t>
      </w:r>
      <w:r>
        <w:t>ol. 107, pp. 35-78.</w:t>
      </w:r>
    </w:p>
    <w:p w14:paraId="47F32E8D" w14:textId="1A6B0545" w:rsidR="00B03067" w:rsidRDefault="00B03067" w:rsidP="00B03067">
      <w:pPr>
        <w:pStyle w:val="Biblio-Entry"/>
      </w:pPr>
      <w:r>
        <w:t>Klass, O. S., O.</w:t>
      </w:r>
      <w:r w:rsidRPr="00B03067">
        <w:t xml:space="preserve"> Bih</w:t>
      </w:r>
      <w:r>
        <w:t>am, M. Levy, O. Malcai and S.</w:t>
      </w:r>
      <w:r w:rsidR="00A652F8">
        <w:t xml:space="preserve"> Solomon (</w:t>
      </w:r>
      <w:r w:rsidRPr="00B03067">
        <w:t>2006</w:t>
      </w:r>
      <w:r w:rsidR="00A652F8">
        <w:t>),</w:t>
      </w:r>
      <w:r w:rsidRPr="00B03067">
        <w:t xml:space="preserve"> “The Forbes 400 and</w:t>
      </w:r>
      <w:r w:rsidR="00A652F8">
        <w:t xml:space="preserve"> the Pareto Wealth Distribution</w:t>
      </w:r>
      <w:r w:rsidRPr="00B03067">
        <w:t xml:space="preserve">” </w:t>
      </w:r>
      <w:r w:rsidRPr="00B03067">
        <w:rPr>
          <w:i/>
          <w:iCs/>
        </w:rPr>
        <w:t>Economics Letters</w:t>
      </w:r>
      <w:r w:rsidRPr="00B03067">
        <w:t xml:space="preserve"> </w:t>
      </w:r>
      <w:r w:rsidR="00B62D59">
        <w:t>V</w:t>
      </w:r>
      <w:r w:rsidR="00A652F8">
        <w:t>ol. 90(2), pp. 290-2</w:t>
      </w:r>
      <w:r w:rsidRPr="00B03067">
        <w:t>95.</w:t>
      </w:r>
    </w:p>
    <w:p w14:paraId="574DA838" w14:textId="16B5E0CA" w:rsidR="00E91135" w:rsidRPr="00E91135" w:rsidRDefault="00E91135" w:rsidP="00E91135">
      <w:pPr>
        <w:pStyle w:val="Biblio-Entry"/>
      </w:pPr>
      <w:r>
        <w:t xml:space="preserve">Leigh, A. (2007), “How Closely Do Top Incomes Shares Track Other Measures of Inequality?”, </w:t>
      </w:r>
      <w:r w:rsidRPr="00D75F05">
        <w:rPr>
          <w:i/>
        </w:rPr>
        <w:t>The Economic Journal</w:t>
      </w:r>
      <w:r>
        <w:t xml:space="preserve">, </w:t>
      </w:r>
      <w:r w:rsidR="00B62D59">
        <w:t>V</w:t>
      </w:r>
      <w:r>
        <w:t>ol. 117, pp. F589-F603.</w:t>
      </w:r>
    </w:p>
    <w:p w14:paraId="593B53BE" w14:textId="77777777" w:rsidR="000B1097" w:rsidRPr="00E91135" w:rsidRDefault="000B1097" w:rsidP="004030CD">
      <w:pPr>
        <w:pStyle w:val="Biblio-Entry"/>
      </w:pPr>
      <w:r w:rsidRPr="00E91135">
        <w:t xml:space="preserve">Macaulay, F. Robertson (1922), </w:t>
      </w:r>
      <w:r w:rsidRPr="00E91135">
        <w:rPr>
          <w:i/>
          <w:iCs/>
        </w:rPr>
        <w:t>The Personal Distribution of Income in the United States</w:t>
      </w:r>
      <w:r w:rsidRPr="00E91135">
        <w:t>, Harcourt Publishing, New York.</w:t>
      </w:r>
    </w:p>
    <w:p w14:paraId="54089356" w14:textId="5A7D6C1D" w:rsidR="005B3587" w:rsidRPr="005B3587" w:rsidRDefault="005B3587" w:rsidP="005B3587">
      <w:pPr>
        <w:pStyle w:val="Biblio-Entry"/>
      </w:pPr>
      <w:r w:rsidRPr="005B3587">
        <w:t>Mandelbrot</w:t>
      </w:r>
      <w:r>
        <w:t>, B. (1960), “</w:t>
      </w:r>
      <w:r w:rsidRPr="0097548B">
        <w:rPr>
          <w:shd w:val="clear" w:color="auto" w:fill="FFFFFF"/>
        </w:rPr>
        <w:t>The Pareto-Levy Law and the Distribution of Income</w:t>
      </w:r>
      <w:r>
        <w:t xml:space="preserve">”, </w:t>
      </w:r>
      <w:r>
        <w:rPr>
          <w:i/>
        </w:rPr>
        <w:t xml:space="preserve">International Economic </w:t>
      </w:r>
      <w:r w:rsidRPr="005B3587">
        <w:rPr>
          <w:i/>
        </w:rPr>
        <w:t>Review</w:t>
      </w:r>
      <w:r>
        <w:t>,</w:t>
      </w:r>
      <w:r w:rsidRPr="005B3587">
        <w:t xml:space="preserve"> </w:t>
      </w:r>
      <w:r w:rsidR="00B62D59">
        <w:t>V</w:t>
      </w:r>
      <w:r>
        <w:t>ol. 1</w:t>
      </w:r>
      <w:r w:rsidRPr="005B3587">
        <w:t xml:space="preserve">(2), </w:t>
      </w:r>
      <w:r>
        <w:t xml:space="preserve">pp. </w:t>
      </w:r>
      <w:r w:rsidRPr="005B3587">
        <w:t>79-106</w:t>
      </w:r>
      <w:r>
        <w:t>.</w:t>
      </w:r>
    </w:p>
    <w:p w14:paraId="680938FC" w14:textId="77777777" w:rsidR="00392266" w:rsidRDefault="004030CD" w:rsidP="004030CD">
      <w:pPr>
        <w:pStyle w:val="Biblio-Entry"/>
        <w:rPr>
          <w:lang w:val="en-US"/>
        </w:rPr>
      </w:pPr>
      <w:r>
        <w:rPr>
          <w:lang w:val="en-US"/>
        </w:rPr>
        <w:t>OECD (2011</w:t>
      </w:r>
      <w:r w:rsidRPr="006C4AFA">
        <w:rPr>
          <w:lang w:val="en-US"/>
        </w:rPr>
        <w:t xml:space="preserve">), </w:t>
      </w:r>
      <w:r w:rsidRPr="004030CD">
        <w:rPr>
          <w:i/>
          <w:lang w:val="en-US"/>
        </w:rPr>
        <w:t>Divided we Stand: Why Inequality Keeps Rising</w:t>
      </w:r>
      <w:r w:rsidRPr="006C4AFA">
        <w:rPr>
          <w:lang w:val="en-US"/>
        </w:rPr>
        <w:t>, OECD</w:t>
      </w:r>
      <w:r>
        <w:rPr>
          <w:lang w:val="en-US"/>
        </w:rPr>
        <w:t xml:space="preserve"> Publishing</w:t>
      </w:r>
      <w:r w:rsidRPr="006C4AFA">
        <w:rPr>
          <w:lang w:val="en-US"/>
        </w:rPr>
        <w:t>, Paris.</w:t>
      </w:r>
    </w:p>
    <w:p w14:paraId="44DC0738" w14:textId="77777777" w:rsidR="00125631" w:rsidRDefault="00125631" w:rsidP="004030CD">
      <w:pPr>
        <w:pStyle w:val="Biblio-Entry"/>
        <w:rPr>
          <w:lang w:val="en-US"/>
        </w:rPr>
      </w:pPr>
      <w:r>
        <w:t xml:space="preserve">OECD (2014a), </w:t>
      </w:r>
      <w:r w:rsidRPr="00125631">
        <w:rPr>
          <w:i/>
        </w:rPr>
        <w:t>Focus on Top Incomes and Taxation in OECD Countries: Was the crisis a game changer?</w:t>
      </w:r>
      <w:r>
        <w:t xml:space="preserve">, </w:t>
      </w:r>
      <w:r w:rsidRPr="006C4AFA">
        <w:rPr>
          <w:lang w:val="en-US"/>
        </w:rPr>
        <w:t>OECD</w:t>
      </w:r>
      <w:r>
        <w:rPr>
          <w:lang w:val="en-US"/>
        </w:rPr>
        <w:t xml:space="preserve"> Publishing</w:t>
      </w:r>
      <w:r w:rsidRPr="006C4AFA">
        <w:rPr>
          <w:lang w:val="en-US"/>
        </w:rPr>
        <w:t>, Paris.</w:t>
      </w:r>
    </w:p>
    <w:p w14:paraId="480DC9DB" w14:textId="77777777" w:rsidR="00836076" w:rsidRPr="00836076" w:rsidRDefault="00836076" w:rsidP="004030CD">
      <w:pPr>
        <w:pStyle w:val="Biblio-Entry"/>
        <w:rPr>
          <w:lang w:val="en-US"/>
        </w:rPr>
      </w:pPr>
      <w:r>
        <w:t xml:space="preserve">OECD (2014b), </w:t>
      </w:r>
      <w:r>
        <w:rPr>
          <w:i/>
        </w:rPr>
        <w:t>All on Board: Making Inclusive Growth Happen</w:t>
      </w:r>
      <w:r>
        <w:t xml:space="preserve">, </w:t>
      </w:r>
      <w:r w:rsidRPr="006C4AFA">
        <w:rPr>
          <w:lang w:val="en-US"/>
        </w:rPr>
        <w:t>OECD</w:t>
      </w:r>
      <w:r>
        <w:rPr>
          <w:lang w:val="en-US"/>
        </w:rPr>
        <w:t xml:space="preserve"> Publishing</w:t>
      </w:r>
      <w:r w:rsidRPr="006C4AFA">
        <w:rPr>
          <w:lang w:val="en-US"/>
        </w:rPr>
        <w:t>, Paris</w:t>
      </w:r>
      <w:r>
        <w:rPr>
          <w:lang w:val="en-US"/>
        </w:rPr>
        <w:t>.</w:t>
      </w:r>
    </w:p>
    <w:p w14:paraId="5405C095" w14:textId="77777777" w:rsidR="005B3587" w:rsidRDefault="005B3587" w:rsidP="005B3587">
      <w:pPr>
        <w:pStyle w:val="Biblio-Entry"/>
        <w:rPr>
          <w:lang w:val="fr-FR"/>
        </w:rPr>
      </w:pPr>
      <w:r>
        <w:rPr>
          <w:lang w:val="fr-FR"/>
        </w:rPr>
        <w:lastRenderedPageBreak/>
        <w:t>Pareto, V.</w:t>
      </w:r>
      <w:r w:rsidRPr="005B3587">
        <w:rPr>
          <w:lang w:val="fr-FR"/>
        </w:rPr>
        <w:t xml:space="preserve"> </w:t>
      </w:r>
      <w:r>
        <w:rPr>
          <w:lang w:val="fr-FR"/>
        </w:rPr>
        <w:t>(</w:t>
      </w:r>
      <w:r w:rsidRPr="005B3587">
        <w:rPr>
          <w:lang w:val="fr-FR"/>
        </w:rPr>
        <w:t>1896</w:t>
      </w:r>
      <w:r>
        <w:rPr>
          <w:lang w:val="fr-FR"/>
        </w:rPr>
        <w:t>),</w:t>
      </w:r>
      <w:r w:rsidRPr="005B3587">
        <w:rPr>
          <w:lang w:val="fr-FR"/>
        </w:rPr>
        <w:t xml:space="preserve"> </w:t>
      </w:r>
      <w:r w:rsidRPr="005B3587">
        <w:rPr>
          <w:i/>
          <w:lang w:val="fr-FR"/>
        </w:rPr>
        <w:t>La Courbe de la Répartition de la Richesse</w:t>
      </w:r>
      <w:r w:rsidRPr="005B3587">
        <w:rPr>
          <w:lang w:val="fr-FR"/>
        </w:rPr>
        <w:t>,</w:t>
      </w:r>
      <w:r>
        <w:rPr>
          <w:lang w:val="fr-FR"/>
        </w:rPr>
        <w:t xml:space="preserve"> </w:t>
      </w:r>
      <w:r w:rsidRPr="005B3587">
        <w:rPr>
          <w:lang w:val="fr-FR"/>
        </w:rPr>
        <w:t xml:space="preserve">writings by </w:t>
      </w:r>
      <w:r>
        <w:rPr>
          <w:lang w:val="fr-FR"/>
        </w:rPr>
        <w:t xml:space="preserve">Vilfredo </w:t>
      </w:r>
      <w:r w:rsidRPr="005B3587">
        <w:rPr>
          <w:lang w:val="fr-FR"/>
        </w:rPr>
        <w:t>Pareto collected by G.</w:t>
      </w:r>
      <w:r>
        <w:rPr>
          <w:lang w:val="fr-FR"/>
        </w:rPr>
        <w:t xml:space="preserve"> Busino, Librairie Droz, 1965</w:t>
      </w:r>
      <w:r w:rsidRPr="005B3587">
        <w:rPr>
          <w:lang w:val="fr-FR"/>
        </w:rPr>
        <w:t xml:space="preserve">, </w:t>
      </w:r>
      <w:r>
        <w:rPr>
          <w:lang w:val="fr-FR"/>
        </w:rPr>
        <w:t xml:space="preserve">pp. </w:t>
      </w:r>
      <w:r w:rsidRPr="005B3587">
        <w:rPr>
          <w:lang w:val="fr-FR"/>
        </w:rPr>
        <w:t>1–15.</w:t>
      </w:r>
    </w:p>
    <w:p w14:paraId="7BB9EECA" w14:textId="77777777" w:rsidR="005B3587" w:rsidRPr="005B3587" w:rsidRDefault="005B3587" w:rsidP="005B3587">
      <w:pPr>
        <w:pStyle w:val="Biblio-Entry"/>
        <w:rPr>
          <w:lang w:val="fr-FR"/>
        </w:rPr>
      </w:pPr>
      <w:r w:rsidRPr="005B3587">
        <w:rPr>
          <w:lang w:val="fr-FR"/>
        </w:rPr>
        <w:t>Piketty, T. (2001</w:t>
      </w:r>
      <w:r>
        <w:rPr>
          <w:lang w:val="fr-FR"/>
        </w:rPr>
        <w:t>),</w:t>
      </w:r>
      <w:r w:rsidRPr="005B3587">
        <w:rPr>
          <w:lang w:val="fr-FR"/>
        </w:rPr>
        <w:t xml:space="preserve"> </w:t>
      </w:r>
      <w:r w:rsidRPr="005B3587">
        <w:rPr>
          <w:i/>
          <w:iCs/>
          <w:lang w:val="fr-FR"/>
        </w:rPr>
        <w:t>Les Hauts Revenus En France Au XXème Siècle</w:t>
      </w:r>
      <w:r>
        <w:rPr>
          <w:lang w:val="fr-FR"/>
        </w:rPr>
        <w:t>, Éditions</w:t>
      </w:r>
      <w:r w:rsidRPr="005B3587">
        <w:rPr>
          <w:lang w:val="fr-FR"/>
        </w:rPr>
        <w:t xml:space="preserve"> Grasset</w:t>
      </w:r>
      <w:r>
        <w:rPr>
          <w:lang w:val="fr-FR"/>
        </w:rPr>
        <w:t>, Paris</w:t>
      </w:r>
      <w:r w:rsidRPr="005B3587">
        <w:rPr>
          <w:lang w:val="fr-FR"/>
        </w:rPr>
        <w:t>.</w:t>
      </w:r>
    </w:p>
    <w:p w14:paraId="270AB358" w14:textId="18A9805C" w:rsidR="00392266" w:rsidRDefault="00090513" w:rsidP="00090513">
      <w:pPr>
        <w:pStyle w:val="Biblio-Entry"/>
      </w:pPr>
      <w:r w:rsidRPr="00090513">
        <w:t xml:space="preserve">Piketty, T., and E. Saez (2003), </w:t>
      </w:r>
      <w:r w:rsidRPr="00D75F05">
        <w:t>“Income Inequality in the United States, 1913-1998”,</w:t>
      </w:r>
      <w:r w:rsidRPr="00090513">
        <w:rPr>
          <w:rStyle w:val="apple-converted-space"/>
          <w:color w:val="000000"/>
        </w:rPr>
        <w:t> </w:t>
      </w:r>
      <w:r w:rsidRPr="00090513">
        <w:rPr>
          <w:rStyle w:val="Emphasis"/>
          <w:color w:val="000000"/>
        </w:rPr>
        <w:t>Quarterly Journal of Economics</w:t>
      </w:r>
      <w:r w:rsidRPr="00D75F05">
        <w:t xml:space="preserve">, </w:t>
      </w:r>
      <w:r w:rsidR="00B62D59">
        <w:t>V</w:t>
      </w:r>
      <w:r w:rsidRPr="00D75F05">
        <w:t xml:space="preserve">ol. 118(1), </w:t>
      </w:r>
      <w:r w:rsidR="00125631" w:rsidRPr="00D75F05">
        <w:t xml:space="preserve">pp. </w:t>
      </w:r>
      <w:r w:rsidRPr="00D75F05">
        <w:t>1-39</w:t>
      </w:r>
      <w:r>
        <w:t>.</w:t>
      </w:r>
    </w:p>
    <w:p w14:paraId="608F0977" w14:textId="64FC5C02" w:rsidR="007923DC" w:rsidRPr="007923DC" w:rsidRDefault="007923DC" w:rsidP="007923DC">
      <w:pPr>
        <w:pStyle w:val="Biblio-Entry"/>
      </w:pPr>
      <w:r w:rsidRPr="00090513">
        <w:t>Piketty, T., and E. Saez</w:t>
      </w:r>
      <w:r>
        <w:t xml:space="preserve"> (2013),</w:t>
      </w:r>
      <w:r w:rsidRPr="007923DC">
        <w:t xml:space="preserve"> </w:t>
      </w:r>
      <w:r>
        <w:t>“</w:t>
      </w:r>
      <w:r w:rsidRPr="007923DC">
        <w:t xml:space="preserve">Top </w:t>
      </w:r>
      <w:r w:rsidR="00B62D59">
        <w:t>I</w:t>
      </w:r>
      <w:r>
        <w:t xml:space="preserve">ncomes and the Great Recession”, </w:t>
      </w:r>
      <w:r w:rsidRPr="007923DC">
        <w:rPr>
          <w:i/>
        </w:rPr>
        <w:t>IMF Economic Review</w:t>
      </w:r>
      <w:r w:rsidRPr="007923DC">
        <w:t xml:space="preserve">, </w:t>
      </w:r>
      <w:r w:rsidR="00B62D59">
        <w:t>V</w:t>
      </w:r>
      <w:r w:rsidRPr="007923DC">
        <w:t>ol.</w:t>
      </w:r>
      <w:r>
        <w:t xml:space="preserve"> 61, </w:t>
      </w:r>
      <w:r w:rsidRPr="007923DC">
        <w:t>p</w:t>
      </w:r>
      <w:r>
        <w:t>p</w:t>
      </w:r>
      <w:r w:rsidRPr="007923DC">
        <w:t>.</w:t>
      </w:r>
      <w:r>
        <w:t xml:space="preserve"> </w:t>
      </w:r>
      <w:r w:rsidRPr="007923DC">
        <w:t>456-478.</w:t>
      </w:r>
    </w:p>
    <w:p w14:paraId="6A6AF38B" w14:textId="40629424" w:rsidR="00B42258" w:rsidRDefault="00B42258" w:rsidP="00B42258">
      <w:pPr>
        <w:pStyle w:val="Biblio-Entry"/>
      </w:pPr>
      <w:r w:rsidRPr="00B42258">
        <w:t xml:space="preserve">Schumpeter J. </w:t>
      </w:r>
      <w:r>
        <w:t>(</w:t>
      </w:r>
      <w:r w:rsidRPr="00B42258">
        <w:t>1949</w:t>
      </w:r>
      <w:r>
        <w:t>),</w:t>
      </w:r>
      <w:r w:rsidRPr="00B42258">
        <w:t xml:space="preserve"> </w:t>
      </w:r>
      <w:r>
        <w:t>“</w:t>
      </w:r>
      <w:r w:rsidRPr="00B42258">
        <w:t>Vilfredo Pareto (1848-1923)</w:t>
      </w:r>
      <w:r>
        <w:t>”,</w:t>
      </w:r>
      <w:r w:rsidRPr="00B42258">
        <w:t xml:space="preserve"> </w:t>
      </w:r>
      <w:r w:rsidRPr="00B42258">
        <w:rPr>
          <w:i/>
        </w:rPr>
        <w:t>Quarterly Journal of Economics</w:t>
      </w:r>
      <w:r>
        <w:t>,</w:t>
      </w:r>
      <w:r w:rsidRPr="00B42258">
        <w:t xml:space="preserve"> </w:t>
      </w:r>
      <w:r w:rsidR="00B62D59">
        <w:t>V</w:t>
      </w:r>
      <w:r>
        <w:t xml:space="preserve">ol. 63, pp. </w:t>
      </w:r>
      <w:r w:rsidRPr="00B42258">
        <w:t>147-</w:t>
      </w:r>
      <w:r>
        <w:t>1</w:t>
      </w:r>
      <w:r w:rsidRPr="00B42258">
        <w:t>72</w:t>
      </w:r>
      <w:r>
        <w:t>.</w:t>
      </w:r>
    </w:p>
    <w:p w14:paraId="240E091E" w14:textId="77777777" w:rsidR="00C62F84" w:rsidRPr="00C62F84" w:rsidRDefault="00C62F84" w:rsidP="00B42258">
      <w:pPr>
        <w:pStyle w:val="Biblio-Entry"/>
      </w:pPr>
      <w:r w:rsidRPr="006C4AFA">
        <w:t xml:space="preserve">Stiglitz, J.E., A. Sen and J.-P. Fitoussi (2009), </w:t>
      </w:r>
      <w:r w:rsidRPr="006C4AFA">
        <w:rPr>
          <w:i/>
        </w:rPr>
        <w:t xml:space="preserve">Report by the Commission on the Measurement of Economic Performance and Social </w:t>
      </w:r>
      <w:r w:rsidRPr="00152D4A">
        <w:rPr>
          <w:i/>
        </w:rPr>
        <w:t>Progres</w:t>
      </w:r>
      <w:r>
        <w:rPr>
          <w:i/>
        </w:rPr>
        <w:t>s</w:t>
      </w:r>
      <w:r w:rsidRPr="00C62F84">
        <w:t>.</w:t>
      </w:r>
    </w:p>
    <w:p w14:paraId="498093C6" w14:textId="20D9F3A2" w:rsidR="00066F91" w:rsidRDefault="00066F91" w:rsidP="00B42258">
      <w:pPr>
        <w:pStyle w:val="Biblio-Entry"/>
      </w:pPr>
      <w:r w:rsidRPr="00B42258">
        <w:t xml:space="preserve">Tinbergen, J. (1956), “On the Theory of Income Distribution”, </w:t>
      </w:r>
      <w:r w:rsidRPr="00B42258">
        <w:rPr>
          <w:i/>
          <w:iCs/>
        </w:rPr>
        <w:t>Weltwirtschaftliches Archiv</w:t>
      </w:r>
      <w:r w:rsidRPr="00B42258">
        <w:t xml:space="preserve">, </w:t>
      </w:r>
      <w:r w:rsidR="00B62D59">
        <w:t>V</w:t>
      </w:r>
      <w:r w:rsidRPr="00B42258">
        <w:t xml:space="preserve">ol. LXXVII, pp. </w:t>
      </w:r>
      <w:r w:rsidR="007311E1" w:rsidRPr="00B42258">
        <w:t>155-</w:t>
      </w:r>
      <w:r w:rsidRPr="00B42258">
        <w:t>75.</w:t>
      </w:r>
    </w:p>
    <w:p w14:paraId="64B1DE88" w14:textId="77777777" w:rsidR="00836076" w:rsidRPr="00836076" w:rsidRDefault="00836076" w:rsidP="00B42258">
      <w:pPr>
        <w:pStyle w:val="Biblio-Entry"/>
      </w:pPr>
      <w:r>
        <w:t xml:space="preserve">World Bank (2014), </w:t>
      </w:r>
      <w:r w:rsidRPr="00836076">
        <w:rPr>
          <w:i/>
        </w:rPr>
        <w:t>Ending Poverty and Sharing Prosperity</w:t>
      </w:r>
      <w:r>
        <w:t>, World Bank Group Edition.</w:t>
      </w:r>
    </w:p>
    <w:p w14:paraId="16B2EBD0" w14:textId="77777777" w:rsidR="00BB1E17" w:rsidRPr="00BB1E17" w:rsidRDefault="00BB1E17" w:rsidP="00B42258">
      <w:pPr>
        <w:pStyle w:val="Biblio-Entry"/>
      </w:pPr>
      <w:r>
        <w:t xml:space="preserve">West, S. (1985), “Estimation of the Mean from Censored Earnings Data”, </w:t>
      </w:r>
      <w:r w:rsidRPr="00261E45">
        <w:rPr>
          <w:i/>
        </w:rPr>
        <w:t>Proceedings of the Section on Survey Research</w:t>
      </w:r>
      <w:r w:rsidR="00261E45" w:rsidRPr="00261E45">
        <w:rPr>
          <w:i/>
        </w:rPr>
        <w:t xml:space="preserve"> Methods</w:t>
      </w:r>
      <w:r w:rsidR="00261E45">
        <w:t>, American Statistical Association, pp. 665-670.</w:t>
      </w:r>
    </w:p>
    <w:p w14:paraId="690D4D52" w14:textId="7E57033E" w:rsidR="007C66A0" w:rsidRDefault="007C66A0">
      <w:pPr>
        <w:tabs>
          <w:tab w:val="clear" w:pos="850"/>
          <w:tab w:val="clear" w:pos="1191"/>
          <w:tab w:val="clear" w:pos="1531"/>
        </w:tabs>
        <w:jc w:val="left"/>
      </w:pPr>
      <w:r>
        <w:br w:type="page"/>
      </w:r>
    </w:p>
    <w:p w14:paraId="3E5C3CEC" w14:textId="77777777" w:rsidR="00392266" w:rsidRPr="007D0CDE" w:rsidRDefault="00392266" w:rsidP="00392266">
      <w:pPr>
        <w:pStyle w:val="AnnexHeading"/>
      </w:pPr>
      <w:bookmarkStart w:id="63" w:name="_Toc416797633"/>
      <w:bookmarkStart w:id="64" w:name="_Toc416860237"/>
      <w:r w:rsidRPr="007D0CDE">
        <w:lastRenderedPageBreak/>
        <w:t>Annex</w:t>
      </w:r>
      <w:r w:rsidR="001B476A" w:rsidRPr="007D0CDE">
        <w:t xml:space="preserve"> 1</w:t>
      </w:r>
      <w:r w:rsidRPr="007D0CDE">
        <w:t>: Conditionnal esti</w:t>
      </w:r>
      <w:r w:rsidR="00E04FB0" w:rsidRPr="007D0CDE">
        <w:t>mate</w:t>
      </w:r>
      <w:r w:rsidRPr="007D0CDE">
        <w:t xml:space="preserve"> of </w:t>
      </w:r>
      <w:r w:rsidR="00765D3D" w:rsidRPr="007D0CDE">
        <w:t xml:space="preserve">an </w:t>
      </w:r>
      <w:r w:rsidRPr="007D0CDE">
        <w:t xml:space="preserve">income distribution </w:t>
      </w:r>
      <w:r w:rsidR="00E04FB0" w:rsidRPr="007D0CDE">
        <w:t xml:space="preserve">upper tail </w:t>
      </w:r>
      <w:r w:rsidR="00C709E1" w:rsidRPr="007D0CDE">
        <w:t>from</w:t>
      </w:r>
      <w:r w:rsidRPr="007D0CDE">
        <w:t xml:space="preserve"> ho</w:t>
      </w:r>
      <w:r w:rsidR="00E04FB0" w:rsidRPr="007D0CDE">
        <w:t>usehold survey</w:t>
      </w:r>
      <w:bookmarkEnd w:id="63"/>
      <w:bookmarkEnd w:id="64"/>
    </w:p>
    <w:p w14:paraId="739A066B" w14:textId="77777777" w:rsidR="00392266" w:rsidRPr="00513F5A" w:rsidRDefault="00392266" w:rsidP="00513F5A">
      <w:pPr>
        <w:pStyle w:val="Heading5"/>
        <w:rPr>
          <w:b/>
        </w:rPr>
      </w:pPr>
      <w:bookmarkStart w:id="65" w:name="_Toc416797088"/>
      <w:r w:rsidRPr="00513F5A">
        <w:rPr>
          <w:b/>
        </w:rPr>
        <w:t>Formulation of the problem</w:t>
      </w:r>
      <w:bookmarkEnd w:id="65"/>
    </w:p>
    <w:p w14:paraId="76F52B28" w14:textId="77777777" w:rsidR="00E04FB0" w:rsidRPr="00E04FB0" w:rsidRDefault="002002D3" w:rsidP="002002D3">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40</w:instrText>
      </w:r>
      <w:r>
        <w:fldChar w:fldCharType="end"/>
      </w:r>
      <w:r>
        <w:instrText>.</w:instrText>
      </w:r>
      <w:r>
        <w:tab/>
      </w:r>
      <w:r>
        <w:fldChar w:fldCharType="end"/>
      </w:r>
      <w:r w:rsidR="00E04FB0">
        <w:t>The distribution of income across N households is denoted by:</w:t>
      </w:r>
    </w:p>
    <w:p w14:paraId="36859A23" w14:textId="77777777" w:rsidR="00392266" w:rsidRPr="00E04FB0" w:rsidRDefault="00A56D55" w:rsidP="002002D3">
      <w:pPr>
        <w:pStyle w:val="Num-DocParagraph"/>
        <w:rPr>
          <w:rFonts w:ascii="Cambria Math" w:hAnsi="Cambria Math"/>
          <w:oMath/>
        </w:rPr>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m:oMathPara>
    </w:p>
    <w:p w14:paraId="3E770D40" w14:textId="77777777" w:rsidR="00BA6382" w:rsidRDefault="00E04FB0" w:rsidP="002002D3">
      <w:pPr>
        <w:pStyle w:val="BodyText"/>
        <w:ind w:firstLine="0"/>
      </w:pPr>
      <w:r>
        <w:t xml:space="preserve">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denote the same distribution ranked in </w:t>
      </w:r>
      <w:r w:rsidR="002002D3">
        <w:t>increasing</w:t>
      </w:r>
      <w:r>
        <w:t xml:space="preserve"> order of magnitude. </w:t>
      </w:r>
      <w:r w:rsidR="00BA6382">
        <w:t xml:space="preserve">Data are observed under the form of r mutually exclusive </w:t>
      </w:r>
      <w:r w:rsidR="002002D3">
        <w:t>(</w:t>
      </w:r>
      <w:r w:rsidR="00BA6382">
        <w:t>and exhaustive of the income scale</w:t>
      </w:r>
      <w:r w:rsidR="002002D3">
        <w:t>)</w:t>
      </w:r>
      <w:r w:rsidR="00BA6382">
        <w:t xml:space="preserve"> intervals</w:t>
      </w:r>
      <w:r w:rsidR="00E50F50">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oMath>
      <w:r w:rsidR="00BA6382">
        <w:t xml:space="preserve">, with associated frequencies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oMath>
      <w:r w:rsidR="00E50F50">
        <w:t xml:space="preserve"> and </w:t>
      </w:r>
      <w:r w:rsidR="00CE3222">
        <w:t>average</w:t>
      </w:r>
      <w:r w:rsidR="00E50F50">
        <w:t xml:space="preserve">-points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oMath>
      <w:r w:rsidR="002002D3">
        <w:t>. As incomes reported are generally positive in household survey</w:t>
      </w:r>
      <w:r w:rsidR="00E50F50">
        <w:t>s</w:t>
      </w:r>
      <w:r w:rsidR="002002D3">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2002D3">
        <w:t xml:space="preserve"> has a natural lower bound of zero and contains all</w:t>
      </w:r>
      <w:r w:rsidR="009174DA">
        <w:t xml:space="preserve"> the</w:t>
      </w:r>
      <w:r w:rsidR="002002D3">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2002D3">
        <w:t xml:space="preserve"> less than a fixed </w:t>
      </w:r>
      <w:r w:rsidR="009174DA">
        <w:t xml:space="preserve">threshold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9174DA">
        <w:t>.</w:t>
      </w:r>
      <w:r w:rsidR="002002D3">
        <w:t xml:space="preserv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2002D3">
        <w:t xml:space="preserve"> </w:t>
      </w:r>
      <w:r w:rsidR="009174DA">
        <w:t xml:space="preserve">contains all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9174DA">
        <w:t xml:space="preserve"> greater than or equal to a fixed threshold </w:t>
      </w:r>
      <m:oMath>
        <m:sSub>
          <m:sSubPr>
            <m:ctrlPr>
              <w:rPr>
                <w:rFonts w:ascii="Cambria Math" w:hAnsi="Cambria Math"/>
                <w:i/>
              </w:rPr>
            </m:ctrlPr>
          </m:sSubPr>
          <m:e>
            <m:r>
              <w:rPr>
                <w:rFonts w:ascii="Cambria Math" w:hAnsi="Cambria Math"/>
              </w:rPr>
              <m:t>U</m:t>
            </m:r>
          </m:e>
          <m:sub>
            <m:r>
              <w:rPr>
                <w:rFonts w:ascii="Cambria Math" w:hAnsi="Cambria Math"/>
              </w:rPr>
              <m:t>(r-1)</m:t>
            </m:r>
          </m:sub>
        </m:sSub>
      </m:oMath>
      <w:r w:rsidR="009174DA">
        <w:t xml:space="preserve"> but </w:t>
      </w:r>
      <w:r w:rsidR="002002D3">
        <w:t xml:space="preserve">has no upper bound: incomes can go up to very large values. For i=2,3,…,(r-1),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2002D3">
        <w:t xml:space="preserve"> are </w:t>
      </w:r>
      <w:r w:rsidR="000B134D">
        <w:t xml:space="preserve">all </w:t>
      </w:r>
      <w:r w:rsidR="002002D3">
        <w:t xml:space="preserve">bounded intervals </w:t>
      </w:r>
      <w:r w:rsidR="000B134D">
        <w:t xml:space="preserve">containing all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0B134D">
        <w:t xml:space="preserve"> greater </w:t>
      </w:r>
      <w:r w:rsidR="00E50F50">
        <w:t xml:space="preserve">than </w:t>
      </w:r>
      <w:r w:rsidR="000B134D">
        <w:t xml:space="preserve">or equal to </w:t>
      </w:r>
      <m:oMath>
        <m:sSub>
          <m:sSubPr>
            <m:ctrlPr>
              <w:rPr>
                <w:rFonts w:ascii="Cambria Math" w:hAnsi="Cambria Math"/>
                <w:i/>
              </w:rPr>
            </m:ctrlPr>
          </m:sSubPr>
          <m:e>
            <m:r>
              <w:rPr>
                <w:rFonts w:ascii="Cambria Math" w:hAnsi="Cambria Math"/>
              </w:rPr>
              <m:t>U</m:t>
            </m:r>
          </m:e>
          <m:sub>
            <m:r>
              <w:rPr>
                <w:rFonts w:ascii="Cambria Math" w:hAnsi="Cambria Math"/>
              </w:rPr>
              <m:t>(i-1)</m:t>
            </m:r>
          </m:sub>
        </m:sSub>
      </m:oMath>
      <w:r w:rsidR="000B134D">
        <w:t xml:space="preserve"> but less than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0B134D">
        <w:t>.</w:t>
      </w:r>
    </w:p>
    <w:p w14:paraId="78443699" w14:textId="77777777" w:rsidR="00CE3222" w:rsidRDefault="00CE3222" w:rsidP="00CE3222">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41</w:instrText>
      </w:r>
      <w:r>
        <w:fldChar w:fldCharType="end"/>
      </w:r>
      <w:r>
        <w:instrText>.</w:instrText>
      </w:r>
      <w:r>
        <w:tab/>
      </w:r>
      <w:r>
        <w:fldChar w:fldCharType="end"/>
      </w:r>
      <w:r w:rsidR="00362D26">
        <w:t>A</w:t>
      </w:r>
      <w:r>
        <w:t xml:space="preserve"> usual estimator of the mean of the income distribution is the grouped mean:</w:t>
      </w:r>
    </w:p>
    <w:p w14:paraId="6BEF906D" w14:textId="77777777" w:rsidR="00CE3222" w:rsidRPr="00620B4C" w:rsidRDefault="00A56D55" w:rsidP="00CE3222">
      <w:pPr>
        <w:pStyle w:val="BodyText"/>
        <w:rPr>
          <w:rFonts w:ascii="Cambria Math" w:hAnsi="Cambria Math"/>
          <w:oMath/>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G</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r</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r>
                <w:rPr>
                  <w:rFonts w:ascii="Cambria Math" w:hAnsi="Cambria Math"/>
                </w:rPr>
                <m:t>N</m:t>
              </m:r>
            </m:den>
          </m:f>
        </m:oMath>
      </m:oMathPara>
    </w:p>
    <w:p w14:paraId="6084A7BF" w14:textId="77777777" w:rsidR="00620B4C" w:rsidRDefault="00620B4C" w:rsidP="00620B4C">
      <w:pPr>
        <w:pStyle w:val="BodyText"/>
        <w:ind w:firstLine="0"/>
      </w:pPr>
      <w:r>
        <w:t xml:space="preserve">In practice,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G</m:t>
            </m:r>
          </m:sub>
        </m:sSub>
      </m:oMath>
      <w:r w:rsidR="00FE64BF">
        <w:t xml:space="preserve"> is biased downward in </w:t>
      </w:r>
      <w:r>
        <w:t xml:space="preserve">household surveys </w:t>
      </w:r>
      <w:r w:rsidR="00FE64BF">
        <w:t xml:space="preserve">given the fact that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30433A">
        <w:t xml:space="preserve"> is underestimated: very rich household are not observed.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0C1712">
        <w:t xml:space="preserve"> </w:t>
      </w:r>
      <w:r w:rsidR="00C03413">
        <w:t>can</w:t>
      </w:r>
      <w:r w:rsidR="000C1712">
        <w:t xml:space="preserve"> be estimated through the fitting of a law in the upper tail of an income distribution truncated on the right.</w:t>
      </w:r>
    </w:p>
    <w:p w14:paraId="5C2437DB" w14:textId="77777777" w:rsidR="009125BF" w:rsidRPr="009125BF" w:rsidRDefault="005A7B3F" w:rsidP="005A7B3F">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42</w:instrText>
      </w:r>
      <w:r>
        <w:fldChar w:fldCharType="end"/>
      </w:r>
      <w:r>
        <w:instrText>.</w:instrText>
      </w:r>
      <w:r>
        <w:tab/>
      </w:r>
      <w:r>
        <w:fldChar w:fldCharType="end"/>
      </w:r>
      <w:r w:rsidR="00C03413" w:rsidRPr="00C03413">
        <w:t xml:space="preserve"> </w:t>
      </w:r>
      <w:r w:rsidR="00C03413">
        <w:t xml:space="preserve">The choice of a Pareto law as the parametric assumption to infer upper tail behaviour is quite natural and popular when dealing with income distribution. </w:t>
      </w:r>
      <w:r w:rsidR="000C1712">
        <w:t>It is however unlikely that this parametric form holds globally.</w:t>
      </w:r>
      <w:r w:rsidR="009125BF">
        <w:t xml:space="preserve"> As a result</w:t>
      </w:r>
      <w:r w:rsidR="000C1712">
        <w:t xml:space="preserve">, </w:t>
      </w:r>
      <w:r w:rsidR="009125BF">
        <w:t xml:space="preserve">in practice </w:t>
      </w:r>
      <w:r w:rsidR="000C1712">
        <w:t xml:space="preserve">the fitting can be performed on at most </w:t>
      </w:r>
      <w:r w:rsidR="00362D26">
        <w:t xml:space="preserve">(but generally less) </w:t>
      </w:r>
      <w:r w:rsidR="000C1712">
        <w:t>r-1</w:t>
      </w:r>
      <w:r w:rsidR="00797D47">
        <w:t xml:space="preserve"> average points</w:t>
      </w:r>
      <w:r w:rsidR="009125BF">
        <w:t xml:space="preserve"> and an estimate of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9125BF">
        <w:t xml:space="preserve"> can be derived as the mean of the conditional distribution </w:t>
      </w:r>
      <m:oMath>
        <m:r>
          <w:rPr>
            <w:rFonts w:ascii="Cambria Math" w:hAnsi="Cambria Math"/>
          </w:rPr>
          <m:t>P(X≤x|X&gt;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r>
          <w:rPr>
            <w:rFonts w:ascii="Cambria Math" w:hAnsi="Cambria Math"/>
          </w:rPr>
          <m:t>)</m:t>
        </m:r>
      </m:oMath>
      <w:r w:rsidR="009125BF">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r</m:t>
            </m:r>
          </m:sub>
        </m:sSub>
      </m:oMath>
      <w:r w:rsidR="009125BF">
        <w:t xml:space="preserve">, an estimate of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9125BF">
        <w:t xml:space="preserve">, is thus given by: </w:t>
      </w:r>
    </w:p>
    <w:p w14:paraId="747FB4DB" w14:textId="77777777" w:rsidR="009125BF" w:rsidRPr="009125BF" w:rsidRDefault="00A56D55" w:rsidP="009125BF">
      <w:pPr>
        <w:pStyle w:val="BodyText"/>
        <w:rPr>
          <w:rFonts w:ascii="Cambria Math" w:hAnsi="Cambria Math"/>
          <w:oMath/>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r</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sub>
            <m:sup>
              <m:r>
                <w:rPr>
                  <w:rFonts w:ascii="Cambria Math" w:hAnsi="Cambria Math"/>
                </w:rPr>
                <m:t>∞</m:t>
              </m:r>
            </m:sup>
            <m:e>
              <m:r>
                <w:rPr>
                  <w:rFonts w:ascii="Cambria Math" w:hAnsi="Cambria Math"/>
                </w:rPr>
                <m:t>xdP</m:t>
              </m:r>
              <m:d>
                <m:dPr>
                  <m:ctrlPr>
                    <w:rPr>
                      <w:rFonts w:ascii="Cambria Math" w:hAnsi="Cambria Math"/>
                      <w:i/>
                    </w:rPr>
                  </m:ctrlPr>
                </m:dPr>
                <m:e>
                  <m:r>
                    <w:rPr>
                      <w:rFonts w:ascii="Cambria Math" w:hAnsi="Cambria Math"/>
                    </w:rPr>
                    <m:t>X≤x</m:t>
                  </m:r>
                </m:e>
                <m:e>
                  <m:r>
                    <w:rPr>
                      <w:rFonts w:ascii="Cambria Math" w:hAnsi="Cambria Math"/>
                    </w:rPr>
                    <m:t>X&gt;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e>
              </m:d>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sub>
            <m:sup>
              <m:r>
                <w:rPr>
                  <w:rFonts w:ascii="Cambria Math" w:hAnsi="Cambria Math"/>
                </w:rPr>
                <m:t>∞</m:t>
              </m:r>
            </m:sup>
            <m:e>
              <m:r>
                <w:rPr>
                  <w:rFonts w:ascii="Cambria Math" w:hAnsi="Cambria Math"/>
                </w:rPr>
                <m:t>x</m:t>
              </m:r>
            </m:e>
          </m:nary>
          <m:r>
            <w:rPr>
              <w:rFonts w:ascii="Cambria Math" w:hAnsi="Cambria Math"/>
            </w:rPr>
            <m:t>f(x|</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r>
            <w:rPr>
              <w:rFonts w:ascii="Cambria Math" w:hAnsi="Cambria Math"/>
            </w:rPr>
            <m:t>)</m:t>
          </m:r>
        </m:oMath>
      </m:oMathPara>
    </w:p>
    <w:p w14:paraId="624A2FC4" w14:textId="77777777" w:rsidR="004C3335" w:rsidRDefault="005A7B3F" w:rsidP="004C3335">
      <w:pPr>
        <w:pStyle w:val="BodyText"/>
        <w:ind w:firstLine="0"/>
      </w:pPr>
      <w:r>
        <w:t xml:space="preserve">where </w:t>
      </w:r>
      <m:oMath>
        <m:r>
          <w:rPr>
            <w:rFonts w:ascii="Cambria Math" w:hAnsi="Cambria Math"/>
          </w:rPr>
          <m:t>f(x|</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r>
          <w:rPr>
            <w:rFonts w:ascii="Cambria Math" w:hAnsi="Cambria Math"/>
          </w:rPr>
          <m:t>)</m:t>
        </m:r>
      </m:oMath>
      <w:r>
        <w:t xml:space="preserve"> denotes the conditional density of X given that X is greater </w:t>
      </w:r>
      <w:r w:rsidR="004A10BE">
        <w:t xml:space="preserve">than </w:t>
      </w:r>
      <w:r>
        <w:t xml:space="preserve">or equal </w:t>
      </w:r>
      <w:r w:rsidR="004A10BE">
        <w:t>to</w:t>
      </w:r>
      <w:r>
        <w:t xml:space="preserve"> </w:t>
      </w:r>
      <m:oMath>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oMath>
      <w:r>
        <w:t>.</w:t>
      </w:r>
    </w:p>
    <w:p w14:paraId="531755EF" w14:textId="77777777" w:rsidR="004C3335" w:rsidRDefault="004C3335" w:rsidP="0030433A">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43</w:instrText>
      </w:r>
      <w:r>
        <w:fldChar w:fldCharType="end"/>
      </w:r>
      <w:r>
        <w:instrText>.</w:instrText>
      </w:r>
      <w:r>
        <w:tab/>
      </w:r>
      <w:r>
        <w:fldChar w:fldCharType="end"/>
      </w:r>
      <w:r w:rsidR="005A7B3F" w:rsidRPr="004C3335">
        <w:t xml:space="preserve"> </w:t>
      </w:r>
      <w:r>
        <w:t>By considering a Pareto distribution given by the following cumulative distribution function:</w:t>
      </w:r>
    </w:p>
    <w:p w14:paraId="41488299" w14:textId="77777777" w:rsidR="0030433A" w:rsidRPr="004C3335" w:rsidRDefault="004C3335" w:rsidP="004C3335">
      <w:pPr>
        <w:pStyle w:val="BodyText"/>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x</m:t>
                              </m:r>
                            </m:den>
                          </m:f>
                        </m:e>
                      </m:d>
                    </m:e>
                    <m:sup>
                      <m:r>
                        <w:rPr>
                          <w:rFonts w:ascii="Cambria Math" w:hAnsi="Cambria Math"/>
                        </w:rPr>
                        <m:t>α</m:t>
                      </m:r>
                    </m:sup>
                  </m:sSup>
                  <m:r>
                    <w:rPr>
                      <w:rFonts w:ascii="Cambria Math" w:hAnsi="Cambria Math"/>
                    </w:rPr>
                    <m:t xml:space="preserve"> ∀x≥K&gt;0 and α&gt;0</m:t>
                  </m:r>
                </m:e>
                <m:e>
                  <m:r>
                    <w:rPr>
                      <w:rFonts w:ascii="Cambria Math" w:hAnsi="Cambria Math"/>
                    </w:rPr>
                    <m:t>=0 ∀x&lt;K</m:t>
                  </m:r>
                </m:e>
              </m:eqArr>
            </m:e>
          </m:d>
        </m:oMath>
      </m:oMathPara>
    </w:p>
    <w:p w14:paraId="15C6FA15" w14:textId="77777777" w:rsidR="004C3335" w:rsidRDefault="004C3335" w:rsidP="00620B4C">
      <w:pPr>
        <w:pStyle w:val="BodyText"/>
        <w:ind w:firstLine="0"/>
      </w:pPr>
      <w:r>
        <w:t>and by noting that:</w:t>
      </w:r>
    </w:p>
    <w:p w14:paraId="0D74AA95" w14:textId="77777777" w:rsidR="0030433A" w:rsidRPr="00F65FC9" w:rsidRDefault="004C3335" w:rsidP="004C3335">
      <w:pPr>
        <w:pStyle w:val="BodyText"/>
        <w:ind w:firstLine="0"/>
        <w:jc w:val="center"/>
        <w:rPr>
          <w:rFonts w:ascii="Cambria Math" w:hAnsi="Cambria Math"/>
          <w:oMath/>
        </w:rPr>
      </w:pPr>
      <m:oMathPara>
        <m:oMath>
          <m:r>
            <w:rPr>
              <w:rFonts w:ascii="Cambria Math" w:hAnsi="Cambria Math"/>
            </w:rPr>
            <m:t>P(X≥x|X≥</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e>
            <m:sup>
              <m:r>
                <w:rPr>
                  <w:rFonts w:ascii="Cambria Math" w:hAnsi="Cambria Math"/>
                </w:rPr>
                <m:t>α</m:t>
              </m:r>
            </m:sup>
          </m:sSup>
          <m:sSup>
            <m:sSupPr>
              <m:ctrlPr>
                <w:rPr>
                  <w:rFonts w:ascii="Cambria Math" w:hAnsi="Cambria Math"/>
                  <w:i/>
                </w:rPr>
              </m:ctrlPr>
            </m:sSupPr>
            <m:e>
              <m:r>
                <w:rPr>
                  <w:rFonts w:ascii="Cambria Math" w:hAnsi="Cambria Math"/>
                </w:rPr>
                <m:t>x</m:t>
              </m:r>
            </m:e>
            <m:sup>
              <m:r>
                <w:rPr>
                  <w:rFonts w:ascii="Cambria Math" w:hAnsi="Cambria Math"/>
                </w:rPr>
                <m:t>-α</m:t>
              </m:r>
            </m:sup>
          </m:sSup>
        </m:oMath>
      </m:oMathPara>
    </w:p>
    <w:p w14:paraId="4FC0DD63" w14:textId="77777777" w:rsidR="00F65FC9" w:rsidRDefault="00F65FC9" w:rsidP="00F65FC9">
      <w:pPr>
        <w:pStyle w:val="BodyText"/>
        <w:ind w:firstLine="0"/>
      </w:pPr>
      <w:r>
        <w:lastRenderedPageBreak/>
        <w:t xml:space="preserve">one obtains the following expression for the conditional density of X given that X is greater </w:t>
      </w:r>
      <w:r w:rsidR="00DC7462">
        <w:t xml:space="preserve">than </w:t>
      </w:r>
      <w:r>
        <w:t xml:space="preserve">or equal </w:t>
      </w:r>
      <w:r w:rsidR="00DC7462">
        <w:t>to</w:t>
      </w:r>
      <w:r>
        <w:t xml:space="preserve"> </w:t>
      </w:r>
      <m:oMath>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oMath>
      <w:r>
        <w:t xml:space="preserve">: </w:t>
      </w:r>
    </w:p>
    <w:p w14:paraId="34F9EED7" w14:textId="77777777" w:rsidR="00F65FC9" w:rsidRPr="00F65FC9" w:rsidRDefault="00F65FC9" w:rsidP="00F65FC9">
      <w:pPr>
        <w:pStyle w:val="BodyText"/>
        <w:ind w:firstLine="0"/>
        <w:jc w:val="center"/>
        <w:rPr>
          <w:rFonts w:ascii="Cambria Math" w:hAnsi="Cambria Math"/>
          <w:oMath/>
        </w:rPr>
      </w:pPr>
      <m:oMathPara>
        <m:oMath>
          <m:r>
            <w:rPr>
              <w:rFonts w:ascii="Cambria Math" w:hAnsi="Cambria Math"/>
            </w:rPr>
            <m:t>f</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αU</m:t>
                  </m:r>
                </m:e>
                <m:sub>
                  <m:d>
                    <m:dPr>
                      <m:ctrlPr>
                        <w:rPr>
                          <w:rFonts w:ascii="Cambria Math" w:hAnsi="Cambria Math"/>
                          <w:i/>
                        </w:rPr>
                      </m:ctrlPr>
                    </m:dPr>
                    <m:e>
                      <m:r>
                        <w:rPr>
                          <w:rFonts w:ascii="Cambria Math" w:hAnsi="Cambria Math"/>
                        </w:rPr>
                        <m:t>r-1</m:t>
                      </m:r>
                    </m:e>
                  </m:d>
                </m:sub>
              </m:sSub>
            </m:e>
            <m:sup>
              <m:r>
                <w:rPr>
                  <w:rFonts w:ascii="Cambria Math" w:hAnsi="Cambria Math"/>
                </w:rPr>
                <m:t>α</m:t>
              </m:r>
            </m:sup>
          </m:sSup>
          <m:sSup>
            <m:sSupPr>
              <m:ctrlPr>
                <w:rPr>
                  <w:rFonts w:ascii="Cambria Math" w:hAnsi="Cambria Math"/>
                  <w:i/>
                </w:rPr>
              </m:ctrlPr>
            </m:sSupPr>
            <m:e>
              <m:r>
                <w:rPr>
                  <w:rFonts w:ascii="Cambria Math" w:hAnsi="Cambria Math"/>
                </w:rPr>
                <m:t>x</m:t>
              </m:r>
            </m:e>
            <m:sup>
              <m:r>
                <w:rPr>
                  <w:rFonts w:ascii="Cambria Math" w:hAnsi="Cambria Math"/>
                </w:rPr>
                <m:t>-α-1</m:t>
              </m:r>
            </m:sup>
          </m:sSup>
          <m:r>
            <w:rPr>
              <w:rFonts w:ascii="Cambria Math" w:hAnsi="Cambria Math"/>
            </w:rPr>
            <m:t xml:space="preserve"> ∀x≥</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oMath>
      </m:oMathPara>
    </w:p>
    <w:p w14:paraId="734C79B5" w14:textId="77777777" w:rsidR="00F65FC9" w:rsidRDefault="00F65FC9" w:rsidP="00F65FC9">
      <w:pPr>
        <w:pStyle w:val="BodyText"/>
        <w:ind w:firstLine="0"/>
        <w:jc w:val="left"/>
      </w:pPr>
      <w:r>
        <w:t xml:space="preserve">It results the following expression for </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r</m:t>
            </m:r>
          </m:sub>
        </m:sSub>
      </m:oMath>
      <w:r>
        <w:t>:</w:t>
      </w:r>
    </w:p>
    <w:p w14:paraId="57E5F928" w14:textId="77777777" w:rsidR="00F65FC9" w:rsidRPr="00E31E5F" w:rsidRDefault="00A56D55" w:rsidP="00F65FC9">
      <w:pPr>
        <w:pStyle w:val="BodyText"/>
        <w:ind w:firstLine="0"/>
        <w:jc w:val="center"/>
        <w:rPr>
          <w:rFonts w:ascii="Cambria Math" w:hAnsi="Cambria Math"/>
          <w:oMath/>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f>
            <m:fPr>
              <m:ctrlPr>
                <w:rPr>
                  <w:rFonts w:ascii="Cambria Math" w:hAnsi="Cambria Math"/>
                  <w:i/>
                </w:rPr>
              </m:ctrlPr>
            </m:fPr>
            <m:num>
              <m:r>
                <w:rPr>
                  <w:rFonts w:ascii="Cambria Math" w:hAnsi="Cambria Math"/>
                </w:rPr>
                <m:t>α</m:t>
              </m:r>
            </m:num>
            <m:den>
              <m:r>
                <w:rPr>
                  <w:rFonts w:ascii="Cambria Math" w:hAnsi="Cambria Math"/>
                </w:rPr>
                <m:t>α-1</m:t>
              </m:r>
            </m:den>
          </m:f>
        </m:oMath>
      </m:oMathPara>
    </w:p>
    <w:p w14:paraId="2C945CA8" w14:textId="77777777" w:rsidR="00E31E5F" w:rsidRDefault="00E31E5F" w:rsidP="00E31E5F">
      <w:pPr>
        <w:pStyle w:val="BodyText"/>
        <w:ind w:firstLine="0"/>
      </w:pPr>
      <w:r>
        <w:t>The parameter α of the Pareto law remains to be estimated.</w:t>
      </w:r>
    </w:p>
    <w:p w14:paraId="52B36CCD" w14:textId="77777777" w:rsidR="00E31E5F" w:rsidRPr="00513F5A" w:rsidRDefault="00E31E5F" w:rsidP="00513F5A">
      <w:pPr>
        <w:pStyle w:val="Heading5"/>
        <w:rPr>
          <w:b/>
        </w:rPr>
      </w:pPr>
      <w:bookmarkStart w:id="66" w:name="_Toc416797089"/>
      <w:r w:rsidRPr="00513F5A">
        <w:rPr>
          <w:b/>
        </w:rPr>
        <w:t>The West estimator</w:t>
      </w:r>
      <w:bookmarkEnd w:id="66"/>
    </w:p>
    <w:p w14:paraId="4861D129" w14:textId="11D17AF4" w:rsidR="00E31E5F" w:rsidRDefault="009A7E4D" w:rsidP="00E31E5F">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44</w:instrText>
      </w:r>
      <w:r>
        <w:fldChar w:fldCharType="end"/>
      </w:r>
      <w:r>
        <w:instrText>.</w:instrText>
      </w:r>
      <w:r>
        <w:tab/>
      </w:r>
      <w:r>
        <w:fldChar w:fldCharType="end"/>
      </w:r>
      <w:r w:rsidR="00E31E5F">
        <w:t xml:space="preserve">Many methods </w:t>
      </w:r>
      <w:r w:rsidR="00DC3299">
        <w:t>exist</w:t>
      </w:r>
      <w:r w:rsidR="00E31E5F">
        <w:t xml:space="preserve"> to estimate the parameter α, </w:t>
      </w:r>
      <w:r w:rsidR="00F218F9">
        <w:t>mainly but not exclusively</w:t>
      </w:r>
      <w:r w:rsidR="00E31E5F">
        <w:t xml:space="preserve"> regression</w:t>
      </w:r>
      <w:r w:rsidR="000D20F7">
        <w:t xml:space="preserve"> techniques</w:t>
      </w:r>
      <w:r w:rsidR="00E31E5F">
        <w:t xml:space="preserve"> or quantile estimation methods (see Gabaix, 2009 for a review). In this paper, it has been found however that the use of a conditional likelihood estimator</w:t>
      </w:r>
      <w:r w:rsidR="00F218F9">
        <w:t xml:space="preserve"> developed by West (1985) gives s</w:t>
      </w:r>
      <w:r w:rsidR="004445AB">
        <w:t xml:space="preserve">uperior results compared to </w:t>
      </w:r>
      <w:r w:rsidR="00F218F9">
        <w:t>regression</w:t>
      </w:r>
      <w:r w:rsidR="004445AB">
        <w:t>s</w:t>
      </w:r>
      <w:r w:rsidR="00F218F9">
        <w:t xml:space="preserve"> and quantile estimation</w:t>
      </w:r>
      <w:r w:rsidR="00B63E40">
        <w:t>s</w:t>
      </w:r>
      <w:r w:rsidR="00123173">
        <w:t>,</w:t>
      </w:r>
      <w:r w:rsidR="00F02DCC">
        <w:t xml:space="preserve"> </w:t>
      </w:r>
      <w:r w:rsidR="00F218F9">
        <w:t xml:space="preserve">in the sense that the estimates produced by the estimator display </w:t>
      </w:r>
      <w:r w:rsidR="00BF3811">
        <w:t>strong</w:t>
      </w:r>
      <w:r w:rsidR="00F218F9">
        <w:t xml:space="preserve"> similarities with the estimates of the Pareto coefficients </w:t>
      </w:r>
      <w:r w:rsidR="00BF3811">
        <w:t>available in the</w:t>
      </w:r>
      <w:r w:rsidR="00F218F9">
        <w:t xml:space="preserve"> WTID</w:t>
      </w:r>
      <w:r w:rsidR="00770EE1">
        <w:t>.</w:t>
      </w:r>
      <w:r w:rsidR="00F02DCC">
        <w:rPr>
          <w:rStyle w:val="FootnoteReference"/>
        </w:rPr>
        <w:footnoteReference w:id="15"/>
      </w:r>
      <w:r>
        <w:t xml:space="preserve"> To the best of an extensive literature review, </w:t>
      </w:r>
      <w:r w:rsidR="00DC3299">
        <w:t>it</w:t>
      </w:r>
      <w:r>
        <w:t xml:space="preserve"> has been used only in the original paper that presents the estimator.</w:t>
      </w:r>
    </w:p>
    <w:p w14:paraId="6BA1DFD1" w14:textId="77777777" w:rsidR="00F02DCC" w:rsidRDefault="00F02DCC" w:rsidP="00E31E5F">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45</w:instrText>
      </w:r>
      <w:r>
        <w:fldChar w:fldCharType="end"/>
      </w:r>
      <w:r>
        <w:instrText>.</w:instrText>
      </w:r>
      <w:r>
        <w:tab/>
      </w:r>
      <w:r>
        <w:fldChar w:fldCharType="end"/>
      </w:r>
      <w:r>
        <w:t xml:space="preserve">The West estimator is derived from two specific contribution patterns to a likelihood function: </w:t>
      </w:r>
    </w:p>
    <w:p w14:paraId="3C145188" w14:textId="77777777" w:rsidR="009A7E4D" w:rsidRDefault="00683BF7" w:rsidP="007D21D2">
      <w:pPr>
        <w:pStyle w:val="ListBullet"/>
        <w:numPr>
          <w:ilvl w:val="0"/>
          <w:numId w:val="16"/>
        </w:numPr>
      </w:pPr>
      <w:r>
        <w:t>Some</w:t>
      </w:r>
      <w:r w:rsidR="00114804">
        <w:t xml:space="preserve"> h</w:t>
      </w:r>
      <w:r w:rsidR="00F02DCC" w:rsidRPr="00F02DCC">
        <w:t>ousehold</w:t>
      </w:r>
      <w:r>
        <w:t>s</w:t>
      </w:r>
      <w:r w:rsidR="00F02DCC" w:rsidRPr="00F02DCC">
        <w:t xml:space="preserve"> </w:t>
      </w:r>
      <w:r w:rsidR="00114804">
        <w:t>with income</w:t>
      </w:r>
      <w:r w:rsidR="00F02DCC" w:rsidRPr="00F02DCC">
        <w:t xml:space="preserve"> contained in </w:t>
      </w:r>
      <w:r w:rsidR="00114804">
        <w:t xml:space="preserve">one of the </w:t>
      </w:r>
      <w:r w:rsidR="00F02DCC" w:rsidRPr="00F02DCC">
        <w:t xml:space="preserve">bounded intervals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r-1</m:t>
            </m:r>
          </m:sub>
        </m:sSub>
      </m:oMath>
      <w:r w:rsidR="00F02DCC" w:rsidRPr="00F02DCC">
        <w:t xml:space="preserve"> contribute</w:t>
      </w:r>
      <w:r w:rsidR="00F02DCC">
        <w:t xml:space="preserve"> to the likelihood function</w:t>
      </w:r>
      <w:r w:rsidR="00114804">
        <w:t xml:space="preserve"> with the value</w:t>
      </w:r>
      <w:r w:rsidR="00F02DCC">
        <w:t xml:space="preserve"> reported in the household survey</w:t>
      </w:r>
      <w:r w:rsidR="00114804">
        <w:t>.</w:t>
      </w:r>
    </w:p>
    <w:p w14:paraId="7288AAF1" w14:textId="77777777" w:rsidR="00F02DCC" w:rsidRDefault="00E83186" w:rsidP="007D21D2">
      <w:pPr>
        <w:pStyle w:val="ListBullet"/>
        <w:numPr>
          <w:ilvl w:val="0"/>
          <w:numId w:val="16"/>
        </w:numPr>
      </w:pPr>
      <w:r>
        <w:t>Each</w:t>
      </w:r>
      <w:r w:rsidR="00114804">
        <w:t xml:space="preserve"> h</w:t>
      </w:r>
      <w:r w:rsidR="00F02DCC">
        <w:t xml:space="preserve">ousehold with </w:t>
      </w:r>
      <w:r w:rsidR="00114804">
        <w:t xml:space="preserve">an </w:t>
      </w:r>
      <w:r w:rsidR="00F02DCC">
        <w:t xml:space="preserve">income above the threshold </w:t>
      </w:r>
      <m:oMath>
        <m:sSub>
          <m:sSubPr>
            <m:ctrlPr>
              <w:rPr>
                <w:rFonts w:ascii="Cambria Math" w:hAnsi="Cambria Math"/>
              </w:rPr>
            </m:ctrlPr>
          </m:sSubPr>
          <m:e>
            <m:r>
              <m:rPr>
                <m:sty m:val="p"/>
              </m:rPr>
              <w:rPr>
                <w:rFonts w:ascii="Cambria Math" w:hAnsi="Cambria Math"/>
              </w:rPr>
              <m:t>U</m:t>
            </m:r>
          </m:e>
          <m:sub>
            <m:d>
              <m:dPr>
                <m:ctrlPr>
                  <w:rPr>
                    <w:rFonts w:ascii="Cambria Math" w:hAnsi="Cambria Math"/>
                  </w:rPr>
                </m:ctrlPr>
              </m:dPr>
              <m:e>
                <m:r>
                  <m:rPr>
                    <m:sty m:val="p"/>
                  </m:rPr>
                  <w:rPr>
                    <w:rFonts w:ascii="Cambria Math" w:hAnsi="Cambria Math"/>
                  </w:rPr>
                  <m:t>r-1</m:t>
                </m:r>
              </m:e>
            </m:d>
          </m:sub>
        </m:sSub>
      </m:oMath>
      <w:r w:rsidR="00F02DCC">
        <w:t xml:space="preserve"> </w:t>
      </w:r>
      <w:r w:rsidR="00114804">
        <w:t xml:space="preserve">contributes to the likelihood function with an observation indicating that its income, unobserved in this case, is at least equal to </w:t>
      </w:r>
      <m:oMath>
        <m:sSub>
          <m:sSubPr>
            <m:ctrlPr>
              <w:rPr>
                <w:rFonts w:ascii="Cambria Math" w:hAnsi="Cambria Math"/>
              </w:rPr>
            </m:ctrlPr>
          </m:sSubPr>
          <m:e>
            <m:r>
              <m:rPr>
                <m:sty m:val="p"/>
              </m:rPr>
              <w:rPr>
                <w:rFonts w:ascii="Cambria Math" w:hAnsi="Cambria Math"/>
              </w:rPr>
              <m:t>U</m:t>
            </m:r>
          </m:e>
          <m:sub>
            <m:d>
              <m:dPr>
                <m:ctrlPr>
                  <w:rPr>
                    <w:rFonts w:ascii="Cambria Math" w:hAnsi="Cambria Math"/>
                  </w:rPr>
                </m:ctrlPr>
              </m:dPr>
              <m:e>
                <m:r>
                  <m:rPr>
                    <m:sty m:val="p"/>
                  </m:rPr>
                  <w:rPr>
                    <w:rFonts w:ascii="Cambria Math" w:hAnsi="Cambria Math"/>
                  </w:rPr>
                  <m:t>r-1</m:t>
                </m:r>
              </m:e>
            </m:d>
          </m:sub>
        </m:sSub>
      </m:oMath>
      <w:r w:rsidR="00114804">
        <w:t>.</w:t>
      </w:r>
    </w:p>
    <w:p w14:paraId="0012C5E8" w14:textId="77777777" w:rsidR="0026510E" w:rsidRDefault="0026510E" w:rsidP="0026510E">
      <w:pPr>
        <w:pStyle w:val="BodyText"/>
        <w:ind w:firstLine="0"/>
      </w:pPr>
      <w:r>
        <w:t xml:space="preserve">Analytically this gives: </w:t>
      </w:r>
    </w:p>
    <w:p w14:paraId="6B3F0D66" w14:textId="77777777" w:rsidR="0026510E" w:rsidRPr="00502BE2" w:rsidRDefault="00A56D55" w:rsidP="0026510E">
      <w:pPr>
        <w:pStyle w:val="BodyText"/>
        <w:ind w:firstLine="0"/>
        <w:jc w:val="center"/>
        <w:rPr>
          <w:rFonts w:ascii="Cambria Math" w:hAnsi="Cambria Math"/>
          <w:oMath/>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0&lt;K&lt;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αK</m:t>
                      </m:r>
                    </m:e>
                    <m:sup>
                      <m:r>
                        <w:rPr>
                          <w:rFonts w:ascii="Cambria Math" w:hAnsi="Cambria Math"/>
                        </w:rPr>
                        <m:t>α</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-α-1</m:t>
                      </m:r>
                    </m:sup>
                  </m:sSup>
                  <m:r>
                    <w:rPr>
                      <w:rFonts w:ascii="Cambria Math" w:hAnsi="Cambria Math"/>
                    </w:rPr>
                    <m:t xml:space="preserve"> with α&gt;1</m:t>
                  </m:r>
                </m:e>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=1-F</m:t>
                  </m:r>
                  <m:d>
                    <m:dPr>
                      <m:ctrlPr>
                        <w:rPr>
                          <w:rFonts w:ascii="Cambria Math" w:hAnsi="Cambria Math"/>
                          <w:i/>
                        </w:rPr>
                      </m:ctrlPr>
                    </m:dPr>
                    <m:e>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den>
                          </m:f>
                        </m:e>
                      </m:d>
                    </m:e>
                    <m:sup>
                      <m:r>
                        <w:rPr>
                          <w:rFonts w:ascii="Cambria Math" w:hAnsi="Cambria Math"/>
                        </w:rPr>
                        <m:t>α</m:t>
                      </m:r>
                    </m:sup>
                  </m:sSup>
                </m:e>
              </m:eqArr>
            </m:e>
          </m:d>
        </m:oMath>
      </m:oMathPara>
    </w:p>
    <w:p w14:paraId="6CF20421" w14:textId="77777777" w:rsidR="00502BE2" w:rsidRPr="00502BE2" w:rsidRDefault="00502BE2" w:rsidP="00502BE2">
      <w:pPr>
        <w:pStyle w:val="BodyText"/>
        <w:ind w:firstLine="0"/>
      </w:pPr>
      <w:r>
        <w:t>The likelihood function L is thus:</w:t>
      </w:r>
    </w:p>
    <w:p w14:paraId="1B955A0E" w14:textId="77777777" w:rsidR="00502BE2" w:rsidRPr="00502BE2" w:rsidRDefault="00502BE2" w:rsidP="00502BE2">
      <w:pPr>
        <w:pStyle w:val="BodyText"/>
      </w:pPr>
      <m:oMathPara>
        <m:oMath>
          <m:r>
            <m:rPr>
              <m:sty m:val="p"/>
            </m:rPr>
            <w:rPr>
              <w:rFonts w:ascii="Cambria Math" w:hAnsi="Cambria Math"/>
            </w:rPr>
            <w:br/>
          </m:r>
        </m:oMath>
        <m:oMath>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r-1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K</m:t>
                              </m:r>
                            </m:e>
                            <m:sup>
                              <m:r>
                                <w:rPr>
                                  <w:rFonts w:ascii="Cambria Math" w:hAnsi="Cambria Math"/>
                                </w:rPr>
                                <m:t>α</m:t>
                              </m:r>
                            </m:sup>
                          </m:sSup>
                        </m:num>
                        <m:den>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α+1</m:t>
                              </m:r>
                            </m:sup>
                          </m:sSubSup>
                        </m:den>
                      </m:f>
                    </m:e>
                  </m:d>
                </m:e>
                <m:sup>
                  <m:sSub>
                    <m:sSubPr>
                      <m:ctrlPr>
                        <w:rPr>
                          <w:rFonts w:ascii="Cambria Math" w:hAnsi="Cambria Math"/>
                          <w:i/>
                        </w:rPr>
                      </m:ctrlPr>
                    </m:sSubPr>
                    <m:e>
                      <m:r>
                        <w:rPr>
                          <w:rFonts w:ascii="Cambria Math" w:hAnsi="Cambria Math"/>
                        </w:rPr>
                        <m:t>f</m:t>
                      </m:r>
                    </m:e>
                    <m:sub>
                      <m:r>
                        <w:rPr>
                          <w:rFonts w:ascii="Cambria Math" w:hAnsi="Cambria Math"/>
                        </w:rPr>
                        <m:t>i</m:t>
                      </m:r>
                    </m:sub>
                  </m:sSub>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den>
                          </m:f>
                        </m:e>
                        <m:sup>
                          <m:r>
                            <w:rPr>
                              <w:rFonts w:ascii="Cambria Math" w:hAnsi="Cambria Math"/>
                            </w:rPr>
                            <m:t>α</m:t>
                          </m:r>
                        </m:sup>
                      </m:sSup>
                    </m:e>
                  </m:d>
                </m:e>
                <m:sup>
                  <m:sSub>
                    <m:sSubPr>
                      <m:ctrlPr>
                        <w:rPr>
                          <w:rFonts w:ascii="Cambria Math" w:hAnsi="Cambria Math"/>
                          <w:i/>
                        </w:rPr>
                      </m:ctrlPr>
                    </m:sSubPr>
                    <m:e>
                      <m:r>
                        <w:rPr>
                          <w:rFonts w:ascii="Cambria Math" w:hAnsi="Cambria Math"/>
                        </w:rPr>
                        <m:t>f</m:t>
                      </m:r>
                    </m:e>
                    <m:sub>
                      <m:r>
                        <w:rPr>
                          <w:rFonts w:ascii="Cambria Math" w:hAnsi="Cambria Math"/>
                        </w:rPr>
                        <m:t>r</m:t>
                      </m:r>
                    </m:sub>
                  </m:sSub>
                </m:sup>
              </m:sSup>
            </m:e>
          </m:nary>
        </m:oMath>
      </m:oMathPara>
    </w:p>
    <w:p w14:paraId="4BAC8C7F" w14:textId="77777777" w:rsidR="00502BE2" w:rsidRDefault="00502BE2" w:rsidP="00502BE2">
      <w:pPr>
        <w:pStyle w:val="BodyText"/>
        <w:ind w:firstLine="0"/>
      </w:pPr>
      <w:r>
        <w:t xml:space="preserve">which leads to the following maximum likelihood estimator </w:t>
      </w:r>
      <m:oMath>
        <m:acc>
          <m:accPr>
            <m:ctrlPr>
              <w:rPr>
                <w:rFonts w:ascii="Cambria Math" w:hAnsi="Cambria Math"/>
                <w:i/>
              </w:rPr>
            </m:ctrlPr>
          </m:accPr>
          <m:e>
            <m:r>
              <w:rPr>
                <w:rFonts w:ascii="Cambria Math" w:hAnsi="Cambria Math"/>
              </w:rPr>
              <m:t>α</m:t>
            </m:r>
          </m:e>
        </m:acc>
      </m:oMath>
      <w:r>
        <w:t xml:space="preserve"> of </w:t>
      </w:r>
      <m:oMath>
        <m:r>
          <w:rPr>
            <w:rFonts w:ascii="Cambria Math" w:hAnsi="Cambria Math"/>
          </w:rPr>
          <m:t>α</m:t>
        </m:r>
      </m:oMath>
      <w:r>
        <w:t>:</w:t>
      </w:r>
    </w:p>
    <w:p w14:paraId="3596D3EE" w14:textId="77777777" w:rsidR="00502BE2" w:rsidRPr="00E83186" w:rsidRDefault="00A56D55" w:rsidP="00502BE2">
      <w:pPr>
        <w:pStyle w:val="BodyText"/>
        <w:ind w:firstLine="0"/>
        <w:rPr>
          <w:rFonts w:ascii="Cambria Math" w:hAnsi="Cambria Math"/>
          <w:oMath/>
        </w:rPr>
      </w:pPr>
      <m:oMathPara>
        <m:oMath>
          <m:acc>
            <m:accPr>
              <m:ctrlPr>
                <w:rPr>
                  <w:rFonts w:ascii="Cambria Math" w:hAnsi="Cambria Math"/>
                  <w:i/>
                </w:rPr>
              </m:ctrlPr>
            </m:accPr>
            <m:e>
              <m:r>
                <w:rPr>
                  <w:rFonts w:ascii="Cambria Math" w:hAnsi="Cambria Math"/>
                </w:rPr>
                <m:t>α</m:t>
              </m:r>
            </m:e>
          </m:acc>
          <m:r>
            <w:rPr>
              <w:rFonts w:ascii="Cambria Math" w:hAnsi="Cambria Math"/>
            </w:rPr>
            <m:t xml:space="preserve">= </m:t>
          </m:r>
          <m:f>
            <m:fPr>
              <m:ctrlPr>
                <w:rPr>
                  <w:rFonts w:ascii="Cambria Math" w:hAnsi="Cambria Math"/>
                  <w:i/>
                </w:rPr>
              </m:ctrlPr>
            </m:fPr>
            <m:num>
              <m:r>
                <w:rPr>
                  <w:rFonts w:ascii="Cambria Math" w:hAnsi="Cambria Math"/>
                </w:rPr>
                <m:t xml:space="preserve">N- </m:t>
              </m:r>
              <m:sSub>
                <m:sSubPr>
                  <m:ctrlPr>
                    <w:rPr>
                      <w:rFonts w:ascii="Cambria Math" w:hAnsi="Cambria Math"/>
                      <w:i/>
                    </w:rPr>
                  </m:ctrlPr>
                </m:sSubPr>
                <m:e>
                  <m:r>
                    <w:rPr>
                      <w:rFonts w:ascii="Cambria Math" w:hAnsi="Cambria Math"/>
                    </w:rPr>
                    <m:t>f</m:t>
                  </m:r>
                </m:e>
                <m:sub>
                  <m:r>
                    <w:rPr>
                      <w:rFonts w:ascii="Cambria Math" w:hAnsi="Cambria Math"/>
                    </w:rPr>
                    <m:t>r</m:t>
                  </m:r>
                </m:sub>
              </m:sSub>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r-1</m:t>
                      </m:r>
                    </m:sup>
                    <m:e>
                      <m:sSub>
                        <m:sSubPr>
                          <m:ctrlPr>
                            <w:rPr>
                              <w:rFonts w:ascii="Cambria Math" w:hAnsi="Cambria Math"/>
                              <w:i/>
                            </w:rPr>
                          </m:ctrlPr>
                        </m:sSubPr>
                        <m:e>
                          <m:r>
                            <w:rPr>
                              <w:rFonts w:ascii="Cambria Math" w:hAnsi="Cambria Math"/>
                            </w:rPr>
                            <m:t>f</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f</m:t>
                      </m:r>
                    </m:e>
                    <m:sub>
                      <m:r>
                        <w:rPr>
                          <w:rFonts w:ascii="Cambria Math" w:hAnsi="Cambria Math"/>
                        </w:rPr>
                        <m:t>r</m:t>
                      </m:r>
                    </m:sub>
                  </m:sSub>
                </m:e>
              </m:d>
              <m:r>
                <m:rPr>
                  <m:sty m:val="p"/>
                </m:rPr>
                <w:rPr>
                  <w:rFonts w:ascii="Cambria Math" w:hAnsi="Cambria Math"/>
                </w:rPr>
                <m:t>log⁡</m:t>
              </m:r>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den>
                      </m:f>
                    </m:e>
                  </m:d>
                </m:e>
              </m:func>
              <m:r>
                <w:rPr>
                  <w:rFonts w:ascii="Cambria Math" w:hAnsi="Cambria Math"/>
                </w:rPr>
                <m:t>)</m:t>
              </m:r>
            </m:den>
          </m:f>
        </m:oMath>
      </m:oMathPara>
    </w:p>
    <w:p w14:paraId="764D2B99" w14:textId="77777777" w:rsidR="00E83186" w:rsidRDefault="00E83186" w:rsidP="00502BE2">
      <w:pPr>
        <w:pStyle w:val="BodyText"/>
        <w:ind w:firstLine="0"/>
      </w:pPr>
      <w:r>
        <w:t xml:space="preserve">with </w:t>
      </w:r>
      <m:oMath>
        <m:acc>
          <m:accPr>
            <m:ctrlPr>
              <w:rPr>
                <w:rFonts w:ascii="Cambria Math" w:hAnsi="Cambria Math"/>
                <w:i/>
              </w:rPr>
            </m:ctrlPr>
          </m:accPr>
          <m:e>
            <m:r>
              <w:rPr>
                <w:rFonts w:ascii="Cambria Math" w:hAnsi="Cambria Math"/>
              </w:rPr>
              <m:t>K</m:t>
            </m:r>
          </m:e>
        </m:acc>
      </m:oMath>
      <w:r>
        <w:t xml:space="preserve"> equal to the minimum income in the distribution.</w:t>
      </w:r>
    </w:p>
    <w:p w14:paraId="098E7A21" w14:textId="77777777" w:rsidR="00E83186" w:rsidRDefault="004810D3" w:rsidP="00E83186">
      <w:pPr>
        <w:pStyle w:val="Num-DocParagraph"/>
      </w:pPr>
      <w:r>
        <w:fldChar w:fldCharType="begin"/>
      </w:r>
      <w:r>
        <w:instrText xml:space="preserve"> MACROBUTTON NUMBERING </w:instrText>
      </w:r>
      <w:r>
        <w:fldChar w:fldCharType="begin"/>
      </w:r>
      <w:r>
        <w:instrText xml:space="preserve"> SEQ  dpara</w:instrText>
      </w:r>
      <w:r>
        <w:fldChar w:fldCharType="separate"/>
      </w:r>
      <w:r w:rsidR="002114FC">
        <w:rPr>
          <w:noProof/>
        </w:rPr>
        <w:instrText>46</w:instrText>
      </w:r>
      <w:r>
        <w:fldChar w:fldCharType="end"/>
      </w:r>
      <w:r>
        <w:instrText>.</w:instrText>
      </w:r>
      <w:r>
        <w:tab/>
      </w:r>
      <w:r>
        <w:fldChar w:fldCharType="end"/>
      </w:r>
      <w:r w:rsidRPr="004810D3">
        <w:t xml:space="preserve"> </w:t>
      </w:r>
      <w:r>
        <w:t xml:space="preserve">Given that generally only the upper-end of an income distribution is Pareto-distributed, in practice the estimation has to be performed on a left-truncated version of the distribution. Assuming the income distribution is truncated on the left at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the modified maximum likelihood estimator thus becomes:</w:t>
      </w:r>
    </w:p>
    <w:p w14:paraId="39F00CE5" w14:textId="77777777" w:rsidR="004810D3" w:rsidRPr="004810D3" w:rsidRDefault="004810D3" w:rsidP="004810D3">
      <w:pPr>
        <w:pStyle w:val="BodyText"/>
        <w:rPr>
          <w:rFonts w:ascii="Cambria Math" w:hAnsi="Cambria Math"/>
          <w:oMath/>
        </w:rPr>
      </w:pPr>
      <m:oMathPara>
        <m:oMath>
          <m:r>
            <m:rPr>
              <m:sty m:val="p"/>
            </m:rPr>
            <w:rPr>
              <w:rFonts w:ascii="Cambria Math" w:hAnsi="Cambria Math"/>
            </w:rPr>
            <w:br/>
          </m:r>
        </m:oMath>
        <m:oMath>
          <m:acc>
            <m:accPr>
              <m:ctrlPr>
                <w:rPr>
                  <w:rFonts w:ascii="Cambria Math" w:hAnsi="Cambria Math"/>
                </w:rPr>
              </m:ctrlPr>
            </m:accPr>
            <m:e>
              <m:r>
                <w:rPr>
                  <w:rFonts w:ascii="Cambria Math" w:hAnsi="Cambria Math"/>
                </w:rPr>
                <m:t>α</m:t>
              </m:r>
            </m:e>
          </m:acc>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r</m:t>
                  </m:r>
                  <m:r>
                    <m:rPr>
                      <m:sty m:val="p"/>
                    </m:rPr>
                    <w:rPr>
                      <w:rFonts w:ascii="Cambria Math" w:hAnsi="Cambria Math"/>
                    </w:rPr>
                    <m:t>-1</m:t>
                  </m:r>
                </m:sup>
                <m:e>
                  <m:sSub>
                    <m:sSubPr>
                      <m:ctrlPr>
                        <w:rPr>
                          <w:rFonts w:ascii="Cambria Math" w:hAnsi="Cambria Math"/>
                        </w:rPr>
                      </m:ctrlPr>
                    </m:sSubPr>
                    <m:e>
                      <m:r>
                        <w:rPr>
                          <w:rFonts w:ascii="Cambria Math" w:hAnsi="Cambria Math"/>
                        </w:rPr>
                        <m:t>f</m:t>
                      </m:r>
                    </m:e>
                    <m:sub>
                      <m:r>
                        <w:rPr>
                          <w:rFonts w:ascii="Cambria Math" w:hAnsi="Cambria Math"/>
                        </w:rPr>
                        <m:t>i</m:t>
                      </m:r>
                    </m:sub>
                  </m:sSub>
                </m:e>
              </m:nary>
            </m:num>
            <m:den>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r</m:t>
                      </m:r>
                      <m:r>
                        <m:rPr>
                          <m:sty m:val="p"/>
                        </m:rPr>
                        <w:rPr>
                          <w:rFonts w:ascii="Cambria Math" w:hAnsi="Cambria Math"/>
                        </w:rPr>
                        <m:t>-1</m:t>
                      </m:r>
                    </m:sup>
                    <m:e>
                      <m:sSub>
                        <m:sSubPr>
                          <m:ctrlPr>
                            <w:rPr>
                              <w:rFonts w:ascii="Cambria Math" w:hAnsi="Cambria Math"/>
                            </w:rPr>
                          </m:ctrlPr>
                        </m:sSubPr>
                        <m:e>
                          <m:r>
                            <w:rPr>
                              <w:rFonts w:ascii="Cambria Math" w:hAnsi="Cambria Math"/>
                            </w:rPr>
                            <m:t>f</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e>
                  </m:nary>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r</m:t>
                  </m:r>
                  <m:r>
                    <m:rPr>
                      <m:sty m:val="p"/>
                    </m:rPr>
                    <w:rPr>
                      <w:rFonts w:ascii="Cambria Math" w:hAnsi="Cambria Math"/>
                    </w:rPr>
                    <m:t>-1</m:t>
                  </m:r>
                </m:sup>
                <m:e>
                  <m:sSub>
                    <m:sSubPr>
                      <m:ctrlPr>
                        <w:rPr>
                          <w:rFonts w:ascii="Cambria Math" w:hAnsi="Cambria Math"/>
                        </w:rPr>
                      </m:ctrlPr>
                    </m:sSubPr>
                    <m:e>
                      <m:r>
                        <w:rPr>
                          <w:rFonts w:ascii="Cambria Math" w:hAnsi="Cambria Math"/>
                        </w:rPr>
                        <m:t>f</m:t>
                      </m:r>
                    </m:e>
                    <m:sub>
                      <m:r>
                        <w:rPr>
                          <w:rFonts w:ascii="Cambria Math" w:hAnsi="Cambria Math"/>
                        </w:rPr>
                        <m:t>i</m:t>
                      </m:r>
                    </m:sub>
                  </m:sSub>
                </m:e>
              </m:nary>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e>
                  </m:d>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s</m:t>
                              </m:r>
                            </m:sub>
                          </m:sSub>
                        </m:num>
                        <m:den>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r-1</m:t>
                                  </m:r>
                                </m:e>
                              </m:d>
                            </m:sub>
                          </m:sSub>
                        </m:den>
                      </m:f>
                    </m:e>
                  </m:d>
                </m:e>
              </m:func>
            </m:den>
          </m:f>
        </m:oMath>
      </m:oMathPara>
    </w:p>
    <w:p w14:paraId="492B7CEA" w14:textId="77777777" w:rsidR="00421D94" w:rsidRDefault="004810D3" w:rsidP="009736BC">
      <w:pPr>
        <w:pStyle w:val="BodyText"/>
        <w:ind w:firstLine="0"/>
      </w:pPr>
      <w:r>
        <w:t xml:space="preserve">Regarding the selection of the truncation </w:t>
      </w:r>
      <w:r w:rsidR="00DC3299">
        <w:t xml:space="preserve">threshold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E26FDA">
        <w:t>, there is no specific rule</w:t>
      </w:r>
      <w:r>
        <w:t xml:space="preserve"> to apply</w:t>
      </w:r>
      <w:r w:rsidR="00683BF7">
        <w:t xml:space="preserve"> (see Hill, 1975)</w:t>
      </w:r>
      <w:r>
        <w:t>. It is found in West (1985) that truncation at the interval containing the average of the original distribution gives the most satisfactory results</w:t>
      </w:r>
      <w:r w:rsidR="00F8216D">
        <w:t xml:space="preserve"> (when comparing the estimated mean in the upper part with the true mean)</w:t>
      </w:r>
      <w:r>
        <w:t xml:space="preserve">. </w:t>
      </w:r>
      <w:r w:rsidR="00B04BBD">
        <w:t>However, across countries and time, t</w:t>
      </w:r>
      <w:r>
        <w:t>his paper f</w:t>
      </w:r>
      <w:r w:rsidR="00750FA1">
        <w:t>in</w:t>
      </w:r>
      <w:r>
        <w:t>d</w:t>
      </w:r>
      <w:r w:rsidR="00750FA1">
        <w:t>s</w:t>
      </w:r>
      <w:r>
        <w:t xml:space="preserve"> that </w:t>
      </w:r>
      <w:r w:rsidR="00B04BBD">
        <w:t>truncation at the median</w:t>
      </w:r>
      <w:r w:rsidR="002C2231">
        <w:t xml:space="preserve"> </w:t>
      </w:r>
      <w:r w:rsidR="00B04BBD">
        <w:t>gives the closest estimates</w:t>
      </w:r>
      <w:r w:rsidR="002C2231">
        <w:t xml:space="preserve"> </w:t>
      </w:r>
      <w:r w:rsidR="00B04BBD">
        <w:t xml:space="preserve">of the Pareto parameters </w:t>
      </w:r>
      <w:r w:rsidR="002C2231">
        <w:t>available in the WTID.</w:t>
      </w:r>
    </w:p>
    <w:p w14:paraId="2464010A" w14:textId="313ED358" w:rsidR="00421D94" w:rsidRDefault="00421D94" w:rsidP="009736BC">
      <w:pPr>
        <w:pStyle w:val="BodyText"/>
        <w:ind w:firstLine="0"/>
      </w:pPr>
    </w:p>
    <w:p w14:paraId="416E1FA1" w14:textId="77777777" w:rsidR="009E53D6" w:rsidRPr="009E53D6" w:rsidRDefault="009E53D6" w:rsidP="009E53D6">
      <w:pPr>
        <w:pStyle w:val="BodyText"/>
      </w:pPr>
    </w:p>
    <w:p w14:paraId="2B88A2EB" w14:textId="77777777" w:rsidR="00421D94" w:rsidRDefault="00421D94" w:rsidP="00421D94">
      <w:pPr>
        <w:pStyle w:val="AnnexHeading"/>
      </w:pPr>
      <w:bookmarkStart w:id="67" w:name="_Toc416797634"/>
      <w:bookmarkStart w:id="68" w:name="_Toc416860238"/>
      <w:r>
        <w:lastRenderedPageBreak/>
        <w:t>Annex 2: adjusted vs. non-adjusted ratios of mean income of the richest 10% to the median in oecd countries</w:t>
      </w:r>
      <w:bookmarkEnd w:id="67"/>
      <w:bookmarkEnd w:id="68"/>
    </w:p>
    <w:p w14:paraId="61BFC2D5" w14:textId="4455F1A9" w:rsidR="009E53D6" w:rsidRPr="00A82BAF" w:rsidRDefault="009A697C" w:rsidP="009E53D6">
      <w:pPr>
        <w:pStyle w:val="FigureTitle"/>
      </w:pPr>
      <w:r w:rsidRPr="00A82BAF">
        <w:t>Figure A</w:t>
      </w:r>
      <w:r w:rsidR="009E53D6" w:rsidRPr="00A82BAF">
        <w:t>2. Part A</w:t>
      </w:r>
    </w:p>
    <w:p w14:paraId="14A245D1" w14:textId="77777777" w:rsidR="009E53D6" w:rsidRDefault="009E53D6" w:rsidP="009E53D6">
      <w:pPr>
        <w:pStyle w:val="Graphic"/>
      </w:pPr>
      <w:r>
        <w:rPr>
          <w:noProof/>
          <w:lang w:eastAsia="en-GB"/>
        </w:rPr>
        <w:drawing>
          <wp:inline distT="0" distB="0" distL="0" distR="0" wp14:anchorId="305D0DA3" wp14:editId="7CE0EE38">
            <wp:extent cx="5838825" cy="7200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38825" cy="7200900"/>
                    </a:xfrm>
                    <a:prstGeom prst="rect">
                      <a:avLst/>
                    </a:prstGeom>
                  </pic:spPr>
                </pic:pic>
              </a:graphicData>
            </a:graphic>
          </wp:inline>
        </w:drawing>
      </w:r>
    </w:p>
    <w:p w14:paraId="61CED7FD" w14:textId="119F95AA" w:rsidR="00FB1BF4" w:rsidRPr="00A82BAF" w:rsidRDefault="00FB1BF4" w:rsidP="00FB1BF4">
      <w:pPr>
        <w:pStyle w:val="BodyText"/>
      </w:pPr>
    </w:p>
    <w:p w14:paraId="323D5308" w14:textId="279C9BBF" w:rsidR="00FB1BF4" w:rsidRPr="00A82BAF" w:rsidRDefault="0027758B" w:rsidP="00FB1BF4">
      <w:pPr>
        <w:pStyle w:val="FigureTitle"/>
      </w:pPr>
      <w:r w:rsidRPr="00A82BAF">
        <w:t xml:space="preserve">Figure A2. </w:t>
      </w:r>
      <w:r w:rsidR="00FB1BF4" w:rsidRPr="00A82BAF">
        <w:t>Part B</w:t>
      </w:r>
    </w:p>
    <w:p w14:paraId="5506AFD3" w14:textId="04613C1D" w:rsidR="00FB1BF4" w:rsidRDefault="00FB1BF4" w:rsidP="00FB1BF4">
      <w:pPr>
        <w:pStyle w:val="Graphic"/>
      </w:pPr>
      <w:r>
        <w:rPr>
          <w:noProof/>
          <w:lang w:eastAsia="en-GB"/>
        </w:rPr>
        <w:drawing>
          <wp:inline distT="0" distB="0" distL="0" distR="0" wp14:anchorId="7DCCB736" wp14:editId="319D8E1A">
            <wp:extent cx="5829300" cy="72009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29300" cy="7200900"/>
                    </a:xfrm>
                    <a:prstGeom prst="rect">
                      <a:avLst/>
                    </a:prstGeom>
                  </pic:spPr>
                </pic:pic>
              </a:graphicData>
            </a:graphic>
          </wp:inline>
        </w:drawing>
      </w:r>
    </w:p>
    <w:p w14:paraId="214BCEA6" w14:textId="74436CED" w:rsidR="00FB1BF4" w:rsidRDefault="00FB1BF4" w:rsidP="00FB1BF4">
      <w:pPr>
        <w:pStyle w:val="BodyText"/>
      </w:pPr>
    </w:p>
    <w:p w14:paraId="59B6A9E5" w14:textId="3E0FA349" w:rsidR="00FB1BF4" w:rsidRPr="00A82BAF" w:rsidRDefault="0027758B" w:rsidP="00FB1BF4">
      <w:pPr>
        <w:pStyle w:val="FigureTitle"/>
      </w:pPr>
      <w:r w:rsidRPr="00A82BAF">
        <w:lastRenderedPageBreak/>
        <w:t xml:space="preserve">Figure A2. </w:t>
      </w:r>
      <w:r w:rsidR="00FB1BF4" w:rsidRPr="00A82BAF">
        <w:t>Part C</w:t>
      </w:r>
    </w:p>
    <w:p w14:paraId="1E50787B" w14:textId="73AA8BC1" w:rsidR="00FB1BF4" w:rsidRDefault="00FB1BF4" w:rsidP="00FB1BF4">
      <w:pPr>
        <w:pStyle w:val="Graphic"/>
      </w:pPr>
      <w:r>
        <w:rPr>
          <w:noProof/>
          <w:lang w:eastAsia="en-GB"/>
        </w:rPr>
        <w:drawing>
          <wp:inline distT="0" distB="0" distL="0" distR="0" wp14:anchorId="669FC23B" wp14:editId="19EB51B7">
            <wp:extent cx="5838825" cy="72009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8825" cy="7200900"/>
                    </a:xfrm>
                    <a:prstGeom prst="rect">
                      <a:avLst/>
                    </a:prstGeom>
                  </pic:spPr>
                </pic:pic>
              </a:graphicData>
            </a:graphic>
          </wp:inline>
        </w:drawing>
      </w:r>
    </w:p>
    <w:p w14:paraId="70C066BE" w14:textId="20327BFD" w:rsidR="00FB1BF4" w:rsidRDefault="00FB1BF4" w:rsidP="00FB1BF4">
      <w:pPr>
        <w:pStyle w:val="BodyText"/>
      </w:pPr>
    </w:p>
    <w:p w14:paraId="4BCB6137" w14:textId="78F80A7F" w:rsidR="00FB1BF4" w:rsidRPr="00A82BAF" w:rsidRDefault="0027758B" w:rsidP="00FB1BF4">
      <w:pPr>
        <w:pStyle w:val="FigureTitle"/>
      </w:pPr>
      <w:r w:rsidRPr="00A82BAF">
        <w:lastRenderedPageBreak/>
        <w:t xml:space="preserve">Figure A2. </w:t>
      </w:r>
      <w:r w:rsidR="00FB1BF4" w:rsidRPr="00A82BAF">
        <w:t>Part D</w:t>
      </w:r>
    </w:p>
    <w:p w14:paraId="534B29E7" w14:textId="12680ADF" w:rsidR="00FB1BF4" w:rsidRDefault="00FB1BF4" w:rsidP="00FB1BF4">
      <w:pPr>
        <w:pStyle w:val="Graphic"/>
      </w:pPr>
      <w:r>
        <w:rPr>
          <w:noProof/>
          <w:lang w:eastAsia="en-GB"/>
        </w:rPr>
        <w:drawing>
          <wp:inline distT="0" distB="0" distL="0" distR="0" wp14:anchorId="53EEEE26" wp14:editId="103312E1">
            <wp:extent cx="5829300" cy="72009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9300" cy="7200900"/>
                    </a:xfrm>
                    <a:prstGeom prst="rect">
                      <a:avLst/>
                    </a:prstGeom>
                  </pic:spPr>
                </pic:pic>
              </a:graphicData>
            </a:graphic>
          </wp:inline>
        </w:drawing>
      </w:r>
    </w:p>
    <w:p w14:paraId="3C75CB47" w14:textId="0E043A76" w:rsidR="00FB1BF4" w:rsidRDefault="00FB1BF4" w:rsidP="00FB1BF4">
      <w:pPr>
        <w:pStyle w:val="BodyText"/>
      </w:pPr>
    </w:p>
    <w:p w14:paraId="53438846" w14:textId="5EB7A850" w:rsidR="00FB1BF4" w:rsidRPr="00A82BAF" w:rsidRDefault="0027758B" w:rsidP="002444A9">
      <w:pPr>
        <w:pStyle w:val="FigureTitle"/>
        <w:spacing w:after="0"/>
      </w:pPr>
      <w:r w:rsidRPr="00A82BAF">
        <w:lastRenderedPageBreak/>
        <w:t xml:space="preserve">Figure A2. </w:t>
      </w:r>
      <w:r w:rsidR="00FB1BF4" w:rsidRPr="00A82BAF">
        <w:t>Part E</w:t>
      </w:r>
    </w:p>
    <w:p w14:paraId="1B369742" w14:textId="4C106D78" w:rsidR="00FB1BF4" w:rsidRDefault="00FB1BF4" w:rsidP="00FB1BF4">
      <w:pPr>
        <w:pStyle w:val="Graphic"/>
      </w:pPr>
      <w:r>
        <w:rPr>
          <w:noProof/>
          <w:lang w:eastAsia="en-GB"/>
        </w:rPr>
        <w:drawing>
          <wp:inline distT="0" distB="0" distL="0" distR="0" wp14:anchorId="7D977E5B" wp14:editId="52BEBAA2">
            <wp:extent cx="5308600" cy="72136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08600" cy="7213600"/>
                    </a:xfrm>
                    <a:prstGeom prst="rect">
                      <a:avLst/>
                    </a:prstGeom>
                  </pic:spPr>
                </pic:pic>
              </a:graphicData>
            </a:graphic>
          </wp:inline>
        </w:drawing>
      </w:r>
    </w:p>
    <w:p w14:paraId="2D44667E" w14:textId="77777777" w:rsidR="00FB1BF4" w:rsidRPr="00FB1BF4" w:rsidRDefault="00FB1BF4" w:rsidP="00FB1BF4">
      <w:pPr>
        <w:pStyle w:val="BodyText"/>
      </w:pPr>
    </w:p>
    <w:p w14:paraId="0660316B" w14:textId="77777777" w:rsidR="00421D94" w:rsidRDefault="0033366B" w:rsidP="009E53D6">
      <w:pPr>
        <w:pStyle w:val="AnnexHeading"/>
        <w:spacing w:before="1080" w:after="360"/>
      </w:pPr>
      <w:bookmarkStart w:id="69" w:name="_Toc416797635"/>
      <w:bookmarkStart w:id="70" w:name="_Toc416860239"/>
      <w:r>
        <w:lastRenderedPageBreak/>
        <w:t>Annex 3</w:t>
      </w:r>
      <w:r w:rsidR="00421D94">
        <w:t>: adjusted vs. non-adjusted generalised means curves in oecd countries (</w:t>
      </w:r>
      <w:r w:rsidR="00206E12">
        <w:t xml:space="preserve">from </w:t>
      </w:r>
      <w:r w:rsidR="00421D94">
        <w:t>mid-1990’s to late-2000’s)</w:t>
      </w:r>
      <w:bookmarkEnd w:id="69"/>
      <w:bookmarkEnd w:id="70"/>
    </w:p>
    <w:p w14:paraId="4A837BE3" w14:textId="46C100C5" w:rsidR="009E53D6" w:rsidRPr="00A82BAF" w:rsidRDefault="00662800" w:rsidP="009E53D6">
      <w:pPr>
        <w:pStyle w:val="FigureTitle"/>
      </w:pPr>
      <w:r w:rsidRPr="00A82BAF">
        <w:t>Figure A</w:t>
      </w:r>
      <w:r w:rsidR="009E53D6" w:rsidRPr="00A82BAF">
        <w:t>3. Part A</w:t>
      </w:r>
    </w:p>
    <w:p w14:paraId="7E25163B" w14:textId="112C7A76" w:rsidR="009E53D6" w:rsidRDefault="009E53D6" w:rsidP="009E53D6">
      <w:pPr>
        <w:pStyle w:val="Graphic"/>
      </w:pPr>
      <w:r>
        <w:rPr>
          <w:noProof/>
          <w:lang w:eastAsia="en-GB"/>
        </w:rPr>
        <w:drawing>
          <wp:inline distT="0" distB="0" distL="0" distR="0" wp14:anchorId="619937AF" wp14:editId="4DFA2A10">
            <wp:extent cx="5895975" cy="73152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95975" cy="7315200"/>
                    </a:xfrm>
                    <a:prstGeom prst="rect">
                      <a:avLst/>
                    </a:prstGeom>
                  </pic:spPr>
                </pic:pic>
              </a:graphicData>
            </a:graphic>
          </wp:inline>
        </w:drawing>
      </w:r>
    </w:p>
    <w:p w14:paraId="655D2878" w14:textId="75475B22" w:rsidR="009E53D6" w:rsidRPr="00A82BAF" w:rsidRDefault="0027758B" w:rsidP="009E53D6">
      <w:pPr>
        <w:pStyle w:val="FigureTitle"/>
      </w:pPr>
      <w:r w:rsidRPr="00A82BAF">
        <w:lastRenderedPageBreak/>
        <w:t>Figure A3</w:t>
      </w:r>
      <w:r w:rsidR="009E53D6" w:rsidRPr="00A82BAF">
        <w:t>. Part B</w:t>
      </w:r>
    </w:p>
    <w:p w14:paraId="4DCAA2EE" w14:textId="14481400" w:rsidR="009E53D6" w:rsidRDefault="009E53D6" w:rsidP="009E53D6">
      <w:pPr>
        <w:pStyle w:val="Graphic"/>
      </w:pPr>
      <w:r>
        <w:rPr>
          <w:noProof/>
          <w:lang w:eastAsia="en-GB"/>
        </w:rPr>
        <w:drawing>
          <wp:inline distT="0" distB="0" distL="0" distR="0" wp14:anchorId="654290B9" wp14:editId="45B6E3A5">
            <wp:extent cx="5867400" cy="730567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67400" cy="7305675"/>
                    </a:xfrm>
                    <a:prstGeom prst="rect">
                      <a:avLst/>
                    </a:prstGeom>
                  </pic:spPr>
                </pic:pic>
              </a:graphicData>
            </a:graphic>
          </wp:inline>
        </w:drawing>
      </w:r>
    </w:p>
    <w:p w14:paraId="2C33FC6C" w14:textId="77777777" w:rsidR="009E53D6" w:rsidRPr="009E53D6" w:rsidRDefault="009E53D6" w:rsidP="009E53D6">
      <w:pPr>
        <w:pStyle w:val="BodyText"/>
      </w:pPr>
    </w:p>
    <w:p w14:paraId="7FE98871" w14:textId="77777777" w:rsidR="003E22C9" w:rsidRDefault="003E22C9" w:rsidP="00421D94">
      <w:pPr>
        <w:pStyle w:val="BodyText"/>
      </w:pPr>
    </w:p>
    <w:p w14:paraId="5C843A72" w14:textId="4D8011D3" w:rsidR="009E53D6" w:rsidRPr="00A82BAF" w:rsidRDefault="0027758B" w:rsidP="009E53D6">
      <w:pPr>
        <w:pStyle w:val="FigureTitle"/>
      </w:pPr>
      <w:r w:rsidRPr="00A82BAF">
        <w:lastRenderedPageBreak/>
        <w:t xml:space="preserve">Figure A3. </w:t>
      </w:r>
      <w:r w:rsidR="009E53D6" w:rsidRPr="00A82BAF">
        <w:t>Part C</w:t>
      </w:r>
    </w:p>
    <w:p w14:paraId="4C7EE8C6" w14:textId="7250935B" w:rsidR="009E53D6" w:rsidRDefault="009E53D6" w:rsidP="009E53D6">
      <w:pPr>
        <w:pStyle w:val="Graphic"/>
      </w:pPr>
      <w:r>
        <w:rPr>
          <w:noProof/>
          <w:lang w:eastAsia="en-GB"/>
        </w:rPr>
        <w:drawing>
          <wp:inline distT="0" distB="0" distL="0" distR="0" wp14:anchorId="5FBF6D65" wp14:editId="4DD4A87D">
            <wp:extent cx="5895975" cy="73152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95975" cy="7315200"/>
                    </a:xfrm>
                    <a:prstGeom prst="rect">
                      <a:avLst/>
                    </a:prstGeom>
                  </pic:spPr>
                </pic:pic>
              </a:graphicData>
            </a:graphic>
          </wp:inline>
        </w:drawing>
      </w:r>
    </w:p>
    <w:p w14:paraId="183202FF" w14:textId="77777777" w:rsidR="009E53D6" w:rsidRPr="009E53D6" w:rsidRDefault="009E53D6" w:rsidP="009E53D6">
      <w:pPr>
        <w:pStyle w:val="BodyText"/>
      </w:pPr>
    </w:p>
    <w:p w14:paraId="32FB2F67" w14:textId="77777777" w:rsidR="003E22C9" w:rsidRDefault="003E22C9" w:rsidP="00421D94">
      <w:pPr>
        <w:pStyle w:val="BodyText"/>
      </w:pPr>
    </w:p>
    <w:p w14:paraId="4300EFC4" w14:textId="4538A9D6" w:rsidR="00CE6BE9" w:rsidRPr="00A82BAF" w:rsidRDefault="0027758B" w:rsidP="00CE6BE9">
      <w:pPr>
        <w:pStyle w:val="FigureTitle"/>
      </w:pPr>
      <w:r w:rsidRPr="00A82BAF">
        <w:lastRenderedPageBreak/>
        <w:t xml:space="preserve">Figure A3. </w:t>
      </w:r>
      <w:r w:rsidR="00CE6BE9" w:rsidRPr="00A82BAF">
        <w:t>Part D</w:t>
      </w:r>
    </w:p>
    <w:p w14:paraId="390DF32D" w14:textId="72ED78D5" w:rsidR="00CE6BE9" w:rsidRDefault="00CE6BE9" w:rsidP="00CE6BE9">
      <w:pPr>
        <w:pStyle w:val="Graphic"/>
      </w:pPr>
      <w:r>
        <w:rPr>
          <w:noProof/>
          <w:lang w:eastAsia="en-GB"/>
        </w:rPr>
        <w:drawing>
          <wp:inline distT="0" distB="0" distL="0" distR="0" wp14:anchorId="30C36E85" wp14:editId="5473A0D2">
            <wp:extent cx="5829300" cy="72009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29300" cy="7200900"/>
                    </a:xfrm>
                    <a:prstGeom prst="rect">
                      <a:avLst/>
                    </a:prstGeom>
                  </pic:spPr>
                </pic:pic>
              </a:graphicData>
            </a:graphic>
          </wp:inline>
        </w:drawing>
      </w:r>
    </w:p>
    <w:p w14:paraId="1B417220" w14:textId="77777777" w:rsidR="00CE6BE9" w:rsidRPr="00CE6BE9" w:rsidRDefault="00CE6BE9" w:rsidP="00CE6BE9">
      <w:pPr>
        <w:pStyle w:val="BodyText"/>
      </w:pPr>
    </w:p>
    <w:p w14:paraId="3012CDAD" w14:textId="51F2AE9C" w:rsidR="00E578EA" w:rsidRDefault="00E578EA">
      <w:pPr>
        <w:tabs>
          <w:tab w:val="clear" w:pos="850"/>
          <w:tab w:val="clear" w:pos="1191"/>
          <w:tab w:val="clear" w:pos="1531"/>
        </w:tabs>
        <w:jc w:val="left"/>
      </w:pPr>
      <w:r>
        <w:br w:type="page"/>
      </w:r>
    </w:p>
    <w:p w14:paraId="2BF7627D" w14:textId="77777777" w:rsidR="00E578EA" w:rsidRPr="00033F21" w:rsidRDefault="00E578EA" w:rsidP="00E578EA">
      <w:pPr>
        <w:pStyle w:val="BodyText"/>
        <w:pageBreakBefore/>
        <w:ind w:firstLine="0"/>
        <w:jc w:val="center"/>
        <w:rPr>
          <w:b/>
        </w:rPr>
      </w:pPr>
      <w:r w:rsidRPr="00033F21">
        <w:rPr>
          <w:b/>
        </w:rPr>
        <w:lastRenderedPageBreak/>
        <w:t>WORKING PAPERS</w:t>
      </w:r>
    </w:p>
    <w:p w14:paraId="4C8A1613" w14:textId="77777777" w:rsidR="00E578EA" w:rsidRDefault="00E578EA" w:rsidP="00E578EA">
      <w:pPr>
        <w:spacing w:after="360"/>
        <w:jc w:val="center"/>
        <w:rPr>
          <w:i/>
          <w:sz w:val="20"/>
          <w:szCs w:val="20"/>
        </w:rPr>
      </w:pPr>
      <w:r w:rsidRPr="00C313E7">
        <w:rPr>
          <w:i/>
          <w:sz w:val="20"/>
          <w:szCs w:val="20"/>
        </w:rPr>
        <w:t>The full series of Economics Department Working Papers can be consulted at</w:t>
      </w:r>
      <w:r w:rsidRPr="00C313E7">
        <w:rPr>
          <w:rFonts w:ascii="Arial" w:hAnsi="Arial"/>
          <w:i/>
          <w:snapToGrid w:val="0"/>
          <w:sz w:val="20"/>
          <w:szCs w:val="20"/>
        </w:rPr>
        <w:t xml:space="preserve"> </w:t>
      </w:r>
      <w:r w:rsidRPr="00A3420A">
        <w:t>www.oecd.org/eco/workingpapers</w:t>
      </w:r>
    </w:p>
    <w:p w14:paraId="687DA760" w14:textId="77777777" w:rsidR="00E578EA" w:rsidRPr="007C66A0" w:rsidRDefault="00E578EA" w:rsidP="00E578EA">
      <w:pPr>
        <w:ind w:left="851" w:hanging="851"/>
        <w:rPr>
          <w:color w:val="FF0000"/>
        </w:rPr>
      </w:pPr>
      <w:r w:rsidRPr="007C66A0">
        <w:rPr>
          <w:color w:val="FF0000"/>
        </w:rPr>
        <w:t>XXXX</w:t>
      </w:r>
      <w:r w:rsidRPr="007C66A0">
        <w:rPr>
          <w:color w:val="FF0000"/>
        </w:rPr>
        <w:tab/>
        <w:t>Latest Paper here</w:t>
      </w:r>
    </w:p>
    <w:p w14:paraId="378AEADD" w14:textId="77777777" w:rsidR="00E578EA" w:rsidRPr="007C66A0" w:rsidRDefault="00E578EA" w:rsidP="00E578EA">
      <w:pPr>
        <w:ind w:left="851" w:hanging="851"/>
      </w:pPr>
    </w:p>
    <w:p w14:paraId="6760E3B8" w14:textId="77777777" w:rsidR="00E578EA" w:rsidRPr="007C66A0" w:rsidRDefault="00E578EA" w:rsidP="00E578EA">
      <w:pPr>
        <w:ind w:left="851" w:hanging="851"/>
      </w:pPr>
      <w:r w:rsidRPr="007C66A0">
        <w:t>1204.</w:t>
      </w:r>
      <w:r w:rsidRPr="007C66A0">
        <w:tab/>
      </w:r>
      <w:r w:rsidRPr="007C66A0">
        <w:rPr>
          <w:i/>
        </w:rPr>
        <w:t>Taxation and Investment in Colombia</w:t>
      </w:r>
      <w:r w:rsidRPr="007C66A0">
        <w:t xml:space="preserve"> </w:t>
      </w:r>
    </w:p>
    <w:p w14:paraId="0B0CF5F8" w14:textId="77777777" w:rsidR="00E578EA" w:rsidRDefault="00E578EA" w:rsidP="00E578EA">
      <w:pPr>
        <w:ind w:left="851" w:hanging="851"/>
      </w:pPr>
      <w:r w:rsidRPr="001E3F91">
        <w:tab/>
        <w:t>(April 2015)</w:t>
      </w:r>
      <w:r>
        <w:t xml:space="preserve"> By </w:t>
      </w:r>
      <w:r w:rsidRPr="00D64690">
        <w:t>Sarah Perret and Bert Brys</w:t>
      </w:r>
    </w:p>
    <w:p w14:paraId="0B44E2B2" w14:textId="77777777" w:rsidR="00E578EA" w:rsidRPr="00A72AD5" w:rsidRDefault="00E578EA" w:rsidP="00E578EA">
      <w:pPr>
        <w:ind w:left="680" w:hanging="680"/>
      </w:pPr>
    </w:p>
    <w:p w14:paraId="6CB97198" w14:textId="77777777" w:rsidR="00E578EA" w:rsidRPr="00D72890" w:rsidRDefault="00E578EA" w:rsidP="00E578EA">
      <w:pPr>
        <w:ind w:left="851" w:hanging="851"/>
        <w:rPr>
          <w:i/>
        </w:rPr>
      </w:pPr>
      <w:r w:rsidRPr="001E3F91">
        <w:t>1203.</w:t>
      </w:r>
      <w:r w:rsidRPr="001E3F91">
        <w:tab/>
      </w:r>
      <w:r w:rsidRPr="00D72890">
        <w:rPr>
          <w:i/>
        </w:rPr>
        <w:t>Efficiency and contestability in the Colombian banking system</w:t>
      </w:r>
    </w:p>
    <w:p w14:paraId="2147D77F" w14:textId="77777777" w:rsidR="00E578EA" w:rsidRDefault="00E578EA" w:rsidP="00E578EA">
      <w:pPr>
        <w:ind w:left="851" w:hanging="851"/>
      </w:pPr>
      <w:r w:rsidRPr="0009657A">
        <w:tab/>
      </w:r>
      <w:r w:rsidRPr="00D72890">
        <w:t xml:space="preserve">(April 2015) </w:t>
      </w:r>
      <w:r>
        <w:t>By Christian Daude and Julien Pascal</w:t>
      </w:r>
    </w:p>
    <w:p w14:paraId="5C22DF9A" w14:textId="77777777" w:rsidR="00E578EA" w:rsidRPr="00A72AD5" w:rsidRDefault="00E578EA" w:rsidP="00E578EA">
      <w:pPr>
        <w:ind w:left="680" w:hanging="680"/>
      </w:pPr>
    </w:p>
    <w:p w14:paraId="40E90730" w14:textId="77777777" w:rsidR="00E578EA" w:rsidRDefault="00E578EA" w:rsidP="00E578EA">
      <w:pPr>
        <w:ind w:left="851" w:hanging="851"/>
      </w:pPr>
      <w:r w:rsidRPr="00C014B3">
        <w:t>1202.</w:t>
      </w:r>
      <w:r w:rsidRPr="00C014B3">
        <w:tab/>
      </w:r>
      <w:r w:rsidRPr="00C014B3">
        <w:rPr>
          <w:i/>
        </w:rPr>
        <w:t>Fiscal decentralisation in Colombia: New evidence regarding sustainability, risk sharing and “fiscal fatigue”</w:t>
      </w:r>
    </w:p>
    <w:p w14:paraId="46C59A06" w14:textId="77777777" w:rsidR="00E578EA" w:rsidRDefault="00E578EA" w:rsidP="00E578EA">
      <w:pPr>
        <w:ind w:left="851" w:hanging="851"/>
        <w:rPr>
          <w:lang w:val="fr-FR"/>
        </w:rPr>
      </w:pPr>
      <w:r>
        <w:tab/>
      </w:r>
      <w:r w:rsidRPr="00C014B3">
        <w:rPr>
          <w:lang w:val="fr-FR"/>
        </w:rPr>
        <w:t>(April 2015) By Guillaume Bousquet, Christian Daude and Christine de la Maisonneuve</w:t>
      </w:r>
    </w:p>
    <w:p w14:paraId="25B2AD00" w14:textId="77777777" w:rsidR="00E578EA" w:rsidRPr="00A72AD5" w:rsidRDefault="00E578EA" w:rsidP="00E578EA">
      <w:pPr>
        <w:ind w:left="851" w:hanging="851"/>
        <w:rPr>
          <w:lang w:val="fr-FR"/>
        </w:rPr>
      </w:pPr>
    </w:p>
    <w:p w14:paraId="52A3A427" w14:textId="77777777" w:rsidR="00E578EA" w:rsidRPr="00C014B3" w:rsidRDefault="00E578EA" w:rsidP="00E578EA">
      <w:pPr>
        <w:ind w:left="851" w:hanging="851"/>
      </w:pPr>
      <w:r w:rsidRPr="00C014B3">
        <w:t>1201.</w:t>
      </w:r>
      <w:r w:rsidRPr="00C014B3">
        <w:tab/>
      </w:r>
      <w:r w:rsidRPr="00C014B3">
        <w:rPr>
          <w:i/>
        </w:rPr>
        <w:t>Effects of economic policies on microeconomic stability</w:t>
      </w:r>
    </w:p>
    <w:p w14:paraId="6ADD4D1F" w14:textId="77777777" w:rsidR="00E578EA" w:rsidRDefault="00E578EA" w:rsidP="00E578EA">
      <w:pPr>
        <w:ind w:left="851" w:hanging="851"/>
      </w:pPr>
      <w:r>
        <w:tab/>
        <w:t>(April 2015) by Boris Cournède, Paula Garda and Volker Ziemann</w:t>
      </w:r>
    </w:p>
    <w:p w14:paraId="46E4A01D" w14:textId="77777777" w:rsidR="00E578EA" w:rsidRDefault="00E578EA" w:rsidP="00E578EA">
      <w:pPr>
        <w:ind w:left="851" w:hanging="851"/>
      </w:pPr>
    </w:p>
    <w:p w14:paraId="4BDF4A22" w14:textId="77777777" w:rsidR="00E578EA" w:rsidRPr="00C81E18" w:rsidRDefault="00E578EA" w:rsidP="00E578EA">
      <w:pPr>
        <w:ind w:left="851" w:hanging="851"/>
      </w:pPr>
      <w:r w:rsidRPr="00C81E18">
        <w:t>1200.</w:t>
      </w:r>
      <w:r w:rsidRPr="00C81E18">
        <w:tab/>
      </w:r>
      <w:r w:rsidRPr="00C81E18">
        <w:rPr>
          <w:i/>
        </w:rPr>
        <w:t>The 2013 update of the OECD’s database on product market regulation – policy insights for OECD and non-OECD countries</w:t>
      </w:r>
    </w:p>
    <w:p w14:paraId="502BCCC6" w14:textId="77777777" w:rsidR="00E578EA" w:rsidRDefault="00E578EA" w:rsidP="00E578EA">
      <w:pPr>
        <w:ind w:left="851" w:hanging="851"/>
      </w:pPr>
      <w:r>
        <w:tab/>
        <w:t>(April 2015) by Isabell Koske, Isabelle Wanner, Rosamaria Bitetti and Omar Barbiero</w:t>
      </w:r>
    </w:p>
    <w:p w14:paraId="3B5B9A47" w14:textId="77777777" w:rsidR="00E578EA" w:rsidRDefault="00E578EA" w:rsidP="00E578EA">
      <w:pPr>
        <w:ind w:left="851" w:hanging="851"/>
      </w:pPr>
    </w:p>
    <w:p w14:paraId="443A612C" w14:textId="77777777" w:rsidR="00E578EA" w:rsidRPr="008D1066" w:rsidRDefault="00E578EA" w:rsidP="00E578EA">
      <w:pPr>
        <w:ind w:left="851" w:hanging="851"/>
        <w:rPr>
          <w:i/>
        </w:rPr>
      </w:pPr>
      <w:r w:rsidRPr="008D1066">
        <w:t>1199.</w:t>
      </w:r>
      <w:r w:rsidRPr="008D1066">
        <w:tab/>
      </w:r>
      <w:r w:rsidRPr="008D1066">
        <w:rPr>
          <w:i/>
        </w:rPr>
        <w:t>Improving taxes and transfers in Australia</w:t>
      </w:r>
    </w:p>
    <w:p w14:paraId="0EAEA47D" w14:textId="77777777" w:rsidR="00E578EA" w:rsidRPr="00AF30FA" w:rsidRDefault="00E578EA" w:rsidP="00E578EA">
      <w:pPr>
        <w:ind w:left="851" w:hanging="851"/>
      </w:pPr>
      <w:r>
        <w:tab/>
        <w:t>(April 2015) b</w:t>
      </w:r>
      <w:r w:rsidRPr="00AF30FA">
        <w:t xml:space="preserve">y </w:t>
      </w:r>
      <w:r>
        <w:t>Philip Hemmings and Annamaria Tuske</w:t>
      </w:r>
    </w:p>
    <w:p w14:paraId="5CE8F82B" w14:textId="77777777" w:rsidR="00E578EA" w:rsidRDefault="00E578EA" w:rsidP="00E578EA">
      <w:pPr>
        <w:ind w:left="851" w:hanging="851"/>
      </w:pPr>
    </w:p>
    <w:p w14:paraId="708582A1" w14:textId="77777777" w:rsidR="00E578EA" w:rsidRPr="0050015E" w:rsidRDefault="00E578EA" w:rsidP="00E578EA">
      <w:pPr>
        <w:ind w:left="851" w:hanging="851"/>
        <w:rPr>
          <w:i/>
        </w:rPr>
      </w:pPr>
      <w:r>
        <w:t>1198.</w:t>
      </w:r>
      <w:r>
        <w:tab/>
      </w:r>
      <w:r>
        <w:rPr>
          <w:i/>
        </w:rPr>
        <w:t>Federal-state relations i</w:t>
      </w:r>
      <w:r w:rsidRPr="0050015E">
        <w:rPr>
          <w:i/>
        </w:rPr>
        <w:t>n Australia</w:t>
      </w:r>
    </w:p>
    <w:p w14:paraId="4CF141BD" w14:textId="77777777" w:rsidR="00E578EA" w:rsidRDefault="00E578EA" w:rsidP="00E578EA">
      <w:pPr>
        <w:ind w:left="851" w:hanging="851"/>
        <w:rPr>
          <w:i/>
        </w:rPr>
      </w:pPr>
      <w:r>
        <w:tab/>
        <w:t xml:space="preserve">(April 2015) </w:t>
      </w:r>
      <w:r w:rsidRPr="0050015E">
        <w:t>by Vassiliki Koutsogeorgopoulou and Annamaria Tuske</w:t>
      </w:r>
    </w:p>
    <w:p w14:paraId="5E73D509" w14:textId="77777777" w:rsidR="00E578EA" w:rsidRDefault="00E578EA" w:rsidP="00E578EA">
      <w:pPr>
        <w:ind w:left="851" w:hanging="851"/>
      </w:pPr>
    </w:p>
    <w:p w14:paraId="1CC0B142" w14:textId="77777777" w:rsidR="00E578EA" w:rsidRDefault="00E578EA" w:rsidP="00E578EA">
      <w:pPr>
        <w:ind w:left="851" w:hanging="851"/>
        <w:rPr>
          <w:i/>
        </w:rPr>
      </w:pPr>
      <w:r>
        <w:t>1197.</w:t>
      </w:r>
      <w:r>
        <w:tab/>
        <w:t>Sharing the fruits of growth in Mexico</w:t>
      </w:r>
    </w:p>
    <w:p w14:paraId="275CF58A" w14:textId="77777777" w:rsidR="00E578EA" w:rsidRPr="00AF30FA" w:rsidRDefault="00E578EA" w:rsidP="00E578EA">
      <w:pPr>
        <w:ind w:left="851" w:hanging="851"/>
      </w:pPr>
      <w:r>
        <w:tab/>
        <w:t>(April 2015) b</w:t>
      </w:r>
      <w:r w:rsidRPr="00AF30FA">
        <w:t xml:space="preserve">y </w:t>
      </w:r>
      <w:r>
        <w:t>Eduardo Olaberriá and Valéry Dugain</w:t>
      </w:r>
    </w:p>
    <w:p w14:paraId="34446A54" w14:textId="77777777" w:rsidR="00E578EA" w:rsidRDefault="00E578EA" w:rsidP="00E578EA">
      <w:pPr>
        <w:ind w:left="851" w:hanging="851"/>
      </w:pPr>
    </w:p>
    <w:p w14:paraId="3FAFDF06" w14:textId="77777777" w:rsidR="00E578EA" w:rsidRDefault="00E578EA" w:rsidP="00E578EA">
      <w:pPr>
        <w:ind w:left="851" w:hanging="851"/>
        <w:rPr>
          <w:i/>
        </w:rPr>
      </w:pPr>
      <w:r>
        <w:t>1196.</w:t>
      </w:r>
      <w:r>
        <w:tab/>
      </w:r>
      <w:r>
        <w:rPr>
          <w:i/>
        </w:rPr>
        <w:t>What makes Mexicans happy?</w:t>
      </w:r>
    </w:p>
    <w:p w14:paraId="590BC018" w14:textId="77777777" w:rsidR="00E578EA" w:rsidRPr="00AF30FA" w:rsidRDefault="00E578EA" w:rsidP="00E578EA">
      <w:pPr>
        <w:ind w:left="851" w:hanging="851"/>
      </w:pPr>
      <w:r>
        <w:tab/>
        <w:t>(April 2015) b</w:t>
      </w:r>
      <w:r w:rsidRPr="00AF30FA">
        <w:t xml:space="preserve">y </w:t>
      </w:r>
      <w:r>
        <w:t>Valéry Dugain and Eduardo Olaberriá</w:t>
      </w:r>
    </w:p>
    <w:p w14:paraId="32D54D88" w14:textId="77777777" w:rsidR="00E578EA" w:rsidRDefault="00E578EA" w:rsidP="00E578EA">
      <w:pPr>
        <w:ind w:left="851" w:hanging="851"/>
      </w:pPr>
    </w:p>
    <w:p w14:paraId="3C0C3B10" w14:textId="77777777" w:rsidR="00E578EA" w:rsidRDefault="00E578EA" w:rsidP="00E578EA">
      <w:pPr>
        <w:ind w:left="851" w:hanging="851"/>
        <w:rPr>
          <w:i/>
        </w:rPr>
      </w:pPr>
      <w:r>
        <w:t>1195.</w:t>
      </w:r>
      <w:r>
        <w:tab/>
      </w:r>
      <w:r w:rsidRPr="00AF30FA">
        <w:rPr>
          <w:i/>
        </w:rPr>
        <w:t>Improving the labour market integration of immigrants in Belgium</w:t>
      </w:r>
    </w:p>
    <w:p w14:paraId="3C42BACA" w14:textId="77777777" w:rsidR="00E578EA" w:rsidRPr="00AF30FA" w:rsidRDefault="00E578EA" w:rsidP="00E578EA">
      <w:pPr>
        <w:ind w:left="851" w:hanging="851"/>
      </w:pPr>
      <w:r>
        <w:tab/>
        <w:t>(March 2015) b</w:t>
      </w:r>
      <w:r w:rsidRPr="00AF30FA">
        <w:t>y Álvaro Pina, Vincent Corluy and Gerlinde Verbist</w:t>
      </w:r>
    </w:p>
    <w:p w14:paraId="6704B963" w14:textId="77777777" w:rsidR="00E578EA" w:rsidRDefault="00E578EA" w:rsidP="00E578EA">
      <w:pPr>
        <w:ind w:left="851" w:hanging="851"/>
      </w:pPr>
    </w:p>
    <w:p w14:paraId="3B48FB48" w14:textId="77777777" w:rsidR="00E578EA" w:rsidRPr="00AF30FA" w:rsidRDefault="00E578EA" w:rsidP="00E578EA">
      <w:pPr>
        <w:ind w:left="851" w:hanging="851"/>
      </w:pPr>
      <w:r w:rsidRPr="00AF30FA">
        <w:t>1194.</w:t>
      </w:r>
      <w:r w:rsidRPr="00AF30FA">
        <w:tab/>
      </w:r>
      <w:r w:rsidRPr="00AF30FA">
        <w:rPr>
          <w:i/>
        </w:rPr>
        <w:t>Raising the potential of the domestically oriented sector in Germany</w:t>
      </w:r>
    </w:p>
    <w:p w14:paraId="79DCDDB5" w14:textId="77777777" w:rsidR="00E578EA" w:rsidRPr="004A0591" w:rsidRDefault="00E578EA" w:rsidP="00E578EA">
      <w:pPr>
        <w:ind w:left="851" w:hanging="851"/>
      </w:pPr>
      <w:r>
        <w:tab/>
        <w:t>(March 2015) by André Eid and Andrés Hutfilter</w:t>
      </w:r>
    </w:p>
    <w:p w14:paraId="29325FD1" w14:textId="77777777" w:rsidR="00E578EA" w:rsidRPr="004A0591" w:rsidRDefault="00E578EA" w:rsidP="00E578EA">
      <w:pPr>
        <w:ind w:left="851" w:hanging="851"/>
      </w:pPr>
    </w:p>
    <w:p w14:paraId="0C92A088" w14:textId="77777777" w:rsidR="00E578EA" w:rsidRPr="0009657A" w:rsidRDefault="00E578EA" w:rsidP="00E578EA">
      <w:pPr>
        <w:ind w:left="851" w:hanging="851"/>
        <w:rPr>
          <w:i/>
        </w:rPr>
      </w:pPr>
      <w:r w:rsidRPr="0009657A">
        <w:t>1193.</w:t>
      </w:r>
      <w:r w:rsidRPr="0009657A">
        <w:tab/>
      </w:r>
      <w:r w:rsidRPr="0009657A">
        <w:rPr>
          <w:i/>
        </w:rPr>
        <w:t>Improving transport infrastructure in Russia</w:t>
      </w:r>
    </w:p>
    <w:p w14:paraId="70253F72" w14:textId="77777777" w:rsidR="00E578EA" w:rsidRPr="008D45FB" w:rsidRDefault="00E578EA" w:rsidP="00E578EA">
      <w:pPr>
        <w:ind w:left="851" w:hanging="851"/>
      </w:pPr>
      <w:r w:rsidRPr="0009657A">
        <w:tab/>
      </w:r>
      <w:r w:rsidRPr="008D45FB">
        <w:t>(March 2015) by Alexand</w:t>
      </w:r>
      <w:r>
        <w:t>er Kolik, Artur Radziwill and N</w:t>
      </w:r>
      <w:r w:rsidRPr="008D45FB">
        <w:t>a</w:t>
      </w:r>
      <w:r>
        <w:t>talia Turdyeva</w:t>
      </w:r>
    </w:p>
    <w:p w14:paraId="5FFFE189" w14:textId="77777777" w:rsidR="00E578EA" w:rsidRPr="008D45FB" w:rsidRDefault="00E578EA" w:rsidP="00E578EA">
      <w:pPr>
        <w:ind w:left="851" w:hanging="851"/>
      </w:pPr>
    </w:p>
    <w:p w14:paraId="767C3EF9" w14:textId="77777777" w:rsidR="00E578EA" w:rsidRPr="008D45FB" w:rsidRDefault="00E578EA" w:rsidP="00E578EA">
      <w:pPr>
        <w:ind w:left="851" w:hanging="851"/>
      </w:pPr>
      <w:r w:rsidRPr="008D45FB">
        <w:t>1192</w:t>
      </w:r>
      <w:r>
        <w:t>.</w:t>
      </w:r>
      <w:r w:rsidRPr="008D45FB">
        <w:tab/>
      </w:r>
      <w:r>
        <w:rPr>
          <w:i/>
        </w:rPr>
        <w:t>Improving the business c</w:t>
      </w:r>
      <w:r w:rsidRPr="008D45FB">
        <w:rPr>
          <w:i/>
        </w:rPr>
        <w:t>limate in Russia</w:t>
      </w:r>
    </w:p>
    <w:p w14:paraId="1788E07A" w14:textId="77777777" w:rsidR="00E578EA" w:rsidRPr="00263B35" w:rsidRDefault="00E578EA" w:rsidP="00E578EA">
      <w:pPr>
        <w:ind w:left="851" w:hanging="851"/>
      </w:pPr>
      <w:r>
        <w:tab/>
        <w:t>(March 2015) by Arthur Radziwill and Yana Vaziakova</w:t>
      </w:r>
    </w:p>
    <w:p w14:paraId="7918721F" w14:textId="77777777" w:rsidR="00E578EA" w:rsidRDefault="00E578EA" w:rsidP="00E578EA">
      <w:pPr>
        <w:ind w:left="851" w:hanging="851"/>
      </w:pPr>
    </w:p>
    <w:p w14:paraId="39DF0C3E" w14:textId="77777777" w:rsidR="00E578EA" w:rsidRPr="00263B35" w:rsidRDefault="00E578EA" w:rsidP="00E578EA">
      <w:pPr>
        <w:ind w:left="851" w:hanging="851"/>
      </w:pPr>
      <w:r w:rsidRPr="00263B35">
        <w:t>1191.</w:t>
      </w:r>
      <w:r w:rsidRPr="00263B35">
        <w:tab/>
      </w:r>
      <w:r w:rsidRPr="00263B35">
        <w:rPr>
          <w:i/>
        </w:rPr>
        <w:t>Determinants of female entrepreneurship in India</w:t>
      </w:r>
    </w:p>
    <w:p w14:paraId="3CE57F77" w14:textId="77777777" w:rsidR="00E578EA" w:rsidRDefault="00E578EA" w:rsidP="00E578EA">
      <w:pPr>
        <w:tabs>
          <w:tab w:val="clear" w:pos="850"/>
          <w:tab w:val="left" w:pos="851"/>
        </w:tabs>
        <w:ind w:left="851" w:hanging="851"/>
      </w:pPr>
      <w:r>
        <w:tab/>
        <w:t xml:space="preserve">(March 2015) by </w:t>
      </w:r>
      <w:r w:rsidRPr="00FD7BEE">
        <w:t>Arnaud Daymard</w:t>
      </w:r>
    </w:p>
    <w:p w14:paraId="4B57C302" w14:textId="77777777" w:rsidR="00E578EA" w:rsidRDefault="00E578EA" w:rsidP="00E578EA">
      <w:pPr>
        <w:ind w:left="851" w:hanging="851"/>
      </w:pPr>
    </w:p>
    <w:p w14:paraId="00E10836" w14:textId="77777777" w:rsidR="00E578EA" w:rsidRPr="00FD7BEE" w:rsidRDefault="00E578EA" w:rsidP="00E578EA">
      <w:pPr>
        <w:ind w:left="851" w:hanging="851"/>
      </w:pPr>
      <w:r w:rsidRPr="00FD7BEE">
        <w:t>1190.</w:t>
      </w:r>
      <w:r w:rsidRPr="00FD7BEE">
        <w:tab/>
      </w:r>
      <w:r>
        <w:rPr>
          <w:i/>
        </w:rPr>
        <w:t>The changing r</w:t>
      </w:r>
      <w:r w:rsidRPr="00FD7BEE">
        <w:rPr>
          <w:i/>
        </w:rPr>
        <w:t xml:space="preserve">ole of </w:t>
      </w:r>
      <w:r>
        <w:rPr>
          <w:i/>
        </w:rPr>
        <w:t>the exchange rate for macroeconomic a</w:t>
      </w:r>
      <w:r w:rsidRPr="00FD7BEE">
        <w:rPr>
          <w:i/>
        </w:rPr>
        <w:t>djustment</w:t>
      </w:r>
    </w:p>
    <w:p w14:paraId="5404A2FC" w14:textId="77777777" w:rsidR="00E578EA" w:rsidRDefault="00E578EA" w:rsidP="00E578EA">
      <w:pPr>
        <w:tabs>
          <w:tab w:val="clear" w:pos="850"/>
          <w:tab w:val="left" w:pos="851"/>
        </w:tabs>
        <w:ind w:left="851" w:hanging="851"/>
      </w:pPr>
      <w:r>
        <w:lastRenderedPageBreak/>
        <w:tab/>
        <w:t>(March 2015) by Patrice Ollivaud, Elena Rusticelli and Cyrille Schwellnus</w:t>
      </w:r>
    </w:p>
    <w:p w14:paraId="50ED6D32" w14:textId="77777777" w:rsidR="00E578EA" w:rsidRPr="00D7389C" w:rsidRDefault="00E578EA" w:rsidP="00E578EA">
      <w:pPr>
        <w:tabs>
          <w:tab w:val="clear" w:pos="850"/>
          <w:tab w:val="left" w:pos="851"/>
        </w:tabs>
        <w:ind w:left="851" w:hanging="851"/>
      </w:pPr>
    </w:p>
    <w:p w14:paraId="3F82FFB0" w14:textId="77777777" w:rsidR="00E578EA" w:rsidRPr="00251C00" w:rsidRDefault="00E578EA" w:rsidP="00E578EA">
      <w:pPr>
        <w:tabs>
          <w:tab w:val="clear" w:pos="850"/>
          <w:tab w:val="left" w:pos="851"/>
        </w:tabs>
        <w:ind w:left="851" w:hanging="851"/>
        <w:rPr>
          <w:i/>
        </w:rPr>
      </w:pPr>
      <w:r>
        <w:t>1189.</w:t>
      </w:r>
      <w:r>
        <w:tab/>
      </w:r>
      <w:r w:rsidRPr="00251C00">
        <w:rPr>
          <w:i/>
        </w:rPr>
        <w:t>Boosting productivity in Russia: skills, education and innovation</w:t>
      </w:r>
    </w:p>
    <w:p w14:paraId="1F97EBB1" w14:textId="77777777" w:rsidR="00E578EA" w:rsidRPr="00812407" w:rsidRDefault="00E578EA" w:rsidP="00E578EA">
      <w:pPr>
        <w:tabs>
          <w:tab w:val="clear" w:pos="850"/>
          <w:tab w:val="left" w:pos="851"/>
        </w:tabs>
        <w:ind w:left="851" w:hanging="851"/>
      </w:pPr>
      <w:r>
        <w:tab/>
        <w:t>(March 2015) by Lilas Demmou and Andreas Wörgötter</w:t>
      </w:r>
    </w:p>
    <w:p w14:paraId="2239963B" w14:textId="77777777" w:rsidR="00E578EA" w:rsidRDefault="00E578EA" w:rsidP="00E578EA">
      <w:pPr>
        <w:tabs>
          <w:tab w:val="clear" w:pos="850"/>
          <w:tab w:val="left" w:pos="851"/>
        </w:tabs>
        <w:ind w:left="851" w:hanging="851"/>
      </w:pPr>
    </w:p>
    <w:p w14:paraId="1645205D" w14:textId="77777777" w:rsidR="00E578EA" w:rsidRPr="00812407" w:rsidRDefault="00E578EA" w:rsidP="00E578EA">
      <w:pPr>
        <w:tabs>
          <w:tab w:val="clear" w:pos="850"/>
          <w:tab w:val="left" w:pos="851"/>
        </w:tabs>
        <w:ind w:left="851" w:hanging="851"/>
      </w:pPr>
      <w:r>
        <w:t>1188.</w:t>
      </w:r>
      <w:r>
        <w:tab/>
      </w:r>
      <w:r w:rsidRPr="00812407">
        <w:rPr>
          <w:i/>
        </w:rPr>
        <w:t>Boosting growth and reducing informality in Mexico</w:t>
      </w:r>
    </w:p>
    <w:p w14:paraId="74F75BD6" w14:textId="77777777" w:rsidR="00E578EA" w:rsidRDefault="00E578EA" w:rsidP="00E578EA">
      <w:pPr>
        <w:tabs>
          <w:tab w:val="clear" w:pos="850"/>
          <w:tab w:val="left" w:pos="851"/>
        </w:tabs>
        <w:ind w:left="851" w:hanging="851"/>
      </w:pPr>
      <w:r>
        <w:tab/>
        <w:t>(March 2015) by Sean Dougherty</w:t>
      </w:r>
    </w:p>
    <w:p w14:paraId="508B0898" w14:textId="77777777" w:rsidR="00E578EA" w:rsidRDefault="00E578EA" w:rsidP="00E578EA">
      <w:pPr>
        <w:ind w:left="851" w:hanging="851"/>
      </w:pPr>
    </w:p>
    <w:p w14:paraId="00D57F9F" w14:textId="77777777" w:rsidR="00E578EA" w:rsidRPr="007E6477" w:rsidRDefault="00E578EA" w:rsidP="00E578EA">
      <w:pPr>
        <w:ind w:left="851" w:hanging="851"/>
      </w:pPr>
      <w:r>
        <w:t>1187.</w:t>
      </w:r>
      <w:r>
        <w:tab/>
      </w:r>
      <w:r>
        <w:rPr>
          <w:i/>
        </w:rPr>
        <w:t>The conduct of monetary p</w:t>
      </w:r>
      <w:r w:rsidRPr="007E6477">
        <w:rPr>
          <w:i/>
        </w:rPr>
        <w:t xml:space="preserve">olicy in the </w:t>
      </w:r>
      <w:r>
        <w:rPr>
          <w:i/>
        </w:rPr>
        <w:t>future: instrument u</w:t>
      </w:r>
      <w:r w:rsidRPr="007E6477">
        <w:rPr>
          <w:i/>
        </w:rPr>
        <w:t>se</w:t>
      </w:r>
    </w:p>
    <w:p w14:paraId="198DA66B" w14:textId="77777777" w:rsidR="00E578EA" w:rsidRPr="009E534F" w:rsidRDefault="00E578EA" w:rsidP="00E578EA">
      <w:pPr>
        <w:tabs>
          <w:tab w:val="clear" w:pos="850"/>
          <w:tab w:val="left" w:pos="851"/>
        </w:tabs>
        <w:ind w:left="851" w:hanging="851"/>
      </w:pPr>
      <w:r>
        <w:tab/>
        <w:t xml:space="preserve">(March 2015) by </w:t>
      </w:r>
      <w:r w:rsidRPr="009E534F">
        <w:t>Kei-Ichiro Inaba,</w:t>
      </w:r>
      <w:r>
        <w:t xml:space="preserve"> Rory O’Farrell, Łukasz Rawdanowicz and Ane Kathrine </w:t>
      </w:r>
      <w:r w:rsidRPr="009E534F">
        <w:t>Christensen</w:t>
      </w:r>
    </w:p>
    <w:p w14:paraId="6A361E6D" w14:textId="77777777" w:rsidR="00E578EA" w:rsidRPr="009E534F" w:rsidRDefault="00E578EA" w:rsidP="00E578EA">
      <w:pPr>
        <w:ind w:left="851" w:hanging="851"/>
      </w:pPr>
    </w:p>
    <w:p w14:paraId="393A32D9" w14:textId="77777777" w:rsidR="00E578EA" w:rsidRPr="009E534F" w:rsidRDefault="00E578EA" w:rsidP="00E578EA">
      <w:pPr>
        <w:ind w:left="851" w:hanging="851"/>
        <w:rPr>
          <w:i/>
        </w:rPr>
      </w:pPr>
      <w:r w:rsidRPr="009E534F">
        <w:t>1186.</w:t>
      </w:r>
      <w:r w:rsidRPr="009E534F">
        <w:tab/>
      </w:r>
      <w:r w:rsidRPr="009E534F">
        <w:rPr>
          <w:i/>
        </w:rPr>
        <w:t>A constant market share analysis of Spanish goods</w:t>
      </w:r>
    </w:p>
    <w:p w14:paraId="08BD78A4" w14:textId="77777777" w:rsidR="00E578EA" w:rsidRDefault="00E578EA" w:rsidP="00E578EA">
      <w:pPr>
        <w:ind w:left="851"/>
      </w:pPr>
      <w:r>
        <w:t>(February 2015) by Alberto Gonzalez Pandiella</w:t>
      </w:r>
    </w:p>
    <w:p w14:paraId="67C9DBD4" w14:textId="77777777" w:rsidR="00E578EA" w:rsidRDefault="00E578EA" w:rsidP="00E578EA">
      <w:pPr>
        <w:ind w:left="851" w:hanging="851"/>
      </w:pPr>
    </w:p>
    <w:p w14:paraId="46035352" w14:textId="77777777" w:rsidR="00E578EA" w:rsidRPr="00644961" w:rsidRDefault="00E578EA" w:rsidP="00E578EA">
      <w:pPr>
        <w:pStyle w:val="BodyText"/>
        <w:spacing w:after="0"/>
        <w:ind w:left="851" w:hanging="851"/>
        <w:rPr>
          <w:rFonts w:eastAsia="MS Mincho"/>
          <w:i/>
        </w:rPr>
      </w:pPr>
      <w:r w:rsidRPr="00644961">
        <w:t>1185</w:t>
      </w:r>
      <w:r>
        <w:t>.</w:t>
      </w:r>
      <w:r>
        <w:tab/>
      </w:r>
      <w:r w:rsidRPr="00644961">
        <w:rPr>
          <w:rFonts w:eastAsia="MS Mincho"/>
          <w:i/>
        </w:rPr>
        <w:t>Raising the economic participation of women in India – a new growth engine?</w:t>
      </w:r>
    </w:p>
    <w:p w14:paraId="08A03B92" w14:textId="77777777" w:rsidR="00E578EA" w:rsidRDefault="00E578EA" w:rsidP="00E578EA">
      <w:pPr>
        <w:ind w:left="851" w:hanging="851"/>
      </w:pPr>
      <w:r>
        <w:tab/>
        <w:t>(February 2015) by Piritta Sorsa</w:t>
      </w:r>
    </w:p>
    <w:p w14:paraId="061A0E29" w14:textId="77777777" w:rsidR="00E578EA" w:rsidRPr="00644961" w:rsidRDefault="00E578EA" w:rsidP="00E578EA">
      <w:pPr>
        <w:ind w:left="851" w:hanging="851"/>
      </w:pPr>
    </w:p>
    <w:p w14:paraId="309DDE43" w14:textId="77777777" w:rsidR="00E578EA" w:rsidRPr="00D45880" w:rsidRDefault="00E578EA" w:rsidP="00E578EA">
      <w:pPr>
        <w:ind w:left="851" w:hanging="851"/>
      </w:pPr>
      <w:r w:rsidRPr="00D45880">
        <w:t>1184.</w:t>
      </w:r>
      <w:r w:rsidRPr="00D45880">
        <w:tab/>
      </w:r>
      <w:r w:rsidRPr="00D45880">
        <w:rPr>
          <w:i/>
        </w:rPr>
        <w:t>Improving health outcomes and health care in India</w:t>
      </w:r>
    </w:p>
    <w:p w14:paraId="33647FFD" w14:textId="77777777" w:rsidR="00E578EA" w:rsidRDefault="00E578EA" w:rsidP="00E578EA">
      <w:pPr>
        <w:ind w:left="851" w:hanging="851"/>
      </w:pPr>
      <w:r>
        <w:tab/>
        <w:t>(January 2015) by Isabelle Joumard and Ankit Kumar</w:t>
      </w:r>
    </w:p>
    <w:p w14:paraId="318EE9F9" w14:textId="77777777" w:rsidR="00E578EA" w:rsidRPr="00531B84" w:rsidRDefault="00E578EA" w:rsidP="00E578EA">
      <w:pPr>
        <w:ind w:left="851" w:hanging="851"/>
      </w:pPr>
    </w:p>
    <w:p w14:paraId="52B2BFDC" w14:textId="77777777" w:rsidR="00E578EA" w:rsidRDefault="00E578EA" w:rsidP="00E578EA">
      <w:pPr>
        <w:ind w:left="851" w:hanging="851"/>
      </w:pPr>
      <w:r>
        <w:t>1183.</w:t>
      </w:r>
      <w:r>
        <w:tab/>
      </w:r>
      <w:r w:rsidRPr="00531B84">
        <w:rPr>
          <w:i/>
        </w:rPr>
        <w:t>Challenges and opportunities of India’s manufacturing sector</w:t>
      </w:r>
    </w:p>
    <w:p w14:paraId="2E7742EC" w14:textId="77777777" w:rsidR="00E578EA" w:rsidRDefault="00E578EA" w:rsidP="00E578EA">
      <w:pPr>
        <w:ind w:left="851" w:hanging="851"/>
      </w:pPr>
      <w:r>
        <w:tab/>
        <w:t>(January 2015) by Isabelle Joumard, Urban Sila and Hermes Morgavi</w:t>
      </w:r>
    </w:p>
    <w:p w14:paraId="304F3612" w14:textId="77777777" w:rsidR="00E578EA" w:rsidRDefault="00E578EA" w:rsidP="00E578EA">
      <w:pPr>
        <w:ind w:left="851" w:hanging="851"/>
      </w:pPr>
    </w:p>
    <w:p w14:paraId="69DA1E50" w14:textId="77777777" w:rsidR="00E578EA" w:rsidRDefault="00E578EA" w:rsidP="00E578EA">
      <w:pPr>
        <w:ind w:left="851" w:hanging="851"/>
      </w:pPr>
      <w:r>
        <w:t>1182.</w:t>
      </w:r>
      <w:r>
        <w:tab/>
      </w:r>
      <w:r w:rsidRPr="00596C62">
        <w:rPr>
          <w:i/>
        </w:rPr>
        <w:t>The heterogeneity of product market regulations</w:t>
      </w:r>
    </w:p>
    <w:p w14:paraId="6FC9D1BB" w14:textId="77777777" w:rsidR="00E578EA" w:rsidRPr="00596C62" w:rsidRDefault="00E578EA" w:rsidP="00E578EA">
      <w:pPr>
        <w:ind w:left="851" w:hanging="851"/>
      </w:pPr>
      <w:r>
        <w:tab/>
        <w:t>(December 2014) by Jean-Marc Fournier</w:t>
      </w:r>
    </w:p>
    <w:p w14:paraId="2C7FD7A4" w14:textId="77777777" w:rsidR="00E578EA" w:rsidRDefault="00E578EA" w:rsidP="00E578EA">
      <w:pPr>
        <w:ind w:left="851" w:hanging="851"/>
      </w:pPr>
    </w:p>
    <w:p w14:paraId="3F8066DA" w14:textId="77777777" w:rsidR="00E578EA" w:rsidRPr="00596C62" w:rsidRDefault="00E578EA" w:rsidP="00E578EA">
      <w:pPr>
        <w:ind w:left="851" w:hanging="851"/>
      </w:pPr>
      <w:r w:rsidRPr="00596C62">
        <w:t>1181.</w:t>
      </w:r>
      <w:r w:rsidRPr="00596C62">
        <w:tab/>
      </w:r>
      <w:r w:rsidRPr="00596C62">
        <w:rPr>
          <w:i/>
        </w:rPr>
        <w:t>Implicit regulatory barriers in the EU single market: new empirical evidence from gravity models</w:t>
      </w:r>
    </w:p>
    <w:p w14:paraId="3BF67C7B" w14:textId="77777777" w:rsidR="00E578EA" w:rsidRPr="00263B35" w:rsidRDefault="00E578EA" w:rsidP="00E578EA">
      <w:pPr>
        <w:ind w:left="851" w:hanging="851"/>
      </w:pPr>
      <w:r>
        <w:tab/>
      </w:r>
      <w:r w:rsidRPr="00263B35">
        <w:t xml:space="preserve">(December 2014) by Jean-Marc Fournier, Aurore Domps, Yaëlle Gorin, Xavier Guillet and </w:t>
      </w:r>
      <w:r w:rsidRPr="00596C62">
        <w:t>Délia</w:t>
      </w:r>
      <w:r>
        <w:t> </w:t>
      </w:r>
      <w:r w:rsidRPr="00596C62">
        <w:t>Morchoisne</w:t>
      </w:r>
    </w:p>
    <w:p w14:paraId="7A1258DE" w14:textId="77777777" w:rsidR="00E578EA" w:rsidRPr="00263B35" w:rsidRDefault="00E578EA" w:rsidP="00E578EA">
      <w:pPr>
        <w:ind w:left="851" w:hanging="851"/>
      </w:pPr>
    </w:p>
    <w:p w14:paraId="2CE822DA" w14:textId="77777777" w:rsidR="00E578EA" w:rsidRDefault="00E578EA" w:rsidP="00E578EA">
      <w:pPr>
        <w:ind w:left="851" w:hanging="851"/>
      </w:pPr>
      <w:r w:rsidRPr="00263B35">
        <w:t>1180.</w:t>
      </w:r>
      <w:r w:rsidRPr="00263B35">
        <w:tab/>
      </w:r>
      <w:r w:rsidRPr="00237B9A">
        <w:rPr>
          <w:i/>
        </w:rPr>
        <w:t>Can pro-growth policies lift all boats? An analysis based on household disposable income</w:t>
      </w:r>
    </w:p>
    <w:p w14:paraId="608DD5BE" w14:textId="77777777" w:rsidR="00E578EA" w:rsidRDefault="00E578EA" w:rsidP="00E578EA">
      <w:pPr>
        <w:ind w:left="851"/>
      </w:pPr>
      <w:r>
        <w:t xml:space="preserve">(December 2014) by </w:t>
      </w:r>
      <w:r w:rsidRPr="00237B9A">
        <w:t>Orsetta Causa, Alain de Serres and Nicolas Ruiz</w:t>
      </w:r>
    </w:p>
    <w:p w14:paraId="3C4DBDFA" w14:textId="77777777" w:rsidR="00E578EA" w:rsidRDefault="00E578EA" w:rsidP="00E578EA"/>
    <w:p w14:paraId="0D7E0580" w14:textId="77777777" w:rsidR="00E578EA" w:rsidRDefault="00E578EA" w:rsidP="00E578EA">
      <w:pPr>
        <w:pStyle w:val="Biblio-Entry"/>
      </w:pPr>
      <w:r>
        <w:t xml:space="preserve"> </w:t>
      </w:r>
    </w:p>
    <w:p w14:paraId="662170F5" w14:textId="77777777" w:rsidR="003E22C9" w:rsidRDefault="003E22C9" w:rsidP="00421D94">
      <w:pPr>
        <w:pStyle w:val="BodyText"/>
      </w:pPr>
    </w:p>
    <w:sectPr w:rsidR="003E22C9" w:rsidSect="000B0CC0">
      <w:endnotePr>
        <w:numFmt w:val="decimal"/>
      </w:endnotePr>
      <w:pgSz w:w="11906" w:h="16838"/>
      <w:pgMar w:top="1984" w:right="1247" w:bottom="1814" w:left="1191" w:header="1247" w:footer="124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31B2B0" w14:textId="77777777" w:rsidR="002114FC" w:rsidRDefault="002114FC">
      <w:r>
        <w:separator/>
      </w:r>
    </w:p>
  </w:endnote>
  <w:endnote w:type="continuationSeparator" w:id="0">
    <w:p w14:paraId="207552D6" w14:textId="77777777" w:rsidR="002114FC" w:rsidRDefault="00211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1FA06" w14:textId="77777777" w:rsidR="002114FC" w:rsidRDefault="002114FC" w:rsidP="009754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56D55">
      <w:rPr>
        <w:rStyle w:val="PageNumber"/>
        <w:noProof/>
      </w:rPr>
      <w:t>42</w:t>
    </w:r>
    <w:r>
      <w:rPr>
        <w:rStyle w:val="PageNumber"/>
      </w:rPr>
      <w:fldChar w:fldCharType="end"/>
    </w:r>
  </w:p>
  <w:p w14:paraId="5A47E5C1" w14:textId="77777777" w:rsidR="002114FC" w:rsidRPr="0097548B" w:rsidRDefault="002114FC" w:rsidP="009754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E3469" w14:textId="77777777" w:rsidR="002114FC" w:rsidRDefault="002114FC" w:rsidP="009754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56D55">
      <w:rPr>
        <w:rStyle w:val="PageNumber"/>
        <w:noProof/>
      </w:rPr>
      <w:t>41</w:t>
    </w:r>
    <w:r>
      <w:rPr>
        <w:rStyle w:val="PageNumber"/>
      </w:rPr>
      <w:fldChar w:fldCharType="end"/>
    </w:r>
  </w:p>
  <w:p w14:paraId="637976F3" w14:textId="77777777" w:rsidR="002114FC" w:rsidRPr="0097548B" w:rsidRDefault="002114FC" w:rsidP="0097548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12043" w14:textId="77777777" w:rsidR="002114FC" w:rsidRPr="00711069" w:rsidRDefault="002114FC" w:rsidP="007110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99894B" w14:textId="77777777" w:rsidR="002114FC" w:rsidRDefault="002114FC">
      <w:r>
        <w:separator/>
      </w:r>
    </w:p>
  </w:footnote>
  <w:footnote w:type="continuationSeparator" w:id="0">
    <w:p w14:paraId="2D4A8E61" w14:textId="77777777" w:rsidR="002114FC" w:rsidRDefault="002114FC">
      <w:r>
        <w:continuationSeparator/>
      </w:r>
    </w:p>
  </w:footnote>
  <w:footnote w:id="1">
    <w:p w14:paraId="70B0555C" w14:textId="60D73C8D" w:rsidR="002114FC" w:rsidRPr="0058439C" w:rsidRDefault="002114FC" w:rsidP="0097548B">
      <w:pPr>
        <w:ind w:left="850" w:hanging="850"/>
        <w:rPr>
          <w:sz w:val="20"/>
        </w:rPr>
      </w:pPr>
      <w:r w:rsidRPr="00D37731">
        <w:rPr>
          <w:rStyle w:val="FootnoteReference"/>
          <w:sz w:val="20"/>
          <w:vertAlign w:val="baseline"/>
        </w:rPr>
        <w:footnoteRef/>
      </w:r>
      <w:r w:rsidRPr="00D37731">
        <w:rPr>
          <w:sz w:val="20"/>
        </w:rPr>
        <w:t>.</w:t>
      </w:r>
      <w:r>
        <w:tab/>
      </w:r>
      <w:r>
        <w:rPr>
          <w:sz w:val="20"/>
          <w:szCs w:val="20"/>
        </w:rPr>
        <w:t xml:space="preserve">Nicolas Ruiz is an Economist in the </w:t>
      </w:r>
      <w:r w:rsidRPr="00711767">
        <w:rPr>
          <w:sz w:val="20"/>
          <w:szCs w:val="20"/>
        </w:rPr>
        <w:t>OECD Economics Department</w:t>
      </w:r>
      <w:r>
        <w:rPr>
          <w:sz w:val="20"/>
          <w:szCs w:val="20"/>
        </w:rPr>
        <w:t xml:space="preserve">. </w:t>
      </w:r>
      <w:r w:rsidRPr="00711767">
        <w:rPr>
          <w:sz w:val="20"/>
          <w:szCs w:val="20"/>
        </w:rPr>
        <w:t>At the time of conducting this work, Nicolas Woloszko was a trainee in the OECD Economics Department.</w:t>
      </w:r>
      <w:r>
        <w:rPr>
          <w:sz w:val="20"/>
          <w:szCs w:val="20"/>
        </w:rPr>
        <w:t xml:space="preserve"> </w:t>
      </w:r>
      <w:r w:rsidRPr="00711767">
        <w:rPr>
          <w:sz w:val="20"/>
          <w:szCs w:val="20"/>
        </w:rPr>
        <w:t>The authors would like to thank Orsetta Causa and Alain De Serres for their valuable comments and suggestions</w:t>
      </w:r>
      <w:r>
        <w:rPr>
          <w:sz w:val="20"/>
          <w:szCs w:val="20"/>
        </w:rPr>
        <w:t>, Agnès Cavaciuti for statistical work and Caroline Abettan for editing and technical support</w:t>
      </w:r>
      <w:r w:rsidRPr="00711767">
        <w:rPr>
          <w:sz w:val="20"/>
          <w:szCs w:val="20"/>
        </w:rPr>
        <w:t>.</w:t>
      </w:r>
      <w:r>
        <w:rPr>
          <w:sz w:val="20"/>
        </w:rPr>
        <w:t xml:space="preserve"> </w:t>
      </w:r>
      <w:r w:rsidRPr="0058439C">
        <w:rPr>
          <w:sz w:val="20"/>
        </w:rPr>
        <w:t xml:space="preserve"> </w:t>
      </w:r>
    </w:p>
    <w:p w14:paraId="37C7AE4C" w14:textId="77777777" w:rsidR="002114FC" w:rsidRDefault="002114FC" w:rsidP="0097548B">
      <w:pPr>
        <w:ind w:left="850" w:hanging="850"/>
      </w:pPr>
    </w:p>
  </w:footnote>
  <w:footnote w:id="2">
    <w:p w14:paraId="1A679A4C" w14:textId="04EE0E6F" w:rsidR="002114FC" w:rsidRPr="007D488B" w:rsidRDefault="002114FC">
      <w:pPr>
        <w:pStyle w:val="FootnoteText"/>
      </w:pPr>
      <w:r w:rsidRPr="00D37731">
        <w:rPr>
          <w:rStyle w:val="FootnoteReference"/>
          <w:vertAlign w:val="baseline"/>
        </w:rPr>
        <w:footnoteRef/>
      </w:r>
      <w:r w:rsidRPr="00D37731">
        <w:t>.</w:t>
      </w:r>
      <w:r>
        <w:tab/>
      </w:r>
      <w:r w:rsidRPr="007D488B">
        <w:t>At the theoretical level, an exclusive focus on the top 1%</w:t>
      </w:r>
      <w:r>
        <w:t xml:space="preserve"> also entails the postulate of a specific social welfare function which could be rather limited to represent a society’s preference </w:t>
      </w:r>
      <w:r>
        <w:rPr>
          <w:i/>
        </w:rPr>
        <w:t>vis-à-</w:t>
      </w:r>
      <w:r w:rsidRPr="00B77C78">
        <w:rPr>
          <w:i/>
        </w:rPr>
        <w:t>vis</w:t>
      </w:r>
      <w:r>
        <w:t xml:space="preserve"> inequality.</w:t>
      </w:r>
    </w:p>
  </w:footnote>
  <w:footnote w:id="3">
    <w:p w14:paraId="13971ED1" w14:textId="05185903" w:rsidR="002114FC" w:rsidRPr="00BF0E4F" w:rsidRDefault="002114FC" w:rsidP="0078594E">
      <w:pPr>
        <w:pStyle w:val="FootnoteText"/>
      </w:pPr>
      <w:r w:rsidRPr="00D37731">
        <w:rPr>
          <w:rStyle w:val="FootnoteReference"/>
          <w:vertAlign w:val="baseline"/>
        </w:rPr>
        <w:footnoteRef/>
      </w:r>
      <w:r w:rsidRPr="00D37731">
        <w:t>.</w:t>
      </w:r>
      <w:r>
        <w:tab/>
      </w:r>
      <w:r w:rsidRPr="00BF0E4F">
        <w:t xml:space="preserve">See </w:t>
      </w:r>
      <w:hyperlink r:id="rId1" w:history="1">
        <w:r w:rsidRPr="009B5F02">
          <w:rPr>
            <w:rStyle w:val="Hyperlink"/>
          </w:rPr>
          <w:t>http://topincomes.parisschoolofeconomics.eu/</w:t>
        </w:r>
      </w:hyperlink>
      <w:r>
        <w:t xml:space="preserve"> </w:t>
      </w:r>
    </w:p>
  </w:footnote>
  <w:footnote w:id="4">
    <w:p w14:paraId="2785FD29" w14:textId="258D86AE" w:rsidR="002114FC" w:rsidRPr="005D19D4" w:rsidRDefault="002114FC">
      <w:pPr>
        <w:pStyle w:val="FootnoteText"/>
      </w:pPr>
      <w:r w:rsidRPr="00D37731">
        <w:rPr>
          <w:rStyle w:val="FootnoteReference"/>
          <w:vertAlign w:val="baseline"/>
        </w:rPr>
        <w:footnoteRef/>
      </w:r>
      <w:r w:rsidRPr="00D37731">
        <w:t>.</w:t>
      </w:r>
      <w:r>
        <w:tab/>
        <w:t>S</w:t>
      </w:r>
      <w:r>
        <w:rPr>
          <w:lang w:val="en-US"/>
        </w:rPr>
        <w:t xml:space="preserve">ee Atkinson </w:t>
      </w:r>
      <w:r w:rsidRPr="005328E3">
        <w:rPr>
          <w:i/>
          <w:lang w:val="en-US"/>
        </w:rPr>
        <w:t>et al.</w:t>
      </w:r>
      <w:r>
        <w:rPr>
          <w:lang w:val="en-US"/>
        </w:rPr>
        <w:t>, 2011 for the corresponding decomposition formula of the Gini coefficient.</w:t>
      </w:r>
    </w:p>
  </w:footnote>
  <w:footnote w:id="5">
    <w:p w14:paraId="5A4DE170" w14:textId="2E5976D5" w:rsidR="002114FC" w:rsidRPr="001B0B8A" w:rsidRDefault="002114FC">
      <w:pPr>
        <w:pStyle w:val="FootnoteText"/>
      </w:pPr>
      <w:r w:rsidRPr="00D37731">
        <w:rPr>
          <w:rStyle w:val="FootnoteReference"/>
          <w:vertAlign w:val="baseline"/>
        </w:rPr>
        <w:footnoteRef/>
      </w:r>
      <w:r w:rsidRPr="00D37731">
        <w:t>.</w:t>
      </w:r>
      <w:r>
        <w:tab/>
      </w:r>
      <w:r w:rsidRPr="001B0B8A">
        <w:t>A direct consequence of this phenomenon is that the ratio between aggregate income amounts from household surveys and National Accounts measures of income tends to decrease over time (see Bourguignon, 2005; Deaton, 2005).</w:t>
      </w:r>
    </w:p>
  </w:footnote>
  <w:footnote w:id="6">
    <w:p w14:paraId="78CE73D4" w14:textId="169F934D" w:rsidR="002114FC" w:rsidRPr="00463999" w:rsidRDefault="002114FC">
      <w:pPr>
        <w:pStyle w:val="FootnoteText"/>
      </w:pPr>
      <w:r w:rsidRPr="00D37731">
        <w:rPr>
          <w:rStyle w:val="FootnoteReference"/>
          <w:vertAlign w:val="baseline"/>
        </w:rPr>
        <w:footnoteRef/>
      </w:r>
      <w:r w:rsidRPr="00D37731">
        <w:t>.</w:t>
      </w:r>
      <w:r>
        <w:tab/>
        <w:t>It has to be noted that the unit of observation varies in tax data, contrary to household survey, where equivalised disposable household income is normally used for income distribution analysis (see Deaton, 1997).</w:t>
      </w:r>
    </w:p>
  </w:footnote>
  <w:footnote w:id="7">
    <w:p w14:paraId="14966CF0" w14:textId="77777777" w:rsidR="002114FC" w:rsidRPr="002F76A7" w:rsidRDefault="002114FC" w:rsidP="00167AE1">
      <w:pPr>
        <w:pStyle w:val="FootnoteText"/>
      </w:pPr>
      <w:r w:rsidRPr="00D37731">
        <w:rPr>
          <w:rStyle w:val="FootnoteReference"/>
          <w:vertAlign w:val="baseline"/>
        </w:rPr>
        <w:footnoteRef/>
      </w:r>
      <w:r w:rsidRPr="00D37731">
        <w:t>.</w:t>
      </w:r>
      <w:r>
        <w:tab/>
        <w:t xml:space="preserve">See among other references West, 1985; Fichtenbaum and Shahidi, 1988; Katz and Murphy, 1992; Juhn </w:t>
      </w:r>
      <w:r>
        <w:rPr>
          <w:i/>
        </w:rPr>
        <w:t>et </w:t>
      </w:r>
      <w:r w:rsidRPr="00893F38">
        <w:rPr>
          <w:i/>
        </w:rPr>
        <w:t>al.</w:t>
      </w:r>
      <w:r>
        <w:t xml:space="preserve">, 1993; Bishop </w:t>
      </w:r>
      <w:r w:rsidRPr="002F76A7">
        <w:rPr>
          <w:i/>
        </w:rPr>
        <w:t>et al.</w:t>
      </w:r>
      <w:r>
        <w:t xml:space="preserve">, 1994; Autor </w:t>
      </w:r>
      <w:r w:rsidRPr="00893F38">
        <w:rPr>
          <w:i/>
        </w:rPr>
        <w:t>et al.</w:t>
      </w:r>
      <w:r>
        <w:t xml:space="preserve">, 2008; </w:t>
      </w:r>
      <w:r w:rsidRPr="00893F38">
        <w:t>Jenkins</w:t>
      </w:r>
      <w:r w:rsidRPr="00893F38">
        <w:rPr>
          <w:i/>
        </w:rPr>
        <w:t xml:space="preserve"> et al.</w:t>
      </w:r>
      <w:r>
        <w:t xml:space="preserve">, 2011; Burkhauser </w:t>
      </w:r>
      <w:r w:rsidRPr="00893F38">
        <w:rPr>
          <w:i/>
        </w:rPr>
        <w:t>et al.</w:t>
      </w:r>
      <w:r>
        <w:t>, 2012.</w:t>
      </w:r>
    </w:p>
  </w:footnote>
  <w:footnote w:id="8">
    <w:p w14:paraId="7AE7580E" w14:textId="159FC425" w:rsidR="002114FC" w:rsidRPr="0001292C" w:rsidRDefault="002114FC">
      <w:pPr>
        <w:pStyle w:val="FootnoteText"/>
      </w:pPr>
      <w:r w:rsidRPr="00D37731">
        <w:rPr>
          <w:rStyle w:val="FootnoteReference"/>
          <w:vertAlign w:val="baseline"/>
        </w:rPr>
        <w:footnoteRef/>
      </w:r>
      <w:r w:rsidRPr="00D37731">
        <w:t>.</w:t>
      </w:r>
      <w:r>
        <w:tab/>
        <w:t>Despite the fact that the IDD reports in practice the average income value for the last decile, it remains a reasonable assumption in the sense that at least the top 1% are not covered properly by the data while they account for most of the income amount of the last decile (and of the income amount of a distribution in general).</w:t>
      </w:r>
    </w:p>
  </w:footnote>
  <w:footnote w:id="9">
    <w:p w14:paraId="2C65D133" w14:textId="77777777" w:rsidR="002114FC" w:rsidRPr="00E511A2" w:rsidRDefault="002114FC" w:rsidP="00DC25C2">
      <w:pPr>
        <w:pStyle w:val="FootnoteText"/>
      </w:pPr>
      <w:r w:rsidRPr="00D37731">
        <w:rPr>
          <w:rStyle w:val="FootnoteReference"/>
          <w:vertAlign w:val="baseline"/>
        </w:rPr>
        <w:footnoteRef/>
      </w:r>
      <w:r w:rsidRPr="00D37731">
        <w:t>.</w:t>
      </w:r>
      <w:r>
        <w:tab/>
        <w:t xml:space="preserve">The formulas for the derivation of top incomes summary statistics based on Pareto distributions can be found in Atkinson and Piketty (2007). </w:t>
      </w:r>
    </w:p>
  </w:footnote>
  <w:footnote w:id="10">
    <w:p w14:paraId="1EE0ACE9" w14:textId="2B15963A" w:rsidR="002114FC" w:rsidRPr="00A94590" w:rsidRDefault="002114FC">
      <w:pPr>
        <w:pStyle w:val="FootnoteText"/>
      </w:pPr>
      <w:r w:rsidRPr="00D37731">
        <w:rPr>
          <w:rStyle w:val="FootnoteReference"/>
          <w:vertAlign w:val="baseline"/>
        </w:rPr>
        <w:footnoteRef/>
      </w:r>
      <w:r w:rsidRPr="00D37731">
        <w:t>.</w:t>
      </w:r>
      <w:r>
        <w:tab/>
        <w:t>Trend directions are measured by computing moving averages of order 6 of first-differenced series. In other words, the idea is to compare the structural evolutions of top 1% incomes shares series, which is done by filtering-out short term variations. This is done for every OECD country available in the WTID but the time horizon differs depending on data availability.</w:t>
      </w:r>
    </w:p>
  </w:footnote>
  <w:footnote w:id="11">
    <w:p w14:paraId="2C562D87" w14:textId="527A60F4" w:rsidR="002114FC" w:rsidRPr="00B67849" w:rsidRDefault="002114FC">
      <w:pPr>
        <w:pStyle w:val="FootnoteText"/>
      </w:pPr>
      <w:r w:rsidRPr="00D37731">
        <w:rPr>
          <w:rStyle w:val="FootnoteReference"/>
          <w:vertAlign w:val="baseline"/>
        </w:rPr>
        <w:footnoteRef/>
      </w:r>
      <w:r w:rsidRPr="00D37731">
        <w:t>.</w:t>
      </w:r>
      <w:r>
        <w:tab/>
        <w:t xml:space="preserve">See </w:t>
      </w:r>
      <w:r w:rsidRPr="00CD6319">
        <w:t>Piketty and Saez (2013)</w:t>
      </w:r>
      <w:r>
        <w:t xml:space="preserve"> for a similar characterisation.</w:t>
      </w:r>
    </w:p>
  </w:footnote>
  <w:footnote w:id="12">
    <w:p w14:paraId="011D6771" w14:textId="0DE3956D" w:rsidR="002114FC" w:rsidRPr="004A71E8" w:rsidRDefault="002114FC">
      <w:pPr>
        <w:pStyle w:val="FootnoteText"/>
      </w:pPr>
      <w:r w:rsidRPr="00D37731">
        <w:rPr>
          <w:rStyle w:val="FootnoteReference"/>
          <w:vertAlign w:val="baseline"/>
        </w:rPr>
        <w:footnoteRef/>
      </w:r>
      <w:r w:rsidRPr="00D37731">
        <w:t>.</w:t>
      </w:r>
      <w:r w:rsidRPr="00FB5F11">
        <w:tab/>
        <w:t>When working with secondary datasets alternate cutoffs, which would necessitate the original micro-records</w:t>
      </w:r>
      <w:r>
        <w:t xml:space="preserve">, cannot be considered. However, assuming that the last 10% of an income distribution conforms to a Pareto law is a rather weak assumption given the empirical regularities of such laws identified so far in the literature and in the income distributions used in this paper over 34 countries and almost 30 years.  </w:t>
      </w:r>
    </w:p>
  </w:footnote>
  <w:footnote w:id="13">
    <w:p w14:paraId="601613E5" w14:textId="77777777" w:rsidR="002114FC" w:rsidRPr="00504818" w:rsidRDefault="002114FC" w:rsidP="008D063E">
      <w:pPr>
        <w:pStyle w:val="FootnoteText"/>
      </w:pPr>
      <w:r w:rsidRPr="00B67849">
        <w:footnoteRef/>
      </w:r>
      <w:r>
        <w:t xml:space="preserve"> </w:t>
      </w:r>
      <w:r>
        <w:tab/>
        <w:t>A result of up-scaling is that micro-based mean incomes figures align better with macro-based National Accounts mean incomes figures. This allows for achieving a more accurate micro-based estimate of mean household income. See Deaton (2005) and Causa et al., (2014), for a short summary of micro versus macro-based mean household income measures</w:t>
      </w:r>
    </w:p>
  </w:footnote>
  <w:footnote w:id="14">
    <w:p w14:paraId="4A061AB9" w14:textId="5D0D1C47" w:rsidR="002114FC" w:rsidRPr="00C661E4" w:rsidRDefault="002114FC" w:rsidP="001F6E8E">
      <w:pPr>
        <w:pStyle w:val="FootnoteText"/>
      </w:pPr>
      <w:r w:rsidRPr="00D37731">
        <w:rPr>
          <w:rStyle w:val="FootnoteReference"/>
          <w:vertAlign w:val="baseline"/>
        </w:rPr>
        <w:footnoteRef/>
      </w:r>
      <w:r w:rsidRPr="00D37731">
        <w:t>.</w:t>
      </w:r>
      <w:r>
        <w:tab/>
        <w:t>These curves follow from the use of specific income standards which summaris</w:t>
      </w:r>
      <w:r w:rsidRPr="003360B4">
        <w:t>e the income distribution by a si</w:t>
      </w:r>
      <w:r>
        <w:t xml:space="preserve">ngle “representative” level of </w:t>
      </w:r>
      <w:r w:rsidRPr="003360B4">
        <w:t>income</w:t>
      </w:r>
      <w:r>
        <w:t xml:space="preserve"> without relying on the setting arbitrary</w:t>
      </w:r>
      <w:r w:rsidRPr="002928C3">
        <w:t xml:space="preserve"> cut-off</w:t>
      </w:r>
      <w:r>
        <w:t>s along the distribution. S</w:t>
      </w:r>
      <w:r w:rsidRPr="00C661E4">
        <w:t xml:space="preserve">ee Foster and </w:t>
      </w:r>
      <w:r w:rsidRPr="00C661E4">
        <w:rPr>
          <w:lang w:eastAsia="en-US"/>
        </w:rPr>
        <w:t>Szekely</w:t>
      </w:r>
      <w:r w:rsidRPr="00C661E4">
        <w:t>,</w:t>
      </w:r>
      <w:r>
        <w:t xml:space="preserve"> 2008; Causa </w:t>
      </w:r>
      <w:r w:rsidRPr="00DF15A2">
        <w:rPr>
          <w:i/>
        </w:rPr>
        <w:t>et al.</w:t>
      </w:r>
      <w:r>
        <w:t>, 2014.</w:t>
      </w:r>
    </w:p>
  </w:footnote>
  <w:footnote w:id="15">
    <w:p w14:paraId="673C0B0A" w14:textId="6BD64DB3" w:rsidR="002114FC" w:rsidRPr="009A7E4D" w:rsidRDefault="002114FC" w:rsidP="00F02DCC">
      <w:pPr>
        <w:pStyle w:val="FootnoteText"/>
      </w:pPr>
      <w:r w:rsidRPr="00D37731">
        <w:rPr>
          <w:rStyle w:val="FootnoteReference"/>
          <w:vertAlign w:val="baseline"/>
        </w:rPr>
        <w:footnoteRef/>
      </w:r>
      <w:r w:rsidRPr="00D37731">
        <w:t>.</w:t>
      </w:r>
      <w:r>
        <w:tab/>
      </w:r>
      <w:r w:rsidRPr="009A7E4D">
        <w:t>Estimated Pareto coefficients</w:t>
      </w:r>
      <w:r>
        <w:t xml:space="preserve"> using regressions and quantile</w:t>
      </w:r>
      <w:r w:rsidRPr="009A7E4D">
        <w:t xml:space="preserve"> estimators </w:t>
      </w:r>
      <w:r>
        <w:t xml:space="preserve">over the 34 OECD countries </w:t>
      </w:r>
      <w:r w:rsidRPr="009A7E4D">
        <w:t>are available upon request to the authors.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08B9FE" w14:textId="78DF5186" w:rsidR="002114FC" w:rsidRPr="0097548B" w:rsidRDefault="002114FC" w:rsidP="0097548B">
    <w:pPr>
      <w:pStyle w:val="Header"/>
    </w:pPr>
    <w:r>
      <w:t>ECO/WKP(2014)99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9EAAE" w14:textId="0F3ED789" w:rsidR="002114FC" w:rsidRPr="0097548B" w:rsidRDefault="002114FC" w:rsidP="0097548B">
    <w:pPr>
      <w:pStyle w:val="Header"/>
      <w:tabs>
        <w:tab w:val="clear" w:pos="4536"/>
        <w:tab w:val="clear" w:pos="9072"/>
        <w:tab w:val="right" w:pos="9411"/>
      </w:tabs>
    </w:pPr>
    <w:r>
      <w:tab/>
      <w:t>ECO/WKP(2014)99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8BB8A" w14:textId="77777777" w:rsidR="002114FC" w:rsidRPr="00711069" w:rsidRDefault="002114FC" w:rsidP="007110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90F62"/>
    <w:multiLevelType w:val="singleLevel"/>
    <w:tmpl w:val="41606694"/>
    <w:name w:val="templateBullet1"/>
    <w:lvl w:ilvl="0">
      <w:start w:val="1"/>
      <w:numFmt w:val="bullet"/>
      <w:pStyle w:val="ListBullet"/>
      <w:lvlText w:val="·"/>
      <w:lvlJc w:val="left"/>
      <w:pPr>
        <w:tabs>
          <w:tab w:val="num" w:pos="4377"/>
        </w:tabs>
        <w:ind w:left="4377" w:hanging="408"/>
      </w:pPr>
      <w:rPr>
        <w:rFonts w:ascii="Symbol" w:hAnsi="Symbol" w:cs="Times New Roman" w:hint="default"/>
        <w:b w:val="0"/>
        <w:i w:val="0"/>
        <w:sz w:val="22"/>
      </w:rPr>
    </w:lvl>
  </w:abstractNum>
  <w:abstractNum w:abstractNumId="1">
    <w:nsid w:val="0C890C55"/>
    <w:multiLevelType w:val="singleLevel"/>
    <w:tmpl w:val="15B65924"/>
    <w:name w:val="templateBulletBox3"/>
    <w:lvl w:ilvl="0">
      <w:start w:val="1"/>
      <w:numFmt w:val="bullet"/>
      <w:pStyle w:val="ListBulletBox3"/>
      <w:lvlText w:val="-"/>
      <w:lvlJc w:val="left"/>
      <w:pPr>
        <w:tabs>
          <w:tab w:val="num" w:pos="1474"/>
        </w:tabs>
        <w:ind w:left="1474" w:hanging="340"/>
      </w:pPr>
      <w:rPr>
        <w:rFonts w:ascii="Symbol" w:hAnsi="Symbol" w:cs="Times New Roman" w:hint="default"/>
        <w:b w:val="0"/>
        <w:i w:val="0"/>
        <w:sz w:val="22"/>
      </w:rPr>
    </w:lvl>
  </w:abstractNum>
  <w:abstractNum w:abstractNumId="2">
    <w:nsid w:val="0CBE0FF0"/>
    <w:multiLevelType w:val="singleLevel"/>
    <w:tmpl w:val="30A47C7E"/>
    <w:styleLink w:val="BulletedNote"/>
    <w:lvl w:ilvl="0">
      <w:start w:val="1"/>
      <w:numFmt w:val="bullet"/>
      <w:lvlText w:val="·"/>
      <w:lvlJc w:val="left"/>
      <w:pPr>
        <w:tabs>
          <w:tab w:val="num" w:pos="283"/>
        </w:tabs>
        <w:ind w:left="283" w:hanging="283"/>
      </w:pPr>
      <w:rPr>
        <w:rFonts w:ascii="Times New Roman" w:hAnsi="Times New Roman" w:cs="Times New Roman"/>
        <w:b w:val="0"/>
        <w:i w:val="0"/>
        <w:sz w:val="22"/>
      </w:rPr>
    </w:lvl>
  </w:abstractNum>
  <w:abstractNum w:abstractNumId="3">
    <w:nsid w:val="0DEA6B1D"/>
    <w:multiLevelType w:val="singleLevel"/>
    <w:tmpl w:val="D5A6E36A"/>
    <w:styleLink w:val="NumericNote"/>
    <w:lvl w:ilvl="0">
      <w:start w:val="1"/>
      <w:numFmt w:val="decimal"/>
      <w:lvlText w:val="%1."/>
      <w:lvlJc w:val="left"/>
      <w:pPr>
        <w:tabs>
          <w:tab w:val="num" w:pos="408"/>
        </w:tabs>
        <w:ind w:left="408" w:hanging="408"/>
      </w:pPr>
    </w:lvl>
  </w:abstractNum>
  <w:abstractNum w:abstractNumId="4">
    <w:nsid w:val="12FE4AF5"/>
    <w:multiLevelType w:val="singleLevel"/>
    <w:tmpl w:val="B882C7F8"/>
    <w:styleLink w:val="NumberedNote"/>
    <w:lvl w:ilvl="0">
      <w:start w:val="1"/>
      <w:numFmt w:val="decimal"/>
      <w:lvlText w:val="%1."/>
      <w:lvlJc w:val="left"/>
      <w:pPr>
        <w:tabs>
          <w:tab w:val="num" w:pos="171"/>
        </w:tabs>
        <w:ind w:left="171" w:hanging="171"/>
      </w:pPr>
    </w:lvl>
  </w:abstractNum>
  <w:abstractNum w:abstractNumId="5">
    <w:nsid w:val="157968A9"/>
    <w:multiLevelType w:val="singleLevel"/>
    <w:tmpl w:val="D5A6E36A"/>
    <w:name w:val="NumericNote"/>
    <w:lvl w:ilvl="0">
      <w:start w:val="1"/>
      <w:numFmt w:val="decimal"/>
      <w:lvlText w:val="%1."/>
      <w:lvlJc w:val="left"/>
      <w:pPr>
        <w:tabs>
          <w:tab w:val="num" w:pos="850"/>
        </w:tabs>
        <w:ind w:left="850" w:hanging="408"/>
      </w:pPr>
    </w:lvl>
  </w:abstractNum>
  <w:abstractNum w:abstractNumId="6">
    <w:nsid w:val="27397F89"/>
    <w:multiLevelType w:val="singleLevel"/>
    <w:tmpl w:val="60A0508A"/>
    <w:name w:val="AlphaNote"/>
    <w:lvl w:ilvl="0">
      <w:start w:val="1"/>
      <w:numFmt w:val="lowerLetter"/>
      <w:lvlText w:val="%1."/>
      <w:lvlJc w:val="left"/>
      <w:pPr>
        <w:tabs>
          <w:tab w:val="num" w:pos="850"/>
        </w:tabs>
        <w:ind w:left="850" w:hanging="408"/>
      </w:pPr>
    </w:lvl>
  </w:abstractNum>
  <w:abstractNum w:abstractNumId="7">
    <w:nsid w:val="29FD0772"/>
    <w:multiLevelType w:val="multilevel"/>
    <w:tmpl w:val="F99EB0E0"/>
    <w:name w:val="templateNumber2"/>
    <w:lvl w:ilvl="0">
      <w:start w:val="1"/>
      <w:numFmt w:val="decimal"/>
      <w:lvlText w:val="%1."/>
      <w:lvlJc w:val="left"/>
      <w:pPr>
        <w:tabs>
          <w:tab w:val="num" w:pos="850"/>
        </w:tabs>
        <w:ind w:left="850" w:hanging="408"/>
      </w:pPr>
    </w:lvl>
    <w:lvl w:ilvl="1">
      <w:start w:val="1"/>
      <w:numFmt w:val="decimal"/>
      <w:lvlText w:val="%2."/>
      <w:lvlJc w:val="left"/>
      <w:pPr>
        <w:tabs>
          <w:tab w:val="num" w:pos="1191"/>
        </w:tabs>
        <w:ind w:left="1191" w:hanging="341"/>
      </w:pPr>
    </w:lvl>
    <w:lvl w:ilvl="2">
      <w:start w:val="1"/>
      <w:numFmt w:val="decimal"/>
      <w:lvlText w:val="%3."/>
      <w:lvlJc w:val="left"/>
      <w:pPr>
        <w:tabs>
          <w:tab w:val="num" w:pos="1474"/>
        </w:tabs>
        <w:ind w:left="1474" w:hanging="340"/>
      </w:pPr>
    </w:lvl>
    <w:lvl w:ilvl="3">
      <w:start w:val="1"/>
      <w:numFmt w:val="decimal"/>
      <w:lvlText w:val="%4."/>
      <w:lvlJc w:val="left"/>
      <w:pPr>
        <w:tabs>
          <w:tab w:val="num" w:pos="1757"/>
        </w:tabs>
        <w:ind w:left="1757" w:hanging="340"/>
      </w:pPr>
    </w:lvl>
    <w:lvl w:ilvl="4">
      <w:start w:val="1"/>
      <w:numFmt w:val="decimal"/>
      <w:lvlText w:val="%5."/>
      <w:lvlJc w:val="left"/>
      <w:pPr>
        <w:tabs>
          <w:tab w:val="num" w:pos="2041"/>
        </w:tabs>
        <w:ind w:left="2041" w:hanging="34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ACF6F84"/>
    <w:multiLevelType w:val="singleLevel"/>
    <w:tmpl w:val="D51E568A"/>
    <w:name w:val="templateBullet2"/>
    <w:lvl w:ilvl="0">
      <w:start w:val="1"/>
      <w:numFmt w:val="bullet"/>
      <w:pStyle w:val="ListBullet2"/>
      <w:lvlText w:val="-"/>
      <w:lvlJc w:val="left"/>
      <w:pPr>
        <w:tabs>
          <w:tab w:val="num" w:pos="1190"/>
        </w:tabs>
        <w:ind w:left="1190" w:hanging="340"/>
      </w:pPr>
      <w:rPr>
        <w:rFonts w:ascii="Symbol" w:hAnsi="Symbol" w:cs="Times New Roman" w:hint="default"/>
        <w:b w:val="0"/>
        <w:i w:val="0"/>
        <w:sz w:val="22"/>
      </w:rPr>
    </w:lvl>
  </w:abstractNum>
  <w:abstractNum w:abstractNumId="9">
    <w:nsid w:val="37C83B04"/>
    <w:multiLevelType w:val="hybridMultilevel"/>
    <w:tmpl w:val="B31A9C9E"/>
    <w:lvl w:ilvl="0" w:tplc="08090001">
      <w:start w:val="1"/>
      <w:numFmt w:val="bullet"/>
      <w:lvlText w:val=""/>
      <w:lvlJc w:val="left"/>
      <w:pPr>
        <w:ind w:left="1162" w:hanging="360"/>
      </w:pPr>
      <w:rPr>
        <w:rFonts w:ascii="Symbol" w:hAnsi="Symbol" w:hint="default"/>
      </w:rPr>
    </w:lvl>
    <w:lvl w:ilvl="1" w:tplc="08090003" w:tentative="1">
      <w:start w:val="1"/>
      <w:numFmt w:val="bullet"/>
      <w:lvlText w:val="o"/>
      <w:lvlJc w:val="left"/>
      <w:pPr>
        <w:ind w:left="1882" w:hanging="360"/>
      </w:pPr>
      <w:rPr>
        <w:rFonts w:ascii="Courier New" w:hAnsi="Courier New" w:cs="Courier New" w:hint="default"/>
      </w:rPr>
    </w:lvl>
    <w:lvl w:ilvl="2" w:tplc="08090005" w:tentative="1">
      <w:start w:val="1"/>
      <w:numFmt w:val="bullet"/>
      <w:lvlText w:val=""/>
      <w:lvlJc w:val="left"/>
      <w:pPr>
        <w:ind w:left="2602" w:hanging="360"/>
      </w:pPr>
      <w:rPr>
        <w:rFonts w:ascii="Wingdings" w:hAnsi="Wingdings" w:hint="default"/>
      </w:rPr>
    </w:lvl>
    <w:lvl w:ilvl="3" w:tplc="08090001" w:tentative="1">
      <w:start w:val="1"/>
      <w:numFmt w:val="bullet"/>
      <w:lvlText w:val=""/>
      <w:lvlJc w:val="left"/>
      <w:pPr>
        <w:ind w:left="3322" w:hanging="360"/>
      </w:pPr>
      <w:rPr>
        <w:rFonts w:ascii="Symbol" w:hAnsi="Symbol" w:hint="default"/>
      </w:rPr>
    </w:lvl>
    <w:lvl w:ilvl="4" w:tplc="08090003" w:tentative="1">
      <w:start w:val="1"/>
      <w:numFmt w:val="bullet"/>
      <w:lvlText w:val="o"/>
      <w:lvlJc w:val="left"/>
      <w:pPr>
        <w:ind w:left="4042" w:hanging="360"/>
      </w:pPr>
      <w:rPr>
        <w:rFonts w:ascii="Courier New" w:hAnsi="Courier New" w:cs="Courier New" w:hint="default"/>
      </w:rPr>
    </w:lvl>
    <w:lvl w:ilvl="5" w:tplc="08090005" w:tentative="1">
      <w:start w:val="1"/>
      <w:numFmt w:val="bullet"/>
      <w:lvlText w:val=""/>
      <w:lvlJc w:val="left"/>
      <w:pPr>
        <w:ind w:left="4762" w:hanging="360"/>
      </w:pPr>
      <w:rPr>
        <w:rFonts w:ascii="Wingdings" w:hAnsi="Wingdings" w:hint="default"/>
      </w:rPr>
    </w:lvl>
    <w:lvl w:ilvl="6" w:tplc="08090001" w:tentative="1">
      <w:start w:val="1"/>
      <w:numFmt w:val="bullet"/>
      <w:lvlText w:val=""/>
      <w:lvlJc w:val="left"/>
      <w:pPr>
        <w:ind w:left="5482" w:hanging="360"/>
      </w:pPr>
      <w:rPr>
        <w:rFonts w:ascii="Symbol" w:hAnsi="Symbol" w:hint="default"/>
      </w:rPr>
    </w:lvl>
    <w:lvl w:ilvl="7" w:tplc="08090003" w:tentative="1">
      <w:start w:val="1"/>
      <w:numFmt w:val="bullet"/>
      <w:lvlText w:val="o"/>
      <w:lvlJc w:val="left"/>
      <w:pPr>
        <w:ind w:left="6202" w:hanging="360"/>
      </w:pPr>
      <w:rPr>
        <w:rFonts w:ascii="Courier New" w:hAnsi="Courier New" w:cs="Courier New" w:hint="default"/>
      </w:rPr>
    </w:lvl>
    <w:lvl w:ilvl="8" w:tplc="08090005" w:tentative="1">
      <w:start w:val="1"/>
      <w:numFmt w:val="bullet"/>
      <w:lvlText w:val=""/>
      <w:lvlJc w:val="left"/>
      <w:pPr>
        <w:ind w:left="6922" w:hanging="360"/>
      </w:pPr>
      <w:rPr>
        <w:rFonts w:ascii="Wingdings" w:hAnsi="Wingdings" w:hint="default"/>
      </w:rPr>
    </w:lvl>
  </w:abstractNum>
  <w:abstractNum w:abstractNumId="10">
    <w:nsid w:val="385D0A84"/>
    <w:multiLevelType w:val="multilevel"/>
    <w:tmpl w:val="7F148E5C"/>
    <w:name w:val="templateNumberBox"/>
    <w:lvl w:ilvl="0">
      <w:start w:val="1"/>
      <w:numFmt w:val="decimal"/>
      <w:pStyle w:val="ListNumberBox"/>
      <w:lvlText w:val="%1."/>
      <w:lvlJc w:val="left"/>
      <w:pPr>
        <w:tabs>
          <w:tab w:val="num" w:pos="1950"/>
        </w:tabs>
        <w:ind w:left="1950" w:hanging="408"/>
      </w:pPr>
    </w:lvl>
    <w:lvl w:ilvl="1">
      <w:start w:val="1"/>
      <w:numFmt w:val="decimal"/>
      <w:pStyle w:val="ListNumberBox2"/>
      <w:lvlText w:val="%2."/>
      <w:lvlJc w:val="left"/>
      <w:pPr>
        <w:tabs>
          <w:tab w:val="num" w:pos="2291"/>
        </w:tabs>
        <w:ind w:left="2291" w:hanging="341"/>
      </w:pPr>
    </w:lvl>
    <w:lvl w:ilvl="2">
      <w:start w:val="1"/>
      <w:numFmt w:val="decimal"/>
      <w:pStyle w:val="ListNumberBox3"/>
      <w:lvlText w:val="%3."/>
      <w:lvlJc w:val="left"/>
      <w:pPr>
        <w:tabs>
          <w:tab w:val="num" w:pos="2574"/>
        </w:tabs>
        <w:ind w:left="2574" w:hanging="340"/>
      </w:pPr>
    </w:lvl>
    <w:lvl w:ilvl="3">
      <w:start w:val="1"/>
      <w:numFmt w:val="decimal"/>
      <w:lvlText w:val="(%4)"/>
      <w:lvlJc w:val="left"/>
      <w:pPr>
        <w:tabs>
          <w:tab w:val="num" w:pos="8518"/>
        </w:tabs>
        <w:ind w:left="8518" w:hanging="360"/>
      </w:pPr>
    </w:lvl>
    <w:lvl w:ilvl="4">
      <w:start w:val="1"/>
      <w:numFmt w:val="lowerLetter"/>
      <w:lvlText w:val="(%5)"/>
      <w:lvlJc w:val="left"/>
      <w:pPr>
        <w:tabs>
          <w:tab w:val="num" w:pos="8878"/>
        </w:tabs>
        <w:ind w:left="8878" w:hanging="360"/>
      </w:pPr>
    </w:lvl>
    <w:lvl w:ilvl="5">
      <w:start w:val="1"/>
      <w:numFmt w:val="lowerRoman"/>
      <w:lvlText w:val="(%6)"/>
      <w:lvlJc w:val="left"/>
      <w:pPr>
        <w:tabs>
          <w:tab w:val="num" w:pos="9238"/>
        </w:tabs>
        <w:ind w:left="9238" w:hanging="360"/>
      </w:pPr>
    </w:lvl>
    <w:lvl w:ilvl="6">
      <w:start w:val="1"/>
      <w:numFmt w:val="decimal"/>
      <w:lvlText w:val="%7."/>
      <w:lvlJc w:val="left"/>
      <w:pPr>
        <w:tabs>
          <w:tab w:val="num" w:pos="9598"/>
        </w:tabs>
        <w:ind w:left="9598" w:hanging="360"/>
      </w:pPr>
    </w:lvl>
    <w:lvl w:ilvl="7">
      <w:start w:val="1"/>
      <w:numFmt w:val="lowerLetter"/>
      <w:lvlText w:val="%8."/>
      <w:lvlJc w:val="left"/>
      <w:pPr>
        <w:tabs>
          <w:tab w:val="num" w:pos="9958"/>
        </w:tabs>
        <w:ind w:left="9958" w:hanging="360"/>
      </w:pPr>
    </w:lvl>
    <w:lvl w:ilvl="8">
      <w:start w:val="1"/>
      <w:numFmt w:val="lowerRoman"/>
      <w:lvlText w:val="%9."/>
      <w:lvlJc w:val="left"/>
      <w:pPr>
        <w:tabs>
          <w:tab w:val="num" w:pos="10318"/>
        </w:tabs>
        <w:ind w:left="10318" w:hanging="360"/>
      </w:pPr>
    </w:lvl>
  </w:abstractNum>
  <w:abstractNum w:abstractNumId="11">
    <w:nsid w:val="3BC230DE"/>
    <w:multiLevelType w:val="multilevel"/>
    <w:tmpl w:val="F99EB0E0"/>
    <w:name w:val="templateNumber"/>
    <w:lvl w:ilvl="0">
      <w:start w:val="1"/>
      <w:numFmt w:val="decimal"/>
      <w:pStyle w:val="ListNumber"/>
      <w:lvlText w:val="%1."/>
      <w:lvlJc w:val="left"/>
      <w:pPr>
        <w:tabs>
          <w:tab w:val="num" w:pos="850"/>
        </w:tabs>
        <w:ind w:left="850" w:hanging="408"/>
      </w:pPr>
    </w:lvl>
    <w:lvl w:ilvl="1">
      <w:start w:val="1"/>
      <w:numFmt w:val="decimal"/>
      <w:pStyle w:val="ListNumber2"/>
      <w:lvlText w:val="%2."/>
      <w:lvlJc w:val="left"/>
      <w:pPr>
        <w:tabs>
          <w:tab w:val="num" w:pos="1191"/>
        </w:tabs>
        <w:ind w:left="1191" w:hanging="341"/>
      </w:pPr>
    </w:lvl>
    <w:lvl w:ilvl="2">
      <w:start w:val="1"/>
      <w:numFmt w:val="decimal"/>
      <w:pStyle w:val="ListNumber3"/>
      <w:lvlText w:val="%3."/>
      <w:lvlJc w:val="left"/>
      <w:pPr>
        <w:tabs>
          <w:tab w:val="num" w:pos="1474"/>
        </w:tabs>
        <w:ind w:left="1474" w:hanging="340"/>
      </w:pPr>
    </w:lvl>
    <w:lvl w:ilvl="3">
      <w:start w:val="1"/>
      <w:numFmt w:val="decimal"/>
      <w:pStyle w:val="ListNumber4"/>
      <w:lvlText w:val="%4."/>
      <w:lvlJc w:val="left"/>
      <w:pPr>
        <w:tabs>
          <w:tab w:val="num" w:pos="1757"/>
        </w:tabs>
        <w:ind w:left="1757" w:hanging="340"/>
      </w:pPr>
    </w:lvl>
    <w:lvl w:ilvl="4">
      <w:start w:val="1"/>
      <w:numFmt w:val="decimal"/>
      <w:pStyle w:val="ListNumber5"/>
      <w:lvlText w:val="%5."/>
      <w:lvlJc w:val="left"/>
      <w:pPr>
        <w:tabs>
          <w:tab w:val="num" w:pos="2041"/>
        </w:tabs>
        <w:ind w:left="2041" w:hanging="34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48BB7503"/>
    <w:multiLevelType w:val="singleLevel"/>
    <w:tmpl w:val="60A0508A"/>
    <w:styleLink w:val="AlphaNote"/>
    <w:lvl w:ilvl="0">
      <w:start w:val="1"/>
      <w:numFmt w:val="lowerLetter"/>
      <w:lvlText w:val="%1."/>
      <w:lvlJc w:val="left"/>
      <w:pPr>
        <w:tabs>
          <w:tab w:val="num" w:pos="408"/>
        </w:tabs>
        <w:ind w:left="408" w:hanging="408"/>
      </w:pPr>
    </w:lvl>
  </w:abstractNum>
  <w:abstractNum w:abstractNumId="13">
    <w:nsid w:val="48EC55A8"/>
    <w:multiLevelType w:val="singleLevel"/>
    <w:tmpl w:val="EBBACA14"/>
    <w:name w:val="templateBullet3"/>
    <w:lvl w:ilvl="0">
      <w:start w:val="1"/>
      <w:numFmt w:val="bullet"/>
      <w:pStyle w:val="ListBullet3"/>
      <w:lvlText w:val="-"/>
      <w:lvlJc w:val="left"/>
      <w:pPr>
        <w:tabs>
          <w:tab w:val="num" w:pos="1474"/>
        </w:tabs>
        <w:ind w:left="1474" w:hanging="340"/>
      </w:pPr>
      <w:rPr>
        <w:rFonts w:ascii="Symbol" w:hAnsi="Symbol" w:cs="Times New Roman" w:hint="default"/>
        <w:b w:val="0"/>
        <w:i w:val="0"/>
        <w:sz w:val="22"/>
      </w:rPr>
    </w:lvl>
  </w:abstractNum>
  <w:abstractNum w:abstractNumId="14">
    <w:nsid w:val="4AAE47B4"/>
    <w:multiLevelType w:val="singleLevel"/>
    <w:tmpl w:val="AB6CFFBC"/>
    <w:name w:val="templateBulletBox2"/>
    <w:lvl w:ilvl="0">
      <w:start w:val="1"/>
      <w:numFmt w:val="bullet"/>
      <w:pStyle w:val="ListBulletBox2"/>
      <w:lvlText w:val="-"/>
      <w:lvlJc w:val="left"/>
      <w:pPr>
        <w:tabs>
          <w:tab w:val="num" w:pos="1191"/>
        </w:tabs>
        <w:ind w:left="1191" w:hanging="340"/>
      </w:pPr>
      <w:rPr>
        <w:rFonts w:ascii="Symbol" w:hAnsi="Symbol" w:cs="Times New Roman" w:hint="default"/>
        <w:b w:val="0"/>
        <w:i w:val="0"/>
        <w:sz w:val="22"/>
      </w:rPr>
    </w:lvl>
  </w:abstractNum>
  <w:abstractNum w:abstractNumId="15">
    <w:nsid w:val="4DDC2598"/>
    <w:multiLevelType w:val="hybridMultilevel"/>
    <w:tmpl w:val="F3E42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6BE6F79"/>
    <w:multiLevelType w:val="singleLevel"/>
    <w:tmpl w:val="F258D16A"/>
    <w:name w:val="templateBullet4"/>
    <w:lvl w:ilvl="0">
      <w:start w:val="1"/>
      <w:numFmt w:val="bullet"/>
      <w:pStyle w:val="ListBullet4"/>
      <w:lvlText w:val="-"/>
      <w:lvlJc w:val="left"/>
      <w:pPr>
        <w:tabs>
          <w:tab w:val="num" w:pos="1757"/>
        </w:tabs>
        <w:ind w:left="1757" w:hanging="340"/>
      </w:pPr>
      <w:rPr>
        <w:rFonts w:ascii="Symbol" w:hAnsi="Symbol" w:cs="Times New Roman" w:hint="default"/>
        <w:b w:val="0"/>
        <w:i w:val="0"/>
        <w:sz w:val="22"/>
      </w:rPr>
    </w:lvl>
  </w:abstractNum>
  <w:abstractNum w:abstractNumId="17">
    <w:nsid w:val="5C8E0CA3"/>
    <w:multiLevelType w:val="singleLevel"/>
    <w:tmpl w:val="BCFCA2DE"/>
    <w:name w:val="templateBullet5"/>
    <w:lvl w:ilvl="0">
      <w:start w:val="1"/>
      <w:numFmt w:val="bullet"/>
      <w:pStyle w:val="ListBullet5"/>
      <w:lvlText w:val="-"/>
      <w:lvlJc w:val="left"/>
      <w:pPr>
        <w:tabs>
          <w:tab w:val="num" w:pos="2041"/>
        </w:tabs>
        <w:ind w:left="2041" w:hanging="340"/>
      </w:pPr>
      <w:rPr>
        <w:rFonts w:ascii="Symbol" w:hAnsi="Symbol" w:cs="Times New Roman" w:hint="default"/>
        <w:b w:val="0"/>
        <w:i w:val="0"/>
        <w:sz w:val="22"/>
      </w:rPr>
    </w:lvl>
  </w:abstractNum>
  <w:abstractNum w:abstractNumId="18">
    <w:nsid w:val="63E515CF"/>
    <w:multiLevelType w:val="singleLevel"/>
    <w:tmpl w:val="7A00B8A4"/>
    <w:lvl w:ilvl="0">
      <w:start w:val="1"/>
      <w:numFmt w:val="bullet"/>
      <w:pStyle w:val="ListBulletBox"/>
      <w:lvlText w:val="·"/>
      <w:lvlJc w:val="left"/>
      <w:pPr>
        <w:tabs>
          <w:tab w:val="num" w:pos="850"/>
        </w:tabs>
        <w:ind w:left="850" w:hanging="408"/>
      </w:pPr>
      <w:rPr>
        <w:rFonts w:ascii="Symbol" w:hAnsi="Symbol" w:cs="Times New Roman" w:hint="default"/>
        <w:b w:val="0"/>
        <w:i w:val="0"/>
        <w:sz w:val="22"/>
      </w:rPr>
    </w:lvl>
  </w:abstractNum>
  <w:num w:numId="1">
    <w:abstractNumId w:val="4"/>
  </w:num>
  <w:num w:numId="2">
    <w:abstractNumId w:val="2"/>
  </w:num>
  <w:num w:numId="3">
    <w:abstractNumId w:val="3"/>
  </w:num>
  <w:num w:numId="4">
    <w:abstractNumId w:val="12"/>
  </w:num>
  <w:num w:numId="5">
    <w:abstractNumId w:val="0"/>
  </w:num>
  <w:num w:numId="6">
    <w:abstractNumId w:val="8"/>
  </w:num>
  <w:num w:numId="7">
    <w:abstractNumId w:val="13"/>
  </w:num>
  <w:num w:numId="8">
    <w:abstractNumId w:val="16"/>
  </w:num>
  <w:num w:numId="9">
    <w:abstractNumId w:val="17"/>
  </w:num>
  <w:num w:numId="10">
    <w:abstractNumId w:val="11"/>
  </w:num>
  <w:num w:numId="11">
    <w:abstractNumId w:val="18"/>
  </w:num>
  <w:num w:numId="12">
    <w:abstractNumId w:val="14"/>
  </w:num>
  <w:num w:numId="13">
    <w:abstractNumId w:val="1"/>
  </w:num>
  <w:num w:numId="14">
    <w:abstractNumId w:val="10"/>
  </w:num>
  <w:num w:numId="15">
    <w:abstractNumId w:val="15"/>
  </w:num>
  <w:num w:numId="16">
    <w:abstractNumId w:val="9"/>
  </w:num>
  <w:num w:numId="17">
    <w:abstractNumId w:val="0"/>
  </w:num>
  <w:num w:numId="18">
    <w:abstractNumId w:val="0"/>
  </w:num>
  <w:num w:numId="19">
    <w:abstractNumId w:val="0"/>
  </w:num>
  <w:num w:numId="20">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340"/>
  <w:hyphenationZone w:val="425"/>
  <w:evenAndOddHeaders/>
  <w:drawingGridHorizontalSpacing w:val="110"/>
  <w:displayHorizontalDrawingGridEvery w:val="0"/>
  <w:displayVerticalDrawingGridEvery w:val="0"/>
  <w:noPunctuationKerning/>
  <w:characterSpacingControl w:val="doNotCompress"/>
  <w:hdrShapeDefaults>
    <o:shapedefaults v:ext="edit" spidmax="190465"/>
  </w:hdrShapeDefaults>
  <w:footnotePr>
    <w:footnote w:id="-1"/>
    <w:footnote w:id="0"/>
  </w:footnotePr>
  <w:endnotePr>
    <w:pos w:val="sectEnd"/>
    <w:numFmt w:val="decimal"/>
    <w:endnote w:id="-1"/>
    <w:endnote w:id="0"/>
  </w:endnotePr>
  <w:compat>
    <w:compatSetting w:name="compatibilityMode" w:uri="http://schemas.microsoft.com/office/word" w:val="12"/>
  </w:compat>
  <w:docVars>
    <w:docVar w:name="Classification" w:val="Unclassified"/>
    <w:docVar w:name="Cote" w:val="ECO/WKP(2014)99"/>
    <w:docVar w:name="DOCTYPE" w:val="NORMAL"/>
    <w:docVar w:name="DocumentStyle" w:val="Standard OECD document"/>
    <w:docVar w:name="IsPublication" w:val="0"/>
    <w:docVar w:name="Language" w:val="English"/>
    <w:docVar w:name="PGLANDSCAPE" w:val="0"/>
    <w:docVar w:name="SEND_TO_RMS" w:val="1"/>
  </w:docVars>
  <w:rsids>
    <w:rsidRoot w:val="00D92A5C"/>
    <w:rsid w:val="00006079"/>
    <w:rsid w:val="00006E04"/>
    <w:rsid w:val="0001078B"/>
    <w:rsid w:val="00010C6E"/>
    <w:rsid w:val="00011D78"/>
    <w:rsid w:val="0001292C"/>
    <w:rsid w:val="000148B5"/>
    <w:rsid w:val="00015CA6"/>
    <w:rsid w:val="00026E3E"/>
    <w:rsid w:val="0003359D"/>
    <w:rsid w:val="0003495F"/>
    <w:rsid w:val="000351E1"/>
    <w:rsid w:val="000369B9"/>
    <w:rsid w:val="00037342"/>
    <w:rsid w:val="00043DEE"/>
    <w:rsid w:val="00045523"/>
    <w:rsid w:val="00046C2F"/>
    <w:rsid w:val="0004703A"/>
    <w:rsid w:val="000478C1"/>
    <w:rsid w:val="00052288"/>
    <w:rsid w:val="00052ACC"/>
    <w:rsid w:val="00053604"/>
    <w:rsid w:val="00055132"/>
    <w:rsid w:val="00056A32"/>
    <w:rsid w:val="00056BAD"/>
    <w:rsid w:val="000608F3"/>
    <w:rsid w:val="00060BF4"/>
    <w:rsid w:val="00066F91"/>
    <w:rsid w:val="000677B9"/>
    <w:rsid w:val="00070F31"/>
    <w:rsid w:val="000759B1"/>
    <w:rsid w:val="00076BF1"/>
    <w:rsid w:val="000774C2"/>
    <w:rsid w:val="0008123A"/>
    <w:rsid w:val="00082F47"/>
    <w:rsid w:val="00083E3A"/>
    <w:rsid w:val="0008482A"/>
    <w:rsid w:val="00084B04"/>
    <w:rsid w:val="00085390"/>
    <w:rsid w:val="00090513"/>
    <w:rsid w:val="00091BAD"/>
    <w:rsid w:val="00095C0B"/>
    <w:rsid w:val="0009748E"/>
    <w:rsid w:val="0009770A"/>
    <w:rsid w:val="000A2077"/>
    <w:rsid w:val="000A23A9"/>
    <w:rsid w:val="000A2406"/>
    <w:rsid w:val="000A5ACF"/>
    <w:rsid w:val="000A75FD"/>
    <w:rsid w:val="000B0CC0"/>
    <w:rsid w:val="000B0ECE"/>
    <w:rsid w:val="000B1097"/>
    <w:rsid w:val="000B134D"/>
    <w:rsid w:val="000B1AE9"/>
    <w:rsid w:val="000B2C19"/>
    <w:rsid w:val="000B5F92"/>
    <w:rsid w:val="000B7BD9"/>
    <w:rsid w:val="000C1712"/>
    <w:rsid w:val="000C3E55"/>
    <w:rsid w:val="000C4C11"/>
    <w:rsid w:val="000C7083"/>
    <w:rsid w:val="000D0709"/>
    <w:rsid w:val="000D20F7"/>
    <w:rsid w:val="000D2DB1"/>
    <w:rsid w:val="000D79E2"/>
    <w:rsid w:val="000D7C35"/>
    <w:rsid w:val="000D7DF1"/>
    <w:rsid w:val="000E6E3E"/>
    <w:rsid w:val="000F1393"/>
    <w:rsid w:val="000F18C7"/>
    <w:rsid w:val="000F1E38"/>
    <w:rsid w:val="000F4924"/>
    <w:rsid w:val="000F6D6A"/>
    <w:rsid w:val="00100992"/>
    <w:rsid w:val="00101588"/>
    <w:rsid w:val="00102897"/>
    <w:rsid w:val="001033A8"/>
    <w:rsid w:val="00104854"/>
    <w:rsid w:val="001054A1"/>
    <w:rsid w:val="001074EC"/>
    <w:rsid w:val="00112281"/>
    <w:rsid w:val="0011251D"/>
    <w:rsid w:val="00114621"/>
    <w:rsid w:val="00114804"/>
    <w:rsid w:val="00114910"/>
    <w:rsid w:val="00114DE9"/>
    <w:rsid w:val="001166AD"/>
    <w:rsid w:val="00121693"/>
    <w:rsid w:val="00122588"/>
    <w:rsid w:val="00123173"/>
    <w:rsid w:val="001239C1"/>
    <w:rsid w:val="0012460D"/>
    <w:rsid w:val="00125631"/>
    <w:rsid w:val="00125F40"/>
    <w:rsid w:val="00127060"/>
    <w:rsid w:val="0012724A"/>
    <w:rsid w:val="0012776A"/>
    <w:rsid w:val="00134C84"/>
    <w:rsid w:val="00134EAE"/>
    <w:rsid w:val="0013609A"/>
    <w:rsid w:val="00136E22"/>
    <w:rsid w:val="00137D42"/>
    <w:rsid w:val="00143612"/>
    <w:rsid w:val="00143D09"/>
    <w:rsid w:val="00145035"/>
    <w:rsid w:val="00152E56"/>
    <w:rsid w:val="001544B4"/>
    <w:rsid w:val="00160D33"/>
    <w:rsid w:val="00162DC7"/>
    <w:rsid w:val="001631B8"/>
    <w:rsid w:val="00163F36"/>
    <w:rsid w:val="00167916"/>
    <w:rsid w:val="00167AE1"/>
    <w:rsid w:val="001838AF"/>
    <w:rsid w:val="001855BF"/>
    <w:rsid w:val="0018572E"/>
    <w:rsid w:val="00185A2C"/>
    <w:rsid w:val="001928FD"/>
    <w:rsid w:val="001961B1"/>
    <w:rsid w:val="00196281"/>
    <w:rsid w:val="001973BA"/>
    <w:rsid w:val="001A13E0"/>
    <w:rsid w:val="001A22AD"/>
    <w:rsid w:val="001A3B62"/>
    <w:rsid w:val="001A41B1"/>
    <w:rsid w:val="001A5CD9"/>
    <w:rsid w:val="001A6188"/>
    <w:rsid w:val="001B0B8A"/>
    <w:rsid w:val="001B476A"/>
    <w:rsid w:val="001B4DA6"/>
    <w:rsid w:val="001B688F"/>
    <w:rsid w:val="001B775C"/>
    <w:rsid w:val="001C749A"/>
    <w:rsid w:val="001D02E7"/>
    <w:rsid w:val="001D0B00"/>
    <w:rsid w:val="001D25EF"/>
    <w:rsid w:val="001D51CE"/>
    <w:rsid w:val="001E6DBD"/>
    <w:rsid w:val="001F0F6A"/>
    <w:rsid w:val="001F2E6B"/>
    <w:rsid w:val="001F39A2"/>
    <w:rsid w:val="001F479E"/>
    <w:rsid w:val="001F6E8E"/>
    <w:rsid w:val="001F75BD"/>
    <w:rsid w:val="001F7AE1"/>
    <w:rsid w:val="002000C2"/>
    <w:rsid w:val="002002D3"/>
    <w:rsid w:val="00204F97"/>
    <w:rsid w:val="002065ED"/>
    <w:rsid w:val="00206E12"/>
    <w:rsid w:val="002114FC"/>
    <w:rsid w:val="0021196A"/>
    <w:rsid w:val="00215D94"/>
    <w:rsid w:val="0023643C"/>
    <w:rsid w:val="0023680B"/>
    <w:rsid w:val="002372B9"/>
    <w:rsid w:val="002377B2"/>
    <w:rsid w:val="00242238"/>
    <w:rsid w:val="002444A9"/>
    <w:rsid w:val="002532B0"/>
    <w:rsid w:val="00261E45"/>
    <w:rsid w:val="00264840"/>
    <w:rsid w:val="0026510E"/>
    <w:rsid w:val="002676E4"/>
    <w:rsid w:val="00267F19"/>
    <w:rsid w:val="00272A39"/>
    <w:rsid w:val="00275EE3"/>
    <w:rsid w:val="0027758B"/>
    <w:rsid w:val="00281A9B"/>
    <w:rsid w:val="002860B7"/>
    <w:rsid w:val="00290962"/>
    <w:rsid w:val="00294014"/>
    <w:rsid w:val="00294690"/>
    <w:rsid w:val="002953EC"/>
    <w:rsid w:val="0029792C"/>
    <w:rsid w:val="002A3ED6"/>
    <w:rsid w:val="002A4438"/>
    <w:rsid w:val="002A4B04"/>
    <w:rsid w:val="002A4F8A"/>
    <w:rsid w:val="002A5688"/>
    <w:rsid w:val="002A62D8"/>
    <w:rsid w:val="002B58A9"/>
    <w:rsid w:val="002B6880"/>
    <w:rsid w:val="002B698A"/>
    <w:rsid w:val="002C2231"/>
    <w:rsid w:val="002C3D2A"/>
    <w:rsid w:val="002C4196"/>
    <w:rsid w:val="002D0602"/>
    <w:rsid w:val="002D0F41"/>
    <w:rsid w:val="002D1B00"/>
    <w:rsid w:val="002D4722"/>
    <w:rsid w:val="002D7888"/>
    <w:rsid w:val="002E02B2"/>
    <w:rsid w:val="002E20FA"/>
    <w:rsid w:val="002E2D20"/>
    <w:rsid w:val="002F039B"/>
    <w:rsid w:val="002F0C50"/>
    <w:rsid w:val="002F3C31"/>
    <w:rsid w:val="002F3C64"/>
    <w:rsid w:val="002F567C"/>
    <w:rsid w:val="002F6B23"/>
    <w:rsid w:val="002F76A7"/>
    <w:rsid w:val="00303694"/>
    <w:rsid w:val="0030433A"/>
    <w:rsid w:val="00304A46"/>
    <w:rsid w:val="00304C10"/>
    <w:rsid w:val="0030799A"/>
    <w:rsid w:val="003079E4"/>
    <w:rsid w:val="003113F9"/>
    <w:rsid w:val="00314F25"/>
    <w:rsid w:val="00316200"/>
    <w:rsid w:val="003200E6"/>
    <w:rsid w:val="00321B23"/>
    <w:rsid w:val="00321DEE"/>
    <w:rsid w:val="00321FF8"/>
    <w:rsid w:val="003234FB"/>
    <w:rsid w:val="00327FC3"/>
    <w:rsid w:val="003300CD"/>
    <w:rsid w:val="003302DE"/>
    <w:rsid w:val="003320A0"/>
    <w:rsid w:val="0033366B"/>
    <w:rsid w:val="003343DD"/>
    <w:rsid w:val="00334FA8"/>
    <w:rsid w:val="00336E93"/>
    <w:rsid w:val="00336F28"/>
    <w:rsid w:val="0034407E"/>
    <w:rsid w:val="00347E15"/>
    <w:rsid w:val="00352041"/>
    <w:rsid w:val="003541FB"/>
    <w:rsid w:val="003573AE"/>
    <w:rsid w:val="003606E1"/>
    <w:rsid w:val="003614CA"/>
    <w:rsid w:val="00361B81"/>
    <w:rsid w:val="00362D26"/>
    <w:rsid w:val="0036490F"/>
    <w:rsid w:val="00367660"/>
    <w:rsid w:val="0037150E"/>
    <w:rsid w:val="0037276F"/>
    <w:rsid w:val="00375541"/>
    <w:rsid w:val="00375AA4"/>
    <w:rsid w:val="00376024"/>
    <w:rsid w:val="0038011B"/>
    <w:rsid w:val="003811C2"/>
    <w:rsid w:val="003811E4"/>
    <w:rsid w:val="00384A1A"/>
    <w:rsid w:val="00385F3A"/>
    <w:rsid w:val="0038694B"/>
    <w:rsid w:val="003869C2"/>
    <w:rsid w:val="00387A12"/>
    <w:rsid w:val="00392266"/>
    <w:rsid w:val="003923D2"/>
    <w:rsid w:val="00392882"/>
    <w:rsid w:val="003978F9"/>
    <w:rsid w:val="0039792D"/>
    <w:rsid w:val="003A0051"/>
    <w:rsid w:val="003A0633"/>
    <w:rsid w:val="003A0E19"/>
    <w:rsid w:val="003A14C6"/>
    <w:rsid w:val="003A189C"/>
    <w:rsid w:val="003A3DAA"/>
    <w:rsid w:val="003A4BEF"/>
    <w:rsid w:val="003A66DC"/>
    <w:rsid w:val="003B0208"/>
    <w:rsid w:val="003B0D32"/>
    <w:rsid w:val="003B4CBD"/>
    <w:rsid w:val="003B51E7"/>
    <w:rsid w:val="003B6CD0"/>
    <w:rsid w:val="003B7829"/>
    <w:rsid w:val="003C1E7B"/>
    <w:rsid w:val="003C45C4"/>
    <w:rsid w:val="003C4F76"/>
    <w:rsid w:val="003C5B8E"/>
    <w:rsid w:val="003C61A3"/>
    <w:rsid w:val="003C7BFF"/>
    <w:rsid w:val="003D3347"/>
    <w:rsid w:val="003D34F5"/>
    <w:rsid w:val="003D45DE"/>
    <w:rsid w:val="003D4A64"/>
    <w:rsid w:val="003D514C"/>
    <w:rsid w:val="003D5E6B"/>
    <w:rsid w:val="003D66DD"/>
    <w:rsid w:val="003E22C9"/>
    <w:rsid w:val="003E5744"/>
    <w:rsid w:val="003E5A2C"/>
    <w:rsid w:val="003E77E3"/>
    <w:rsid w:val="003F57E4"/>
    <w:rsid w:val="003F6131"/>
    <w:rsid w:val="004030CD"/>
    <w:rsid w:val="00405B5A"/>
    <w:rsid w:val="0041363F"/>
    <w:rsid w:val="0041397F"/>
    <w:rsid w:val="00415955"/>
    <w:rsid w:val="00420EB6"/>
    <w:rsid w:val="00421D94"/>
    <w:rsid w:val="00426330"/>
    <w:rsid w:val="00426353"/>
    <w:rsid w:val="0043004E"/>
    <w:rsid w:val="004326A4"/>
    <w:rsid w:val="004351A9"/>
    <w:rsid w:val="00436606"/>
    <w:rsid w:val="00437551"/>
    <w:rsid w:val="004445AB"/>
    <w:rsid w:val="00444D21"/>
    <w:rsid w:val="00445D5A"/>
    <w:rsid w:val="004504A2"/>
    <w:rsid w:val="00450E46"/>
    <w:rsid w:val="004514C9"/>
    <w:rsid w:val="004521A3"/>
    <w:rsid w:val="00453085"/>
    <w:rsid w:val="0045476B"/>
    <w:rsid w:val="00455425"/>
    <w:rsid w:val="00460DE1"/>
    <w:rsid w:val="00461D0E"/>
    <w:rsid w:val="004620E9"/>
    <w:rsid w:val="00463999"/>
    <w:rsid w:val="004652C2"/>
    <w:rsid w:val="00465938"/>
    <w:rsid w:val="00467351"/>
    <w:rsid w:val="00470908"/>
    <w:rsid w:val="004711AC"/>
    <w:rsid w:val="00471D06"/>
    <w:rsid w:val="00476C85"/>
    <w:rsid w:val="004810D3"/>
    <w:rsid w:val="0048223D"/>
    <w:rsid w:val="00482375"/>
    <w:rsid w:val="00486FE5"/>
    <w:rsid w:val="00491274"/>
    <w:rsid w:val="00493B81"/>
    <w:rsid w:val="00496169"/>
    <w:rsid w:val="004979B0"/>
    <w:rsid w:val="004A10BE"/>
    <w:rsid w:val="004A281F"/>
    <w:rsid w:val="004A4608"/>
    <w:rsid w:val="004A71E8"/>
    <w:rsid w:val="004B0757"/>
    <w:rsid w:val="004B3213"/>
    <w:rsid w:val="004B6D76"/>
    <w:rsid w:val="004C0E65"/>
    <w:rsid w:val="004C27B9"/>
    <w:rsid w:val="004C3335"/>
    <w:rsid w:val="004C4534"/>
    <w:rsid w:val="004C6DBE"/>
    <w:rsid w:val="004D24A8"/>
    <w:rsid w:val="004D4A12"/>
    <w:rsid w:val="004D7D8B"/>
    <w:rsid w:val="004E4733"/>
    <w:rsid w:val="004E6846"/>
    <w:rsid w:val="004F023C"/>
    <w:rsid w:val="004F049C"/>
    <w:rsid w:val="004F2D15"/>
    <w:rsid w:val="004F32E8"/>
    <w:rsid w:val="004F3462"/>
    <w:rsid w:val="004F4F3E"/>
    <w:rsid w:val="004F613E"/>
    <w:rsid w:val="004F61E9"/>
    <w:rsid w:val="004F7160"/>
    <w:rsid w:val="00500615"/>
    <w:rsid w:val="00502BE2"/>
    <w:rsid w:val="00504818"/>
    <w:rsid w:val="00505F63"/>
    <w:rsid w:val="0050610C"/>
    <w:rsid w:val="005118D7"/>
    <w:rsid w:val="00513F5A"/>
    <w:rsid w:val="00513F67"/>
    <w:rsid w:val="00514432"/>
    <w:rsid w:val="00516D54"/>
    <w:rsid w:val="005175CF"/>
    <w:rsid w:val="00517FF6"/>
    <w:rsid w:val="00523078"/>
    <w:rsid w:val="0052377F"/>
    <w:rsid w:val="0052387B"/>
    <w:rsid w:val="00526BE9"/>
    <w:rsid w:val="005328E3"/>
    <w:rsid w:val="00542C59"/>
    <w:rsid w:val="00543FD1"/>
    <w:rsid w:val="00544F0B"/>
    <w:rsid w:val="0054500C"/>
    <w:rsid w:val="0055163D"/>
    <w:rsid w:val="00551690"/>
    <w:rsid w:val="00552138"/>
    <w:rsid w:val="0055214F"/>
    <w:rsid w:val="005538C0"/>
    <w:rsid w:val="00560860"/>
    <w:rsid w:val="005639DD"/>
    <w:rsid w:val="00564EFB"/>
    <w:rsid w:val="005711BC"/>
    <w:rsid w:val="00573767"/>
    <w:rsid w:val="00573D4B"/>
    <w:rsid w:val="005748B2"/>
    <w:rsid w:val="00580368"/>
    <w:rsid w:val="00581054"/>
    <w:rsid w:val="005810C7"/>
    <w:rsid w:val="00581650"/>
    <w:rsid w:val="0058439C"/>
    <w:rsid w:val="00585D7B"/>
    <w:rsid w:val="00592221"/>
    <w:rsid w:val="0059552D"/>
    <w:rsid w:val="00597875"/>
    <w:rsid w:val="005A0F06"/>
    <w:rsid w:val="005A1C87"/>
    <w:rsid w:val="005A1F61"/>
    <w:rsid w:val="005A4788"/>
    <w:rsid w:val="005A4E37"/>
    <w:rsid w:val="005A6DC4"/>
    <w:rsid w:val="005A73ED"/>
    <w:rsid w:val="005A7B3F"/>
    <w:rsid w:val="005B0C0B"/>
    <w:rsid w:val="005B2235"/>
    <w:rsid w:val="005B2A7F"/>
    <w:rsid w:val="005B3587"/>
    <w:rsid w:val="005C01DC"/>
    <w:rsid w:val="005C09BD"/>
    <w:rsid w:val="005C1F72"/>
    <w:rsid w:val="005C54FD"/>
    <w:rsid w:val="005C7339"/>
    <w:rsid w:val="005D1073"/>
    <w:rsid w:val="005D19D4"/>
    <w:rsid w:val="005D2E38"/>
    <w:rsid w:val="005E3AB0"/>
    <w:rsid w:val="005E4686"/>
    <w:rsid w:val="005E5D92"/>
    <w:rsid w:val="005F0737"/>
    <w:rsid w:val="005F2911"/>
    <w:rsid w:val="005F2DCB"/>
    <w:rsid w:val="005F5BF4"/>
    <w:rsid w:val="0060309B"/>
    <w:rsid w:val="00603370"/>
    <w:rsid w:val="00604F9D"/>
    <w:rsid w:val="00610027"/>
    <w:rsid w:val="00610CE3"/>
    <w:rsid w:val="00611510"/>
    <w:rsid w:val="00613E8C"/>
    <w:rsid w:val="00614B9C"/>
    <w:rsid w:val="00616379"/>
    <w:rsid w:val="006163AA"/>
    <w:rsid w:val="00617A63"/>
    <w:rsid w:val="0062006D"/>
    <w:rsid w:val="00620B4C"/>
    <w:rsid w:val="006245DC"/>
    <w:rsid w:val="00625097"/>
    <w:rsid w:val="0062615A"/>
    <w:rsid w:val="00626822"/>
    <w:rsid w:val="00633B1F"/>
    <w:rsid w:val="006353B2"/>
    <w:rsid w:val="00636ACC"/>
    <w:rsid w:val="00644BDD"/>
    <w:rsid w:val="0064768D"/>
    <w:rsid w:val="0065053B"/>
    <w:rsid w:val="006509B5"/>
    <w:rsid w:val="00655A83"/>
    <w:rsid w:val="00656241"/>
    <w:rsid w:val="006575A1"/>
    <w:rsid w:val="006604B0"/>
    <w:rsid w:val="00660950"/>
    <w:rsid w:val="006611C8"/>
    <w:rsid w:val="00662800"/>
    <w:rsid w:val="006652E0"/>
    <w:rsid w:val="0066555D"/>
    <w:rsid w:val="0066653A"/>
    <w:rsid w:val="0066653D"/>
    <w:rsid w:val="00666682"/>
    <w:rsid w:val="00670E6A"/>
    <w:rsid w:val="00673F62"/>
    <w:rsid w:val="00674EDE"/>
    <w:rsid w:val="006801EC"/>
    <w:rsid w:val="00683BF7"/>
    <w:rsid w:val="00683E62"/>
    <w:rsid w:val="00687659"/>
    <w:rsid w:val="0068784D"/>
    <w:rsid w:val="00693A47"/>
    <w:rsid w:val="006942B4"/>
    <w:rsid w:val="00697D20"/>
    <w:rsid w:val="006A03DA"/>
    <w:rsid w:val="006A4499"/>
    <w:rsid w:val="006A5E9A"/>
    <w:rsid w:val="006A6463"/>
    <w:rsid w:val="006A66A6"/>
    <w:rsid w:val="006B05A1"/>
    <w:rsid w:val="006B10C6"/>
    <w:rsid w:val="006B4224"/>
    <w:rsid w:val="006B7BA0"/>
    <w:rsid w:val="006C06E0"/>
    <w:rsid w:val="006C19B2"/>
    <w:rsid w:val="006C334A"/>
    <w:rsid w:val="006C6D79"/>
    <w:rsid w:val="006C7E9D"/>
    <w:rsid w:val="006D354F"/>
    <w:rsid w:val="006D3ABA"/>
    <w:rsid w:val="006D7C63"/>
    <w:rsid w:val="006E2167"/>
    <w:rsid w:val="006E552F"/>
    <w:rsid w:val="006E735F"/>
    <w:rsid w:val="006E7847"/>
    <w:rsid w:val="006F1F71"/>
    <w:rsid w:val="006F264A"/>
    <w:rsid w:val="006F44DE"/>
    <w:rsid w:val="00702D5E"/>
    <w:rsid w:val="00702E2A"/>
    <w:rsid w:val="007038C2"/>
    <w:rsid w:val="0070411B"/>
    <w:rsid w:val="00704FD9"/>
    <w:rsid w:val="007050CF"/>
    <w:rsid w:val="00705D82"/>
    <w:rsid w:val="0070606B"/>
    <w:rsid w:val="00706395"/>
    <w:rsid w:val="00711069"/>
    <w:rsid w:val="00711767"/>
    <w:rsid w:val="00711811"/>
    <w:rsid w:val="007128E9"/>
    <w:rsid w:val="007164E3"/>
    <w:rsid w:val="00722BB8"/>
    <w:rsid w:val="00722E8F"/>
    <w:rsid w:val="00724CA0"/>
    <w:rsid w:val="007311E1"/>
    <w:rsid w:val="00740DBD"/>
    <w:rsid w:val="0074290A"/>
    <w:rsid w:val="00745403"/>
    <w:rsid w:val="007505E1"/>
    <w:rsid w:val="00750FA1"/>
    <w:rsid w:val="00751C8E"/>
    <w:rsid w:val="00757115"/>
    <w:rsid w:val="00764241"/>
    <w:rsid w:val="00765D3D"/>
    <w:rsid w:val="007662B3"/>
    <w:rsid w:val="00767E76"/>
    <w:rsid w:val="00770EE1"/>
    <w:rsid w:val="00775967"/>
    <w:rsid w:val="00777540"/>
    <w:rsid w:val="00777B42"/>
    <w:rsid w:val="00782C99"/>
    <w:rsid w:val="00784E77"/>
    <w:rsid w:val="0078594E"/>
    <w:rsid w:val="00786E52"/>
    <w:rsid w:val="00787179"/>
    <w:rsid w:val="00790EB0"/>
    <w:rsid w:val="00791868"/>
    <w:rsid w:val="00791998"/>
    <w:rsid w:val="007923DC"/>
    <w:rsid w:val="0079493A"/>
    <w:rsid w:val="00796D0D"/>
    <w:rsid w:val="00797D47"/>
    <w:rsid w:val="007A2289"/>
    <w:rsid w:val="007A2B8A"/>
    <w:rsid w:val="007A4017"/>
    <w:rsid w:val="007A51C0"/>
    <w:rsid w:val="007A6C86"/>
    <w:rsid w:val="007B0024"/>
    <w:rsid w:val="007B063E"/>
    <w:rsid w:val="007B0BD2"/>
    <w:rsid w:val="007B2964"/>
    <w:rsid w:val="007B7346"/>
    <w:rsid w:val="007C197E"/>
    <w:rsid w:val="007C5EC7"/>
    <w:rsid w:val="007C66A0"/>
    <w:rsid w:val="007D0CDE"/>
    <w:rsid w:val="007D1D16"/>
    <w:rsid w:val="007D21D2"/>
    <w:rsid w:val="007D488B"/>
    <w:rsid w:val="007D4A8C"/>
    <w:rsid w:val="007D6D5E"/>
    <w:rsid w:val="007D75E5"/>
    <w:rsid w:val="007E5483"/>
    <w:rsid w:val="007F2754"/>
    <w:rsid w:val="007F3B82"/>
    <w:rsid w:val="007F4626"/>
    <w:rsid w:val="007F6083"/>
    <w:rsid w:val="008000E3"/>
    <w:rsid w:val="0080141C"/>
    <w:rsid w:val="00803640"/>
    <w:rsid w:val="00803928"/>
    <w:rsid w:val="00805132"/>
    <w:rsid w:val="00806E0A"/>
    <w:rsid w:val="00810A6F"/>
    <w:rsid w:val="00810AC0"/>
    <w:rsid w:val="00811323"/>
    <w:rsid w:val="00811839"/>
    <w:rsid w:val="00816851"/>
    <w:rsid w:val="008214DF"/>
    <w:rsid w:val="00822326"/>
    <w:rsid w:val="008238CC"/>
    <w:rsid w:val="0082598E"/>
    <w:rsid w:val="008305A7"/>
    <w:rsid w:val="00831DDD"/>
    <w:rsid w:val="00832153"/>
    <w:rsid w:val="008356EE"/>
    <w:rsid w:val="00835DEE"/>
    <w:rsid w:val="00836076"/>
    <w:rsid w:val="008406B5"/>
    <w:rsid w:val="00840BEF"/>
    <w:rsid w:val="008426B2"/>
    <w:rsid w:val="00845013"/>
    <w:rsid w:val="00845DE1"/>
    <w:rsid w:val="008460A2"/>
    <w:rsid w:val="0084648C"/>
    <w:rsid w:val="00851700"/>
    <w:rsid w:val="00851F3C"/>
    <w:rsid w:val="00853CAE"/>
    <w:rsid w:val="00856D93"/>
    <w:rsid w:val="00860EEB"/>
    <w:rsid w:val="00872A31"/>
    <w:rsid w:val="00876A6F"/>
    <w:rsid w:val="00881B0F"/>
    <w:rsid w:val="00881C3C"/>
    <w:rsid w:val="008841C6"/>
    <w:rsid w:val="00885C25"/>
    <w:rsid w:val="00887002"/>
    <w:rsid w:val="00890F93"/>
    <w:rsid w:val="00891066"/>
    <w:rsid w:val="00891ED7"/>
    <w:rsid w:val="008926B4"/>
    <w:rsid w:val="00892D5C"/>
    <w:rsid w:val="00893F38"/>
    <w:rsid w:val="008952C8"/>
    <w:rsid w:val="00895F07"/>
    <w:rsid w:val="00896D84"/>
    <w:rsid w:val="008975A3"/>
    <w:rsid w:val="008A6415"/>
    <w:rsid w:val="008B0CB0"/>
    <w:rsid w:val="008B0EC2"/>
    <w:rsid w:val="008B56B5"/>
    <w:rsid w:val="008B5A42"/>
    <w:rsid w:val="008B635D"/>
    <w:rsid w:val="008B69C6"/>
    <w:rsid w:val="008B76B2"/>
    <w:rsid w:val="008C0388"/>
    <w:rsid w:val="008C06CB"/>
    <w:rsid w:val="008C63D9"/>
    <w:rsid w:val="008C74C2"/>
    <w:rsid w:val="008D063E"/>
    <w:rsid w:val="008D0FC5"/>
    <w:rsid w:val="008D1930"/>
    <w:rsid w:val="008D4C7C"/>
    <w:rsid w:val="008D624E"/>
    <w:rsid w:val="008D70C2"/>
    <w:rsid w:val="008E16B6"/>
    <w:rsid w:val="008E2370"/>
    <w:rsid w:val="008E2B81"/>
    <w:rsid w:val="008E2D60"/>
    <w:rsid w:val="008E3360"/>
    <w:rsid w:val="008E3CFF"/>
    <w:rsid w:val="008E6F62"/>
    <w:rsid w:val="008F25B0"/>
    <w:rsid w:val="008F4C04"/>
    <w:rsid w:val="008F6431"/>
    <w:rsid w:val="008F69C5"/>
    <w:rsid w:val="008F7299"/>
    <w:rsid w:val="00900D25"/>
    <w:rsid w:val="009033E3"/>
    <w:rsid w:val="009043F8"/>
    <w:rsid w:val="00910AF5"/>
    <w:rsid w:val="009114BE"/>
    <w:rsid w:val="009125BF"/>
    <w:rsid w:val="0091516E"/>
    <w:rsid w:val="00915914"/>
    <w:rsid w:val="009160EF"/>
    <w:rsid w:val="00916EA3"/>
    <w:rsid w:val="009174DA"/>
    <w:rsid w:val="009176AF"/>
    <w:rsid w:val="00921A98"/>
    <w:rsid w:val="00924707"/>
    <w:rsid w:val="0092678C"/>
    <w:rsid w:val="00931D46"/>
    <w:rsid w:val="00941749"/>
    <w:rsid w:val="009448C9"/>
    <w:rsid w:val="009451BB"/>
    <w:rsid w:val="00945850"/>
    <w:rsid w:val="009477C6"/>
    <w:rsid w:val="00950DBC"/>
    <w:rsid w:val="009516DF"/>
    <w:rsid w:val="00951958"/>
    <w:rsid w:val="009578C7"/>
    <w:rsid w:val="00960435"/>
    <w:rsid w:val="00962578"/>
    <w:rsid w:val="00966279"/>
    <w:rsid w:val="00966D62"/>
    <w:rsid w:val="009673F5"/>
    <w:rsid w:val="00967636"/>
    <w:rsid w:val="009733CE"/>
    <w:rsid w:val="009736BC"/>
    <w:rsid w:val="00973A17"/>
    <w:rsid w:val="00973C31"/>
    <w:rsid w:val="0097548B"/>
    <w:rsid w:val="009760EC"/>
    <w:rsid w:val="00977581"/>
    <w:rsid w:val="009777A2"/>
    <w:rsid w:val="0098015E"/>
    <w:rsid w:val="00985335"/>
    <w:rsid w:val="00985DE0"/>
    <w:rsid w:val="00986666"/>
    <w:rsid w:val="00993327"/>
    <w:rsid w:val="009976D0"/>
    <w:rsid w:val="009A04A0"/>
    <w:rsid w:val="009A16F6"/>
    <w:rsid w:val="009A2430"/>
    <w:rsid w:val="009A3088"/>
    <w:rsid w:val="009A32BC"/>
    <w:rsid w:val="009A38C9"/>
    <w:rsid w:val="009A3C56"/>
    <w:rsid w:val="009A4A33"/>
    <w:rsid w:val="009A4A3E"/>
    <w:rsid w:val="009A697C"/>
    <w:rsid w:val="009A7E4D"/>
    <w:rsid w:val="009B303B"/>
    <w:rsid w:val="009C2CCD"/>
    <w:rsid w:val="009C6BDF"/>
    <w:rsid w:val="009C73FC"/>
    <w:rsid w:val="009D128F"/>
    <w:rsid w:val="009D30EA"/>
    <w:rsid w:val="009E34BE"/>
    <w:rsid w:val="009E53D6"/>
    <w:rsid w:val="009E5927"/>
    <w:rsid w:val="009F3BEC"/>
    <w:rsid w:val="00A00FA3"/>
    <w:rsid w:val="00A01B4C"/>
    <w:rsid w:val="00A043C9"/>
    <w:rsid w:val="00A0714F"/>
    <w:rsid w:val="00A101F6"/>
    <w:rsid w:val="00A11487"/>
    <w:rsid w:val="00A11E7C"/>
    <w:rsid w:val="00A11F8E"/>
    <w:rsid w:val="00A13329"/>
    <w:rsid w:val="00A13D92"/>
    <w:rsid w:val="00A1441C"/>
    <w:rsid w:val="00A168F0"/>
    <w:rsid w:val="00A16E9A"/>
    <w:rsid w:val="00A1708B"/>
    <w:rsid w:val="00A20667"/>
    <w:rsid w:val="00A23657"/>
    <w:rsid w:val="00A26721"/>
    <w:rsid w:val="00A26E15"/>
    <w:rsid w:val="00A30C67"/>
    <w:rsid w:val="00A32303"/>
    <w:rsid w:val="00A34C07"/>
    <w:rsid w:val="00A36096"/>
    <w:rsid w:val="00A405CF"/>
    <w:rsid w:val="00A42612"/>
    <w:rsid w:val="00A4488B"/>
    <w:rsid w:val="00A46F91"/>
    <w:rsid w:val="00A50507"/>
    <w:rsid w:val="00A534E9"/>
    <w:rsid w:val="00A560DE"/>
    <w:rsid w:val="00A56D55"/>
    <w:rsid w:val="00A57B7B"/>
    <w:rsid w:val="00A57CD2"/>
    <w:rsid w:val="00A60E6F"/>
    <w:rsid w:val="00A652F8"/>
    <w:rsid w:val="00A70E1C"/>
    <w:rsid w:val="00A72A9A"/>
    <w:rsid w:val="00A72F7E"/>
    <w:rsid w:val="00A77364"/>
    <w:rsid w:val="00A81E83"/>
    <w:rsid w:val="00A82BAF"/>
    <w:rsid w:val="00A83803"/>
    <w:rsid w:val="00A85974"/>
    <w:rsid w:val="00A94094"/>
    <w:rsid w:val="00A94590"/>
    <w:rsid w:val="00A9744F"/>
    <w:rsid w:val="00AA5564"/>
    <w:rsid w:val="00AA63B3"/>
    <w:rsid w:val="00AA7E32"/>
    <w:rsid w:val="00AB3A73"/>
    <w:rsid w:val="00AB3B00"/>
    <w:rsid w:val="00AB6168"/>
    <w:rsid w:val="00AC07DA"/>
    <w:rsid w:val="00AC116E"/>
    <w:rsid w:val="00AC121E"/>
    <w:rsid w:val="00AC1B37"/>
    <w:rsid w:val="00AC1EA7"/>
    <w:rsid w:val="00AC208F"/>
    <w:rsid w:val="00AC5236"/>
    <w:rsid w:val="00AC7BD7"/>
    <w:rsid w:val="00AD33D7"/>
    <w:rsid w:val="00AD49C1"/>
    <w:rsid w:val="00AD50E2"/>
    <w:rsid w:val="00AE1602"/>
    <w:rsid w:val="00AE2497"/>
    <w:rsid w:val="00AE425A"/>
    <w:rsid w:val="00AE4A34"/>
    <w:rsid w:val="00AE4CA8"/>
    <w:rsid w:val="00AE4EC6"/>
    <w:rsid w:val="00AE58F3"/>
    <w:rsid w:val="00AE5AB5"/>
    <w:rsid w:val="00AE5C63"/>
    <w:rsid w:val="00AF04C9"/>
    <w:rsid w:val="00AF1DD4"/>
    <w:rsid w:val="00AF2F18"/>
    <w:rsid w:val="00AF32FF"/>
    <w:rsid w:val="00AF7397"/>
    <w:rsid w:val="00AF79BC"/>
    <w:rsid w:val="00B005F0"/>
    <w:rsid w:val="00B01A7E"/>
    <w:rsid w:val="00B03067"/>
    <w:rsid w:val="00B03F3F"/>
    <w:rsid w:val="00B04BBD"/>
    <w:rsid w:val="00B077FD"/>
    <w:rsid w:val="00B123E8"/>
    <w:rsid w:val="00B148CF"/>
    <w:rsid w:val="00B15551"/>
    <w:rsid w:val="00B171D6"/>
    <w:rsid w:val="00B22831"/>
    <w:rsid w:val="00B24786"/>
    <w:rsid w:val="00B27946"/>
    <w:rsid w:val="00B33FB5"/>
    <w:rsid w:val="00B4193D"/>
    <w:rsid w:val="00B42258"/>
    <w:rsid w:val="00B470D6"/>
    <w:rsid w:val="00B47CBE"/>
    <w:rsid w:val="00B5056C"/>
    <w:rsid w:val="00B5128B"/>
    <w:rsid w:val="00B514DF"/>
    <w:rsid w:val="00B543E1"/>
    <w:rsid w:val="00B54796"/>
    <w:rsid w:val="00B556ED"/>
    <w:rsid w:val="00B56D74"/>
    <w:rsid w:val="00B57E93"/>
    <w:rsid w:val="00B62D59"/>
    <w:rsid w:val="00B63E40"/>
    <w:rsid w:val="00B65C62"/>
    <w:rsid w:val="00B66539"/>
    <w:rsid w:val="00B67849"/>
    <w:rsid w:val="00B73141"/>
    <w:rsid w:val="00B7726F"/>
    <w:rsid w:val="00B77C78"/>
    <w:rsid w:val="00B8066D"/>
    <w:rsid w:val="00B8257E"/>
    <w:rsid w:val="00B83586"/>
    <w:rsid w:val="00B8371E"/>
    <w:rsid w:val="00B84327"/>
    <w:rsid w:val="00B86339"/>
    <w:rsid w:val="00B90990"/>
    <w:rsid w:val="00B967CA"/>
    <w:rsid w:val="00B97104"/>
    <w:rsid w:val="00BA090F"/>
    <w:rsid w:val="00BA14A1"/>
    <w:rsid w:val="00BA42CD"/>
    <w:rsid w:val="00BA6199"/>
    <w:rsid w:val="00BA6382"/>
    <w:rsid w:val="00BA730F"/>
    <w:rsid w:val="00BB1907"/>
    <w:rsid w:val="00BB1E17"/>
    <w:rsid w:val="00BB2690"/>
    <w:rsid w:val="00BB65AB"/>
    <w:rsid w:val="00BB7F22"/>
    <w:rsid w:val="00BC226D"/>
    <w:rsid w:val="00BC53A9"/>
    <w:rsid w:val="00BC6AD5"/>
    <w:rsid w:val="00BD4FFF"/>
    <w:rsid w:val="00BD6BE2"/>
    <w:rsid w:val="00BD6F41"/>
    <w:rsid w:val="00BD7ACF"/>
    <w:rsid w:val="00BE315D"/>
    <w:rsid w:val="00BE4BD8"/>
    <w:rsid w:val="00BE5800"/>
    <w:rsid w:val="00BF0E4F"/>
    <w:rsid w:val="00BF1D91"/>
    <w:rsid w:val="00BF33A9"/>
    <w:rsid w:val="00BF3811"/>
    <w:rsid w:val="00BF3F5D"/>
    <w:rsid w:val="00BF534F"/>
    <w:rsid w:val="00BF73BD"/>
    <w:rsid w:val="00BF7D26"/>
    <w:rsid w:val="00C03413"/>
    <w:rsid w:val="00C05383"/>
    <w:rsid w:val="00C06FCB"/>
    <w:rsid w:val="00C07434"/>
    <w:rsid w:val="00C10026"/>
    <w:rsid w:val="00C10777"/>
    <w:rsid w:val="00C13ECE"/>
    <w:rsid w:val="00C14FBD"/>
    <w:rsid w:val="00C15897"/>
    <w:rsid w:val="00C2293C"/>
    <w:rsid w:val="00C256DF"/>
    <w:rsid w:val="00C25728"/>
    <w:rsid w:val="00C26CA8"/>
    <w:rsid w:val="00C27FD8"/>
    <w:rsid w:val="00C314B5"/>
    <w:rsid w:val="00C42530"/>
    <w:rsid w:val="00C42FB5"/>
    <w:rsid w:val="00C44337"/>
    <w:rsid w:val="00C46ADF"/>
    <w:rsid w:val="00C50CDC"/>
    <w:rsid w:val="00C52EA5"/>
    <w:rsid w:val="00C55577"/>
    <w:rsid w:val="00C57B99"/>
    <w:rsid w:val="00C62F84"/>
    <w:rsid w:val="00C64F77"/>
    <w:rsid w:val="00C661E4"/>
    <w:rsid w:val="00C66E35"/>
    <w:rsid w:val="00C67123"/>
    <w:rsid w:val="00C67644"/>
    <w:rsid w:val="00C678E2"/>
    <w:rsid w:val="00C700FA"/>
    <w:rsid w:val="00C709E1"/>
    <w:rsid w:val="00C72B2E"/>
    <w:rsid w:val="00C73E71"/>
    <w:rsid w:val="00C74950"/>
    <w:rsid w:val="00C809CB"/>
    <w:rsid w:val="00C818FA"/>
    <w:rsid w:val="00C82484"/>
    <w:rsid w:val="00C84A3D"/>
    <w:rsid w:val="00C87905"/>
    <w:rsid w:val="00C90D2C"/>
    <w:rsid w:val="00C9443E"/>
    <w:rsid w:val="00CA1B7A"/>
    <w:rsid w:val="00CA2452"/>
    <w:rsid w:val="00CA36E0"/>
    <w:rsid w:val="00CA78F5"/>
    <w:rsid w:val="00CB07D5"/>
    <w:rsid w:val="00CB5F71"/>
    <w:rsid w:val="00CB6455"/>
    <w:rsid w:val="00CB6701"/>
    <w:rsid w:val="00CB7DA5"/>
    <w:rsid w:val="00CC0DF0"/>
    <w:rsid w:val="00CC2306"/>
    <w:rsid w:val="00CC2904"/>
    <w:rsid w:val="00CD3EF7"/>
    <w:rsid w:val="00CD59AB"/>
    <w:rsid w:val="00CD6319"/>
    <w:rsid w:val="00CE0320"/>
    <w:rsid w:val="00CE3222"/>
    <w:rsid w:val="00CE3D98"/>
    <w:rsid w:val="00CE4E5C"/>
    <w:rsid w:val="00CE6BE9"/>
    <w:rsid w:val="00CE79B8"/>
    <w:rsid w:val="00CF2108"/>
    <w:rsid w:val="00CF38FC"/>
    <w:rsid w:val="00CF4AA4"/>
    <w:rsid w:val="00CF7196"/>
    <w:rsid w:val="00CF75BA"/>
    <w:rsid w:val="00D039E5"/>
    <w:rsid w:val="00D07B2C"/>
    <w:rsid w:val="00D16C98"/>
    <w:rsid w:val="00D17520"/>
    <w:rsid w:val="00D20D41"/>
    <w:rsid w:val="00D271F8"/>
    <w:rsid w:val="00D274FB"/>
    <w:rsid w:val="00D27688"/>
    <w:rsid w:val="00D32852"/>
    <w:rsid w:val="00D33F25"/>
    <w:rsid w:val="00D35021"/>
    <w:rsid w:val="00D37731"/>
    <w:rsid w:val="00D40014"/>
    <w:rsid w:val="00D414F2"/>
    <w:rsid w:val="00D41F08"/>
    <w:rsid w:val="00D4596B"/>
    <w:rsid w:val="00D46DC8"/>
    <w:rsid w:val="00D500E2"/>
    <w:rsid w:val="00D5043C"/>
    <w:rsid w:val="00D516CF"/>
    <w:rsid w:val="00D5694D"/>
    <w:rsid w:val="00D56DFF"/>
    <w:rsid w:val="00D56EF1"/>
    <w:rsid w:val="00D6448E"/>
    <w:rsid w:val="00D64703"/>
    <w:rsid w:val="00D70018"/>
    <w:rsid w:val="00D7071C"/>
    <w:rsid w:val="00D754F4"/>
    <w:rsid w:val="00D75F05"/>
    <w:rsid w:val="00D76CC4"/>
    <w:rsid w:val="00D81561"/>
    <w:rsid w:val="00D84F0C"/>
    <w:rsid w:val="00D87689"/>
    <w:rsid w:val="00D92078"/>
    <w:rsid w:val="00D92427"/>
    <w:rsid w:val="00D92A5C"/>
    <w:rsid w:val="00D97A84"/>
    <w:rsid w:val="00DA1C06"/>
    <w:rsid w:val="00DA200A"/>
    <w:rsid w:val="00DA3D3A"/>
    <w:rsid w:val="00DA5535"/>
    <w:rsid w:val="00DA58B5"/>
    <w:rsid w:val="00DB0CA2"/>
    <w:rsid w:val="00DB26E7"/>
    <w:rsid w:val="00DB7461"/>
    <w:rsid w:val="00DC0C61"/>
    <w:rsid w:val="00DC24AA"/>
    <w:rsid w:val="00DC25C2"/>
    <w:rsid w:val="00DC3243"/>
    <w:rsid w:val="00DC3299"/>
    <w:rsid w:val="00DC3639"/>
    <w:rsid w:val="00DC6E61"/>
    <w:rsid w:val="00DC7462"/>
    <w:rsid w:val="00DD40B0"/>
    <w:rsid w:val="00DE0961"/>
    <w:rsid w:val="00DE2A15"/>
    <w:rsid w:val="00DE343A"/>
    <w:rsid w:val="00DE5CFF"/>
    <w:rsid w:val="00DE70B2"/>
    <w:rsid w:val="00DE754F"/>
    <w:rsid w:val="00DF15A2"/>
    <w:rsid w:val="00DF1649"/>
    <w:rsid w:val="00DF1760"/>
    <w:rsid w:val="00DF770C"/>
    <w:rsid w:val="00E01AD3"/>
    <w:rsid w:val="00E027E4"/>
    <w:rsid w:val="00E04FB0"/>
    <w:rsid w:val="00E06B31"/>
    <w:rsid w:val="00E0724B"/>
    <w:rsid w:val="00E0773F"/>
    <w:rsid w:val="00E14AEF"/>
    <w:rsid w:val="00E14E12"/>
    <w:rsid w:val="00E15FEA"/>
    <w:rsid w:val="00E167E5"/>
    <w:rsid w:val="00E1794F"/>
    <w:rsid w:val="00E223F2"/>
    <w:rsid w:val="00E24FCD"/>
    <w:rsid w:val="00E26FDA"/>
    <w:rsid w:val="00E31E5F"/>
    <w:rsid w:val="00E37F59"/>
    <w:rsid w:val="00E40D8B"/>
    <w:rsid w:val="00E433D8"/>
    <w:rsid w:val="00E44796"/>
    <w:rsid w:val="00E46872"/>
    <w:rsid w:val="00E505F4"/>
    <w:rsid w:val="00E50F50"/>
    <w:rsid w:val="00E511A2"/>
    <w:rsid w:val="00E578EA"/>
    <w:rsid w:val="00E61EA8"/>
    <w:rsid w:val="00E634D2"/>
    <w:rsid w:val="00E63505"/>
    <w:rsid w:val="00E656BB"/>
    <w:rsid w:val="00E67D95"/>
    <w:rsid w:val="00E70A77"/>
    <w:rsid w:val="00E714E2"/>
    <w:rsid w:val="00E72248"/>
    <w:rsid w:val="00E74CC8"/>
    <w:rsid w:val="00E759C7"/>
    <w:rsid w:val="00E75C45"/>
    <w:rsid w:val="00E76031"/>
    <w:rsid w:val="00E804FE"/>
    <w:rsid w:val="00E81459"/>
    <w:rsid w:val="00E81D2E"/>
    <w:rsid w:val="00E83186"/>
    <w:rsid w:val="00E832C5"/>
    <w:rsid w:val="00E86F5B"/>
    <w:rsid w:val="00E87440"/>
    <w:rsid w:val="00E91135"/>
    <w:rsid w:val="00E9411D"/>
    <w:rsid w:val="00E95709"/>
    <w:rsid w:val="00E96D05"/>
    <w:rsid w:val="00E97D12"/>
    <w:rsid w:val="00EA1324"/>
    <w:rsid w:val="00EA3123"/>
    <w:rsid w:val="00EA70A4"/>
    <w:rsid w:val="00EA787B"/>
    <w:rsid w:val="00EB01E9"/>
    <w:rsid w:val="00EB1989"/>
    <w:rsid w:val="00EB3A2C"/>
    <w:rsid w:val="00EB4474"/>
    <w:rsid w:val="00EB5842"/>
    <w:rsid w:val="00EB7B0B"/>
    <w:rsid w:val="00EC1193"/>
    <w:rsid w:val="00EC1B23"/>
    <w:rsid w:val="00EC1CBE"/>
    <w:rsid w:val="00EC2096"/>
    <w:rsid w:val="00EC27A7"/>
    <w:rsid w:val="00EC340B"/>
    <w:rsid w:val="00EC54B5"/>
    <w:rsid w:val="00EC72CD"/>
    <w:rsid w:val="00EC7EC2"/>
    <w:rsid w:val="00ED1311"/>
    <w:rsid w:val="00ED13D7"/>
    <w:rsid w:val="00ED761A"/>
    <w:rsid w:val="00EE30A6"/>
    <w:rsid w:val="00EE709E"/>
    <w:rsid w:val="00EE7859"/>
    <w:rsid w:val="00EF2B61"/>
    <w:rsid w:val="00EF37B2"/>
    <w:rsid w:val="00EF5755"/>
    <w:rsid w:val="00EF59ED"/>
    <w:rsid w:val="00F009F6"/>
    <w:rsid w:val="00F02B76"/>
    <w:rsid w:val="00F02DCC"/>
    <w:rsid w:val="00F04471"/>
    <w:rsid w:val="00F0507C"/>
    <w:rsid w:val="00F0528F"/>
    <w:rsid w:val="00F05C9A"/>
    <w:rsid w:val="00F06532"/>
    <w:rsid w:val="00F10626"/>
    <w:rsid w:val="00F116D2"/>
    <w:rsid w:val="00F13E10"/>
    <w:rsid w:val="00F150CF"/>
    <w:rsid w:val="00F157DE"/>
    <w:rsid w:val="00F15FA7"/>
    <w:rsid w:val="00F218F9"/>
    <w:rsid w:val="00F223BE"/>
    <w:rsid w:val="00F240E5"/>
    <w:rsid w:val="00F25D51"/>
    <w:rsid w:val="00F32817"/>
    <w:rsid w:val="00F36B44"/>
    <w:rsid w:val="00F41630"/>
    <w:rsid w:val="00F45A88"/>
    <w:rsid w:val="00F465E1"/>
    <w:rsid w:val="00F467F7"/>
    <w:rsid w:val="00F5039D"/>
    <w:rsid w:val="00F5201D"/>
    <w:rsid w:val="00F520A4"/>
    <w:rsid w:val="00F527FE"/>
    <w:rsid w:val="00F544B0"/>
    <w:rsid w:val="00F65FC9"/>
    <w:rsid w:val="00F67657"/>
    <w:rsid w:val="00F7011D"/>
    <w:rsid w:val="00F70839"/>
    <w:rsid w:val="00F7098E"/>
    <w:rsid w:val="00F713B9"/>
    <w:rsid w:val="00F71886"/>
    <w:rsid w:val="00F7203F"/>
    <w:rsid w:val="00F740FE"/>
    <w:rsid w:val="00F755D5"/>
    <w:rsid w:val="00F81C49"/>
    <w:rsid w:val="00F8216D"/>
    <w:rsid w:val="00F903D1"/>
    <w:rsid w:val="00F90E88"/>
    <w:rsid w:val="00F91D66"/>
    <w:rsid w:val="00F9229C"/>
    <w:rsid w:val="00F94C06"/>
    <w:rsid w:val="00F97DB1"/>
    <w:rsid w:val="00FA000C"/>
    <w:rsid w:val="00FA166D"/>
    <w:rsid w:val="00FA2137"/>
    <w:rsid w:val="00FA38AD"/>
    <w:rsid w:val="00FA61FB"/>
    <w:rsid w:val="00FB1BF4"/>
    <w:rsid w:val="00FB23A1"/>
    <w:rsid w:val="00FB5096"/>
    <w:rsid w:val="00FB5F11"/>
    <w:rsid w:val="00FC1A5A"/>
    <w:rsid w:val="00FC30F6"/>
    <w:rsid w:val="00FC5B28"/>
    <w:rsid w:val="00FD07FF"/>
    <w:rsid w:val="00FD083B"/>
    <w:rsid w:val="00FD5077"/>
    <w:rsid w:val="00FD6AC3"/>
    <w:rsid w:val="00FE5648"/>
    <w:rsid w:val="00FE58DC"/>
    <w:rsid w:val="00FE64BF"/>
    <w:rsid w:val="00FE6528"/>
    <w:rsid w:val="00FF0A3E"/>
    <w:rsid w:val="00FF2C50"/>
    <w:rsid w:val="00FF3BA2"/>
    <w:rsid w:val="00FF5AD3"/>
    <w:rsid w:val="00FF5D24"/>
    <w:rsid w:val="00FF68C7"/>
    <w:rsid w:val="00FF783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0465"/>
    <o:shapelayout v:ext="edit">
      <o:idmap v:ext="edit" data="1"/>
    </o:shapelayout>
  </w:shapeDefaults>
  <w:decimalSymbol w:val="."/>
  <w:listSeparator w:val=","/>
  <w14:docId w14:val="7F07C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semiHidden="0" w:qFormat="1"/>
    <w:lsdException w:name="toc 5" w:semiHidden="0" w:qFormat="1"/>
    <w:lsdException w:name="toc 6" w:semiHidden="0" w:qFormat="1"/>
    <w:lsdException w:name="toc 7" w:semiHidden="0" w:qFormat="1"/>
    <w:lsdException w:name="toc 8" w:semiHidden="0" w:qFormat="1"/>
    <w:lsdException w:name="toc 9" w:semiHidden="0" w:qFormat="1"/>
    <w:lsdException w:name="Normal Indent" w:unhideWhenUsed="1"/>
    <w:lsdException w:name="footnote text" w:uiPriority="99" w:unhideWhenUsed="1"/>
    <w:lsdException w:name="annotation text" w:unhideWhenUsed="1"/>
    <w:lsdException w:name="header" w:unhideWhenUsed="1"/>
    <w:lsdException w:name="footer"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annotation reference" w:uiPriority="99" w:unhideWhenUsed="1"/>
    <w:lsdException w:name="line number" w:uiPriority="99" w:unhideWhenUsed="1"/>
    <w:lsdException w:name="page number" w:uiPriority="99" w:unhideWhenUsed="1"/>
    <w:lsdException w:name="endnote reference" w:uiPriority="99"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99"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iPriority="99" w:unhideWhenUsed="1"/>
    <w:lsdException w:name="FollowedHyperlink" w:uiPriority="99"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iPriority="99" w:unhideWhenUsed="1"/>
    <w:lsdException w:name="HTML Bottom of Form" w:uiPriority="99" w:unhideWhenUsed="1"/>
    <w:lsdException w:name="Normal (Web)" w:uiPriority="99" w:unhideWhenUsed="1"/>
    <w:lsdException w:name="HTML Acronym" w:uiPriority="99" w:unhideWhenUsed="1"/>
    <w:lsdException w:name="HTML Address" w:unhideWhenUsed="1"/>
    <w:lsdException w:name="HTML Cite" w:uiPriority="99" w:unhideWhenUsed="1"/>
    <w:lsdException w:name="HTML Code" w:uiPriority="99" w:unhideWhenUsed="1"/>
    <w:lsdException w:name="HTML Definition" w:uiPriority="99" w:unhideWhenUsed="1"/>
    <w:lsdException w:name="HTML Keyboard" w:uiPriority="99" w:unhideWhenUsed="1"/>
    <w:lsdException w:name="HTML Preformatted" w:unhideWhenUsed="1"/>
    <w:lsdException w:name="HTML Sample" w:uiPriority="99" w:unhideWhenUsed="1"/>
    <w:lsdException w:name="HTML Typewriter" w:uiPriority="99" w:unhideWhenUsed="1"/>
    <w:lsdException w:name="HTML Variable" w:uiPriority="99" w:unhideWhenUsed="1"/>
    <w:lsdException w:name="Normal Table" w:uiPriority="99" w:unhideWhenUsed="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iPriority="99" w:unhideWhenUsed="1"/>
    <w:lsdException w:name="Table Simple 2" w:uiPriority="99" w:unhideWhenUsed="1"/>
    <w:lsdException w:name="Table Simple 3" w:uiPriority="99" w:unhideWhenUsed="1"/>
    <w:lsdException w:name="Table Classic 1" w:uiPriority="99" w:unhideWhenUsed="1"/>
    <w:lsdException w:name="Table Classic 2" w:uiPriority="99" w:unhideWhenUsed="1"/>
    <w:lsdException w:name="Table Classic 3" w:uiPriority="99" w:unhideWhenUsed="1"/>
    <w:lsdException w:name="Table Classic 4" w:uiPriority="99" w:unhideWhenUsed="1"/>
    <w:lsdException w:name="Table Colorful 1" w:uiPriority="99" w:unhideWhenUsed="1"/>
    <w:lsdException w:name="Table Colorful 2" w:uiPriority="99" w:unhideWhenUsed="1"/>
    <w:lsdException w:name="Table Colorful 3" w:uiPriority="99" w:unhideWhenUsed="1"/>
    <w:lsdException w:name="Table Columns 1" w:uiPriority="99" w:unhideWhenUsed="1"/>
    <w:lsdException w:name="Table Columns 2" w:uiPriority="99" w:unhideWhenUsed="1"/>
    <w:lsdException w:name="Table Columns 3" w:uiPriority="99" w:unhideWhenUsed="1"/>
    <w:lsdException w:name="Table Columns 4" w:uiPriority="99" w:unhideWhenUsed="1"/>
    <w:lsdException w:name="Table Columns 5" w:uiPriority="99" w:unhideWhenUsed="1"/>
    <w:lsdException w:name="Table Grid 1" w:uiPriority="99" w:unhideWhenUsed="1"/>
    <w:lsdException w:name="Table Grid 2" w:uiPriority="99" w:unhideWhenUsed="1"/>
    <w:lsdException w:name="Table Grid 3" w:uiPriority="99" w:unhideWhenUsed="1"/>
    <w:lsdException w:name="Table Grid 4" w:uiPriority="99" w:unhideWhenUsed="1"/>
    <w:lsdException w:name="Table Grid 5" w:uiPriority="99" w:unhideWhenUsed="1"/>
    <w:lsdException w:name="Table Grid 6" w:uiPriority="99" w:unhideWhenUsed="1"/>
    <w:lsdException w:name="Table Grid 7" w:uiPriority="99" w:unhideWhenUsed="1"/>
    <w:lsdException w:name="Table Grid 8" w:uiPriority="99" w:unhideWhenUsed="1"/>
    <w:lsdException w:name="Table List 1" w:uiPriority="99" w:unhideWhenUsed="1"/>
    <w:lsdException w:name="Table List 2" w:uiPriority="99" w:unhideWhenUsed="1"/>
    <w:lsdException w:name="Table List 3" w:uiPriority="99" w:unhideWhenUsed="1"/>
    <w:lsdException w:name="Table List 4" w:uiPriority="99" w:unhideWhenUsed="1"/>
    <w:lsdException w:name="Table List 5" w:uiPriority="99" w:unhideWhenUsed="1"/>
    <w:lsdException w:name="Table List 6" w:uiPriority="99" w:unhideWhenUsed="1"/>
    <w:lsdException w:name="Table List 7" w:uiPriority="99" w:unhideWhenUsed="1"/>
    <w:lsdException w:name="Table List 8" w:uiPriority="99" w:unhideWhenUsed="1"/>
    <w:lsdException w:name="Table 3D effects 1" w:uiPriority="99" w:unhideWhenUsed="1"/>
    <w:lsdException w:name="Table 3D effects 2" w:uiPriority="99" w:unhideWhenUsed="1"/>
    <w:lsdException w:name="Table 3D effects 3" w:uiPriority="99" w:unhideWhenUsed="1"/>
    <w:lsdException w:name="Table Contemporary" w:uiPriority="99" w:unhideWhenUsed="1"/>
    <w:lsdException w:name="Table Elegant" w:uiPriority="99" w:unhideWhenUsed="1"/>
    <w:lsdException w:name="Table Professional" w:uiPriority="99" w:unhideWhenUsed="1"/>
    <w:lsdException w:name="Table Subtle 1" w:uiPriority="99" w:unhideWhenUsed="1"/>
    <w:lsdException w:name="Table Subtle 2" w:uiPriority="99" w:unhideWhenUsed="1"/>
    <w:lsdException w:name="Table Web 1" w:uiPriority="99" w:unhideWhenUsed="1"/>
    <w:lsdException w:name="Table Web 2" w:uiPriority="99" w:unhideWhenUsed="1"/>
    <w:lsdException w:name="Table Web 3" w:uiPriority="99" w:unhideWhenUsed="1"/>
    <w:lsdException w:name="Balloon Text" w:unhideWhenUsed="1"/>
    <w:lsdException w:name="Table Grid" w:semiHidden="0" w:uiPriority="59"/>
    <w:lsdException w:name="Table Theme" w:uiPriority="99"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F5D24"/>
    <w:pPr>
      <w:tabs>
        <w:tab w:val="left" w:pos="850"/>
        <w:tab w:val="left" w:pos="1191"/>
        <w:tab w:val="left" w:pos="1531"/>
      </w:tabs>
      <w:jc w:val="both"/>
    </w:pPr>
    <w:rPr>
      <w:sz w:val="22"/>
      <w:szCs w:val="22"/>
      <w:lang w:val="en-GB" w:eastAsia="zh-CN"/>
    </w:rPr>
  </w:style>
  <w:style w:type="paragraph" w:styleId="Heading1">
    <w:name w:val="heading 1"/>
    <w:basedOn w:val="Normal"/>
    <w:next w:val="Num-DocParagraph"/>
    <w:link w:val="Heading1Char"/>
    <w:uiPriority w:val="9"/>
    <w:qFormat/>
    <w:rsid w:val="00FF5D24"/>
    <w:pPr>
      <w:keepNext/>
      <w:spacing w:before="1200" w:after="720"/>
      <w:jc w:val="center"/>
      <w:outlineLvl w:val="0"/>
    </w:pPr>
    <w:rPr>
      <w:b/>
      <w:bCs/>
      <w:caps/>
      <w:kern w:val="28"/>
    </w:rPr>
  </w:style>
  <w:style w:type="paragraph" w:styleId="Heading2">
    <w:name w:val="heading 2"/>
    <w:basedOn w:val="Normal"/>
    <w:next w:val="Num-DocParagraph"/>
    <w:link w:val="Heading2Char"/>
    <w:qFormat/>
    <w:rsid w:val="00FF5D24"/>
    <w:pPr>
      <w:keepNext/>
      <w:spacing w:before="240" w:after="240"/>
      <w:outlineLvl w:val="1"/>
    </w:pPr>
    <w:rPr>
      <w:b/>
      <w:bCs/>
    </w:rPr>
  </w:style>
  <w:style w:type="paragraph" w:styleId="Heading3">
    <w:name w:val="heading 3"/>
    <w:basedOn w:val="Normal"/>
    <w:next w:val="Num-DocParagraph"/>
    <w:qFormat/>
    <w:rsid w:val="00FF5D24"/>
    <w:pPr>
      <w:keepNext/>
      <w:spacing w:before="240" w:after="240"/>
      <w:outlineLvl w:val="2"/>
    </w:pPr>
    <w:rPr>
      <w:b/>
      <w:bCs/>
      <w:i/>
      <w:iCs/>
    </w:rPr>
  </w:style>
  <w:style w:type="paragraph" w:styleId="Heading4">
    <w:name w:val="heading 4"/>
    <w:basedOn w:val="Normal"/>
    <w:next w:val="Num-DocParagraph"/>
    <w:qFormat/>
    <w:rsid w:val="00FF5D24"/>
    <w:pPr>
      <w:keepNext/>
      <w:spacing w:before="240" w:after="240"/>
      <w:outlineLvl w:val="3"/>
    </w:pPr>
    <w:rPr>
      <w:i/>
      <w:iCs/>
    </w:rPr>
  </w:style>
  <w:style w:type="paragraph" w:styleId="Heading5">
    <w:name w:val="heading 5"/>
    <w:basedOn w:val="Normal"/>
    <w:next w:val="Num-DocParagraph"/>
    <w:qFormat/>
    <w:rsid w:val="00FF5D24"/>
    <w:pPr>
      <w:spacing w:before="240" w:after="240"/>
      <w:outlineLvl w:val="4"/>
    </w:pPr>
  </w:style>
  <w:style w:type="paragraph" w:styleId="Heading6">
    <w:name w:val="heading 6"/>
    <w:basedOn w:val="Normal"/>
    <w:next w:val="Normal"/>
    <w:qFormat/>
    <w:rsid w:val="00FF5D24"/>
    <w:pPr>
      <w:spacing w:before="240" w:after="60"/>
      <w:outlineLvl w:val="5"/>
    </w:pPr>
    <w:rPr>
      <w:b/>
      <w:bCs/>
    </w:rPr>
  </w:style>
  <w:style w:type="paragraph" w:styleId="Heading7">
    <w:name w:val="heading 7"/>
    <w:basedOn w:val="Normal"/>
    <w:next w:val="Normal"/>
    <w:qFormat/>
    <w:rsid w:val="00FF5D24"/>
    <w:pPr>
      <w:spacing w:before="240" w:after="60"/>
      <w:outlineLvl w:val="6"/>
    </w:pPr>
    <w:rPr>
      <w:sz w:val="24"/>
      <w:szCs w:val="24"/>
    </w:rPr>
  </w:style>
  <w:style w:type="paragraph" w:styleId="Heading8">
    <w:name w:val="heading 8"/>
    <w:basedOn w:val="Normal"/>
    <w:next w:val="Normal"/>
    <w:qFormat/>
    <w:rsid w:val="00FF5D24"/>
    <w:pPr>
      <w:spacing w:before="240" w:after="60"/>
      <w:outlineLvl w:val="7"/>
    </w:pPr>
    <w:rPr>
      <w:i/>
      <w:iCs/>
      <w:sz w:val="24"/>
      <w:szCs w:val="24"/>
    </w:rPr>
  </w:style>
  <w:style w:type="paragraph" w:styleId="Heading9">
    <w:name w:val="heading 9"/>
    <w:basedOn w:val="Normal"/>
    <w:next w:val="Normal"/>
    <w:qFormat/>
    <w:rsid w:val="00FF5D24"/>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Heading">
    <w:name w:val="Annex Heading"/>
    <w:basedOn w:val="Normal"/>
    <w:next w:val="BodyText"/>
    <w:rsid w:val="00FF5D24"/>
    <w:pPr>
      <w:keepNext/>
      <w:spacing w:before="1200" w:after="720"/>
      <w:jc w:val="center"/>
    </w:pPr>
    <w:rPr>
      <w:b/>
      <w:bCs/>
      <w:caps/>
    </w:rPr>
  </w:style>
  <w:style w:type="paragraph" w:styleId="BodyText">
    <w:name w:val="Body Text"/>
    <w:basedOn w:val="Normal"/>
    <w:link w:val="BodyTextChar"/>
    <w:rsid w:val="00FF5D24"/>
    <w:pPr>
      <w:spacing w:after="240"/>
      <w:ind w:firstLine="442"/>
    </w:pPr>
  </w:style>
  <w:style w:type="paragraph" w:customStyle="1" w:styleId="Annotation">
    <w:name w:val="Annotation"/>
    <w:basedOn w:val="BodyText"/>
    <w:rsid w:val="00FF5D24"/>
    <w:pPr>
      <w:ind w:firstLine="0"/>
      <w:jc w:val="left"/>
    </w:pPr>
    <w:rPr>
      <w:b/>
      <w:bCs/>
      <w:i/>
      <w:iCs/>
    </w:rPr>
  </w:style>
  <w:style w:type="paragraph" w:customStyle="1" w:styleId="AppendixHeading">
    <w:name w:val="Appendix Heading"/>
    <w:basedOn w:val="Normal"/>
    <w:next w:val="BodyText"/>
    <w:rsid w:val="00FF5D24"/>
    <w:pPr>
      <w:keepNext/>
      <w:spacing w:before="1200" w:after="720"/>
      <w:jc w:val="center"/>
    </w:pPr>
    <w:rPr>
      <w:b/>
      <w:bCs/>
      <w:caps/>
    </w:rPr>
  </w:style>
  <w:style w:type="paragraph" w:customStyle="1" w:styleId="Biblio-Entry">
    <w:name w:val="Biblio-Entry"/>
    <w:basedOn w:val="BodyText"/>
    <w:link w:val="Biblio-EntryChar"/>
    <w:rsid w:val="00FF5D24"/>
    <w:pPr>
      <w:ind w:left="567" w:hanging="567"/>
      <w:jc w:val="left"/>
    </w:pPr>
  </w:style>
  <w:style w:type="paragraph" w:customStyle="1" w:styleId="BibliographyHeading">
    <w:name w:val="Bibliography Heading"/>
    <w:basedOn w:val="Normal"/>
    <w:next w:val="Biblio-Entry"/>
    <w:rsid w:val="00FF5D24"/>
    <w:pPr>
      <w:keepNext/>
      <w:spacing w:before="1200" w:after="720"/>
      <w:jc w:val="center"/>
    </w:pPr>
    <w:rPr>
      <w:b/>
      <w:bCs/>
      <w:caps/>
    </w:rPr>
  </w:style>
  <w:style w:type="paragraph" w:customStyle="1" w:styleId="BoxHeading">
    <w:name w:val="Box Heading"/>
    <w:basedOn w:val="Normal"/>
    <w:next w:val="BoxBodyText"/>
    <w:rsid w:val="00FF5D24"/>
    <w:pPr>
      <w:spacing w:before="240" w:after="240"/>
      <w:jc w:val="center"/>
    </w:pPr>
    <w:rPr>
      <w:rFonts w:ascii="Arial" w:hAnsi="Arial" w:cs="Arial"/>
      <w:b/>
      <w:bCs/>
      <w:sz w:val="18"/>
    </w:rPr>
  </w:style>
  <w:style w:type="paragraph" w:customStyle="1" w:styleId="Cell">
    <w:name w:val="Cell"/>
    <w:basedOn w:val="Normal"/>
    <w:rsid w:val="00FF5D24"/>
    <w:pPr>
      <w:tabs>
        <w:tab w:val="clear" w:pos="850"/>
        <w:tab w:val="clear" w:pos="1191"/>
        <w:tab w:val="clear" w:pos="1531"/>
      </w:tabs>
      <w:jc w:val="left"/>
    </w:pPr>
    <w:rPr>
      <w:rFonts w:ascii="Arial" w:hAnsi="Arial" w:cs="Arial"/>
      <w:sz w:val="18"/>
      <w:szCs w:val="18"/>
    </w:rPr>
  </w:style>
  <w:style w:type="paragraph" w:customStyle="1" w:styleId="ColumnsHeading">
    <w:name w:val="Columns Heading"/>
    <w:basedOn w:val="Normal"/>
    <w:rsid w:val="00FF5D24"/>
    <w:pPr>
      <w:tabs>
        <w:tab w:val="clear" w:pos="850"/>
        <w:tab w:val="clear" w:pos="1191"/>
        <w:tab w:val="clear" w:pos="1531"/>
      </w:tabs>
      <w:jc w:val="center"/>
    </w:pPr>
    <w:rPr>
      <w:rFonts w:ascii="Arial" w:hAnsi="Arial" w:cs="Arial"/>
      <w:sz w:val="18"/>
      <w:szCs w:val="18"/>
    </w:rPr>
  </w:style>
  <w:style w:type="paragraph" w:customStyle="1" w:styleId="ConclusionHeading">
    <w:name w:val="Conclusion Heading"/>
    <w:basedOn w:val="Normal"/>
    <w:next w:val="BodyText"/>
    <w:rsid w:val="00FF5D24"/>
    <w:pPr>
      <w:keepNext/>
      <w:spacing w:before="1200" w:after="720"/>
      <w:jc w:val="center"/>
    </w:pPr>
    <w:rPr>
      <w:b/>
      <w:bCs/>
      <w:caps/>
    </w:rPr>
  </w:style>
  <w:style w:type="paragraph" w:customStyle="1" w:styleId="DefinitionList">
    <w:name w:val="Definition List"/>
    <w:basedOn w:val="BodyText"/>
    <w:rsid w:val="00FF5D24"/>
    <w:pPr>
      <w:tabs>
        <w:tab w:val="clear" w:pos="850"/>
        <w:tab w:val="clear" w:pos="1191"/>
        <w:tab w:val="clear" w:pos="1531"/>
      </w:tabs>
      <w:ind w:left="1984" w:hanging="1984"/>
      <w:jc w:val="center"/>
    </w:pPr>
  </w:style>
  <w:style w:type="paragraph" w:styleId="EndnoteText">
    <w:name w:val="endnote text"/>
    <w:basedOn w:val="Normal"/>
    <w:semiHidden/>
    <w:rsid w:val="00FF5D24"/>
    <w:pPr>
      <w:spacing w:after="240"/>
      <w:ind w:left="850" w:hanging="850"/>
    </w:pPr>
    <w:rPr>
      <w:sz w:val="20"/>
      <w:szCs w:val="20"/>
    </w:rPr>
  </w:style>
  <w:style w:type="paragraph" w:customStyle="1" w:styleId="EndnotesHeading">
    <w:name w:val="Endnotes Heading"/>
    <w:basedOn w:val="Normal"/>
    <w:next w:val="BodyText"/>
    <w:rsid w:val="00FF5D24"/>
    <w:pPr>
      <w:keepNext/>
      <w:spacing w:before="1200" w:after="480"/>
      <w:jc w:val="center"/>
    </w:pPr>
    <w:rPr>
      <w:b/>
      <w:bCs/>
      <w:caps/>
    </w:rPr>
  </w:style>
  <w:style w:type="paragraph" w:customStyle="1" w:styleId="ExecutiveSummaryHeading">
    <w:name w:val="Executive Summary Heading"/>
    <w:basedOn w:val="Normal"/>
    <w:next w:val="BodyText"/>
    <w:rsid w:val="00FF5D24"/>
    <w:pPr>
      <w:keepNext/>
      <w:spacing w:before="1200" w:after="720"/>
      <w:jc w:val="center"/>
    </w:pPr>
    <w:rPr>
      <w:b/>
      <w:bCs/>
      <w:caps/>
    </w:rPr>
  </w:style>
  <w:style w:type="paragraph" w:customStyle="1" w:styleId="FigureNote">
    <w:name w:val="Figure Note"/>
    <w:basedOn w:val="Normal"/>
    <w:rsid w:val="00FF5D24"/>
    <w:pPr>
      <w:spacing w:after="120"/>
    </w:pPr>
    <w:rPr>
      <w:rFonts w:ascii="Arial" w:hAnsi="Arial" w:cs="Arial"/>
      <w:sz w:val="16"/>
      <w:szCs w:val="18"/>
    </w:rPr>
  </w:style>
  <w:style w:type="paragraph" w:customStyle="1" w:styleId="FigureSub-title">
    <w:name w:val="Figure Sub-title"/>
    <w:basedOn w:val="Normal"/>
    <w:rsid w:val="00FF5D24"/>
    <w:pPr>
      <w:keepNext/>
      <w:spacing w:after="120"/>
      <w:jc w:val="center"/>
    </w:pPr>
    <w:rPr>
      <w:rFonts w:ascii="Arial" w:hAnsi="Arial" w:cs="Arial"/>
      <w:sz w:val="18"/>
    </w:rPr>
  </w:style>
  <w:style w:type="paragraph" w:customStyle="1" w:styleId="FigureTitle">
    <w:name w:val="Figure Title"/>
    <w:basedOn w:val="Normal"/>
    <w:next w:val="FigureSub-title"/>
    <w:rsid w:val="00FF5D24"/>
    <w:pPr>
      <w:keepNext/>
      <w:spacing w:after="240"/>
      <w:jc w:val="center"/>
    </w:pPr>
    <w:rPr>
      <w:rFonts w:ascii="Arial" w:hAnsi="Arial" w:cs="Arial"/>
      <w:b/>
      <w:bCs/>
      <w:sz w:val="18"/>
    </w:rPr>
  </w:style>
  <w:style w:type="character" w:styleId="FootnoteReference">
    <w:name w:val="footnote reference"/>
    <w:basedOn w:val="DefaultParagraphFont"/>
    <w:semiHidden/>
    <w:rsid w:val="00FF5D24"/>
    <w:rPr>
      <w:vertAlign w:val="superscript"/>
    </w:rPr>
  </w:style>
  <w:style w:type="paragraph" w:styleId="FootnoteText">
    <w:name w:val="footnote text"/>
    <w:basedOn w:val="Normal"/>
    <w:link w:val="FootnoteTextChar"/>
    <w:uiPriority w:val="99"/>
    <w:semiHidden/>
    <w:rsid w:val="00FF5D24"/>
    <w:pPr>
      <w:spacing w:after="120"/>
      <w:ind w:left="850" w:hanging="850"/>
    </w:pPr>
    <w:rPr>
      <w:sz w:val="20"/>
      <w:szCs w:val="20"/>
    </w:rPr>
  </w:style>
  <w:style w:type="paragraph" w:customStyle="1" w:styleId="ForewordHeading">
    <w:name w:val="Foreword Heading"/>
    <w:basedOn w:val="Normal"/>
    <w:next w:val="BodyText"/>
    <w:rsid w:val="00FF5D24"/>
    <w:pPr>
      <w:keepNext/>
      <w:spacing w:before="1200" w:after="720"/>
      <w:jc w:val="center"/>
    </w:pPr>
    <w:rPr>
      <w:b/>
      <w:bCs/>
      <w:caps/>
    </w:rPr>
  </w:style>
  <w:style w:type="paragraph" w:customStyle="1" w:styleId="GlossaryHeading">
    <w:name w:val="Glossary Heading"/>
    <w:basedOn w:val="Normal"/>
    <w:next w:val="BodyText"/>
    <w:rsid w:val="00FF5D24"/>
    <w:pPr>
      <w:keepNext/>
      <w:spacing w:before="1200" w:after="720"/>
      <w:jc w:val="center"/>
    </w:pPr>
    <w:rPr>
      <w:b/>
      <w:bCs/>
      <w:caps/>
    </w:rPr>
  </w:style>
  <w:style w:type="paragraph" w:customStyle="1" w:styleId="Graphic">
    <w:name w:val="Graphic"/>
    <w:basedOn w:val="Normal"/>
    <w:next w:val="BodyText"/>
    <w:rsid w:val="00FF5D24"/>
    <w:pPr>
      <w:spacing w:after="240"/>
      <w:jc w:val="center"/>
    </w:pPr>
  </w:style>
  <w:style w:type="paragraph" w:customStyle="1" w:styleId="HiddenText">
    <w:name w:val="Hidden Text"/>
    <w:basedOn w:val="BodyText"/>
    <w:rsid w:val="00FF5D24"/>
    <w:pPr>
      <w:keepNext/>
      <w:spacing w:after="0"/>
      <w:ind w:left="442" w:firstLine="0"/>
    </w:pPr>
    <w:rPr>
      <w:sz w:val="2"/>
      <w:szCs w:val="2"/>
    </w:rPr>
  </w:style>
  <w:style w:type="paragraph" w:customStyle="1" w:styleId="Highlight">
    <w:name w:val="Highlight"/>
    <w:basedOn w:val="BodyText"/>
    <w:rsid w:val="00FF5D24"/>
    <w:pPr>
      <w:ind w:left="442" w:firstLine="0"/>
    </w:pPr>
    <w:rPr>
      <w:i/>
      <w:iCs/>
    </w:rPr>
  </w:style>
  <w:style w:type="paragraph" w:customStyle="1" w:styleId="HighlightHeading">
    <w:name w:val="Highlight Heading"/>
    <w:basedOn w:val="Normal"/>
    <w:next w:val="BodyText"/>
    <w:rsid w:val="00FF5D24"/>
    <w:pPr>
      <w:keepNext/>
      <w:spacing w:before="1200" w:after="720"/>
      <w:jc w:val="center"/>
    </w:pPr>
    <w:rPr>
      <w:b/>
      <w:bCs/>
      <w:caps/>
    </w:rPr>
  </w:style>
  <w:style w:type="paragraph" w:styleId="Index1">
    <w:name w:val="index 1"/>
    <w:basedOn w:val="Normal"/>
    <w:next w:val="Normal"/>
    <w:semiHidden/>
    <w:rsid w:val="00FF5D24"/>
    <w:pPr>
      <w:ind w:left="220" w:hanging="220"/>
    </w:pPr>
  </w:style>
  <w:style w:type="paragraph" w:styleId="IndexHeading">
    <w:name w:val="index heading"/>
    <w:basedOn w:val="Normal"/>
    <w:next w:val="BodyText"/>
    <w:semiHidden/>
    <w:rsid w:val="00FF5D24"/>
    <w:pPr>
      <w:keepNext/>
      <w:spacing w:before="1200" w:after="720"/>
      <w:jc w:val="center"/>
    </w:pPr>
    <w:rPr>
      <w:b/>
      <w:bCs/>
      <w:caps/>
    </w:rPr>
  </w:style>
  <w:style w:type="paragraph" w:customStyle="1" w:styleId="IntroductionHeading">
    <w:name w:val="Introduction Heading"/>
    <w:basedOn w:val="Normal"/>
    <w:next w:val="BodyText"/>
    <w:rsid w:val="00FF5D24"/>
    <w:pPr>
      <w:keepNext/>
      <w:spacing w:before="1200" w:after="720"/>
      <w:jc w:val="center"/>
    </w:pPr>
    <w:rPr>
      <w:b/>
      <w:bCs/>
      <w:caps/>
    </w:rPr>
  </w:style>
  <w:style w:type="paragraph" w:styleId="List">
    <w:name w:val="List"/>
    <w:basedOn w:val="Normal"/>
    <w:rsid w:val="00FF5D24"/>
    <w:pPr>
      <w:spacing w:after="240"/>
      <w:ind w:left="850" w:hanging="283"/>
    </w:pPr>
  </w:style>
  <w:style w:type="paragraph" w:styleId="List2">
    <w:name w:val="List 2"/>
    <w:basedOn w:val="Normal"/>
    <w:rsid w:val="00FF5D24"/>
    <w:pPr>
      <w:spacing w:after="240"/>
      <w:ind w:left="1134" w:hanging="283"/>
    </w:pPr>
  </w:style>
  <w:style w:type="paragraph" w:styleId="List3">
    <w:name w:val="List 3"/>
    <w:basedOn w:val="Normal"/>
    <w:rsid w:val="00FF5D24"/>
    <w:pPr>
      <w:spacing w:after="240"/>
      <w:ind w:left="1417" w:hanging="283"/>
    </w:pPr>
  </w:style>
  <w:style w:type="paragraph" w:styleId="List4">
    <w:name w:val="List 4"/>
    <w:basedOn w:val="Normal"/>
    <w:rsid w:val="00FF5D24"/>
    <w:pPr>
      <w:spacing w:after="240"/>
      <w:ind w:left="1701" w:hanging="283"/>
    </w:pPr>
  </w:style>
  <w:style w:type="paragraph" w:styleId="List5">
    <w:name w:val="List 5"/>
    <w:basedOn w:val="Normal"/>
    <w:rsid w:val="00FF5D24"/>
    <w:pPr>
      <w:spacing w:after="240"/>
      <w:ind w:left="1984" w:hanging="283"/>
    </w:pPr>
  </w:style>
  <w:style w:type="paragraph" w:styleId="ListBullet">
    <w:name w:val="List Bullet"/>
    <w:basedOn w:val="Normal"/>
    <w:rsid w:val="00FF5D24"/>
    <w:pPr>
      <w:numPr>
        <w:numId w:val="5"/>
      </w:numPr>
      <w:tabs>
        <w:tab w:val="clear" w:pos="1191"/>
        <w:tab w:val="clear" w:pos="1531"/>
      </w:tabs>
      <w:spacing w:after="240"/>
    </w:pPr>
  </w:style>
  <w:style w:type="paragraph" w:styleId="ListBullet2">
    <w:name w:val="List Bullet 2"/>
    <w:basedOn w:val="Normal"/>
    <w:rsid w:val="00FF5D24"/>
    <w:pPr>
      <w:numPr>
        <w:numId w:val="6"/>
      </w:numPr>
      <w:tabs>
        <w:tab w:val="clear" w:pos="850"/>
        <w:tab w:val="clear" w:pos="1531"/>
      </w:tabs>
      <w:spacing w:after="240"/>
    </w:pPr>
  </w:style>
  <w:style w:type="paragraph" w:styleId="ListBullet3">
    <w:name w:val="List Bullet 3"/>
    <w:basedOn w:val="Normal"/>
    <w:rsid w:val="00FF5D24"/>
    <w:pPr>
      <w:numPr>
        <w:numId w:val="7"/>
      </w:numPr>
      <w:tabs>
        <w:tab w:val="clear" w:pos="850"/>
        <w:tab w:val="clear" w:pos="1191"/>
        <w:tab w:val="clear" w:pos="1531"/>
      </w:tabs>
      <w:spacing w:after="240"/>
    </w:pPr>
  </w:style>
  <w:style w:type="paragraph" w:styleId="ListBullet4">
    <w:name w:val="List Bullet 4"/>
    <w:basedOn w:val="Normal"/>
    <w:rsid w:val="00FF5D24"/>
    <w:pPr>
      <w:numPr>
        <w:numId w:val="8"/>
      </w:numPr>
      <w:tabs>
        <w:tab w:val="clear" w:pos="850"/>
        <w:tab w:val="clear" w:pos="1191"/>
        <w:tab w:val="clear" w:pos="1531"/>
      </w:tabs>
      <w:spacing w:after="240"/>
    </w:pPr>
  </w:style>
  <w:style w:type="paragraph" w:styleId="ListBullet5">
    <w:name w:val="List Bullet 5"/>
    <w:basedOn w:val="Normal"/>
    <w:rsid w:val="00FF5D24"/>
    <w:pPr>
      <w:numPr>
        <w:numId w:val="9"/>
      </w:numPr>
      <w:tabs>
        <w:tab w:val="clear" w:pos="850"/>
        <w:tab w:val="clear" w:pos="1191"/>
        <w:tab w:val="clear" w:pos="1531"/>
      </w:tabs>
      <w:spacing w:after="240"/>
    </w:pPr>
  </w:style>
  <w:style w:type="paragraph" w:styleId="ListContinue">
    <w:name w:val="List Continue"/>
    <w:basedOn w:val="Normal"/>
    <w:rsid w:val="00FF5D24"/>
    <w:pPr>
      <w:tabs>
        <w:tab w:val="clear" w:pos="850"/>
        <w:tab w:val="clear" w:pos="1191"/>
        <w:tab w:val="clear" w:pos="1531"/>
      </w:tabs>
      <w:spacing w:after="240"/>
      <w:ind w:left="850"/>
    </w:pPr>
  </w:style>
  <w:style w:type="paragraph" w:styleId="ListContinue2">
    <w:name w:val="List Continue 2"/>
    <w:basedOn w:val="Normal"/>
    <w:rsid w:val="00FF5D24"/>
    <w:pPr>
      <w:tabs>
        <w:tab w:val="clear" w:pos="850"/>
        <w:tab w:val="clear" w:pos="1191"/>
        <w:tab w:val="clear" w:pos="1531"/>
      </w:tabs>
      <w:spacing w:after="240"/>
      <w:ind w:left="1191"/>
    </w:pPr>
  </w:style>
  <w:style w:type="paragraph" w:styleId="ListContinue3">
    <w:name w:val="List Continue 3"/>
    <w:basedOn w:val="Normal"/>
    <w:rsid w:val="00FF5D24"/>
    <w:pPr>
      <w:tabs>
        <w:tab w:val="clear" w:pos="850"/>
        <w:tab w:val="clear" w:pos="1191"/>
        <w:tab w:val="clear" w:pos="1531"/>
      </w:tabs>
      <w:spacing w:after="240"/>
      <w:ind w:left="1474"/>
    </w:pPr>
  </w:style>
  <w:style w:type="paragraph" w:styleId="ListContinue4">
    <w:name w:val="List Continue 4"/>
    <w:basedOn w:val="Normal"/>
    <w:rsid w:val="00FF5D24"/>
    <w:pPr>
      <w:tabs>
        <w:tab w:val="clear" w:pos="850"/>
        <w:tab w:val="clear" w:pos="1191"/>
        <w:tab w:val="clear" w:pos="1531"/>
      </w:tabs>
      <w:spacing w:after="240"/>
      <w:ind w:left="1757"/>
    </w:pPr>
  </w:style>
  <w:style w:type="paragraph" w:styleId="ListContinue5">
    <w:name w:val="List Continue 5"/>
    <w:basedOn w:val="Normal"/>
    <w:rsid w:val="00FF5D24"/>
    <w:pPr>
      <w:tabs>
        <w:tab w:val="clear" w:pos="850"/>
        <w:tab w:val="clear" w:pos="1191"/>
        <w:tab w:val="clear" w:pos="1531"/>
      </w:tabs>
      <w:spacing w:after="240"/>
      <w:ind w:left="2041"/>
    </w:pPr>
  </w:style>
  <w:style w:type="paragraph" w:styleId="ListNumber">
    <w:name w:val="List Number"/>
    <w:basedOn w:val="Normal"/>
    <w:rsid w:val="00FF5D24"/>
    <w:pPr>
      <w:numPr>
        <w:numId w:val="10"/>
      </w:numPr>
      <w:tabs>
        <w:tab w:val="clear" w:pos="1191"/>
        <w:tab w:val="clear" w:pos="1531"/>
        <w:tab w:val="left" w:pos="1134"/>
      </w:tabs>
      <w:spacing w:after="240"/>
    </w:pPr>
  </w:style>
  <w:style w:type="paragraph" w:styleId="ListNumber2">
    <w:name w:val="List Number 2"/>
    <w:basedOn w:val="Normal"/>
    <w:rsid w:val="00FF5D24"/>
    <w:pPr>
      <w:numPr>
        <w:ilvl w:val="1"/>
        <w:numId w:val="10"/>
      </w:numPr>
      <w:tabs>
        <w:tab w:val="clear" w:pos="850"/>
        <w:tab w:val="clear" w:pos="1531"/>
        <w:tab w:val="left" w:pos="1417"/>
      </w:tabs>
      <w:spacing w:after="240"/>
    </w:pPr>
  </w:style>
  <w:style w:type="paragraph" w:styleId="ListNumber3">
    <w:name w:val="List Number 3"/>
    <w:basedOn w:val="Normal"/>
    <w:rsid w:val="00FF5D24"/>
    <w:pPr>
      <w:numPr>
        <w:ilvl w:val="2"/>
        <w:numId w:val="10"/>
      </w:numPr>
      <w:tabs>
        <w:tab w:val="clear" w:pos="850"/>
        <w:tab w:val="clear" w:pos="1191"/>
        <w:tab w:val="clear" w:pos="1531"/>
        <w:tab w:val="left" w:pos="1701"/>
      </w:tabs>
      <w:spacing w:after="240"/>
    </w:pPr>
  </w:style>
  <w:style w:type="paragraph" w:styleId="ListNumber4">
    <w:name w:val="List Number 4"/>
    <w:basedOn w:val="Normal"/>
    <w:rsid w:val="00FF5D24"/>
    <w:pPr>
      <w:numPr>
        <w:ilvl w:val="3"/>
        <w:numId w:val="10"/>
      </w:numPr>
      <w:tabs>
        <w:tab w:val="clear" w:pos="850"/>
        <w:tab w:val="clear" w:pos="1191"/>
        <w:tab w:val="clear" w:pos="1531"/>
        <w:tab w:val="left" w:pos="1984"/>
      </w:tabs>
      <w:spacing w:after="240"/>
    </w:pPr>
  </w:style>
  <w:style w:type="paragraph" w:styleId="ListNumber5">
    <w:name w:val="List Number 5"/>
    <w:basedOn w:val="Normal"/>
    <w:rsid w:val="00FF5D24"/>
    <w:pPr>
      <w:numPr>
        <w:ilvl w:val="4"/>
        <w:numId w:val="10"/>
      </w:numPr>
      <w:tabs>
        <w:tab w:val="clear" w:pos="850"/>
        <w:tab w:val="clear" w:pos="1191"/>
        <w:tab w:val="clear" w:pos="1531"/>
        <w:tab w:val="left" w:pos="2268"/>
      </w:tabs>
      <w:spacing w:after="240"/>
    </w:pPr>
  </w:style>
  <w:style w:type="paragraph" w:customStyle="1" w:styleId="Num-ChapParagraph">
    <w:name w:val="Num-Chap Paragraph"/>
    <w:basedOn w:val="BodyText"/>
    <w:rsid w:val="00FF5D24"/>
    <w:pPr>
      <w:ind w:firstLine="0"/>
    </w:pPr>
  </w:style>
  <w:style w:type="paragraph" w:customStyle="1" w:styleId="Num-DocParagraph">
    <w:name w:val="Num-Doc Paragraph"/>
    <w:basedOn w:val="BodyText"/>
    <w:rsid w:val="00FF5D24"/>
    <w:pPr>
      <w:ind w:firstLine="0"/>
    </w:pPr>
  </w:style>
  <w:style w:type="paragraph" w:customStyle="1" w:styleId="PartHeading">
    <w:name w:val="Part Heading"/>
    <w:basedOn w:val="Normal"/>
    <w:next w:val="BodyText"/>
    <w:rsid w:val="00FF5D24"/>
    <w:pPr>
      <w:keepNext/>
      <w:spacing w:before="1200" w:after="720"/>
      <w:jc w:val="center"/>
    </w:pPr>
    <w:rPr>
      <w:b/>
      <w:bCs/>
      <w:caps/>
    </w:rPr>
  </w:style>
  <w:style w:type="paragraph" w:customStyle="1" w:styleId="RowsHeading">
    <w:name w:val="Rows Heading"/>
    <w:basedOn w:val="Normal"/>
    <w:rsid w:val="00FF5D24"/>
    <w:pPr>
      <w:tabs>
        <w:tab w:val="clear" w:pos="850"/>
        <w:tab w:val="clear" w:pos="1191"/>
        <w:tab w:val="clear" w:pos="1531"/>
      </w:tabs>
      <w:jc w:val="left"/>
    </w:pPr>
    <w:rPr>
      <w:rFonts w:ascii="Arial" w:hAnsi="Arial" w:cs="Arial"/>
      <w:sz w:val="18"/>
      <w:szCs w:val="18"/>
    </w:rPr>
  </w:style>
  <w:style w:type="paragraph" w:customStyle="1" w:styleId="SourceDescription">
    <w:name w:val="Source Description"/>
    <w:basedOn w:val="Normal"/>
    <w:next w:val="BodyText"/>
    <w:rsid w:val="00FF5D24"/>
    <w:pPr>
      <w:spacing w:after="360"/>
    </w:pPr>
    <w:rPr>
      <w:rFonts w:ascii="Arial" w:hAnsi="Arial" w:cs="Arial"/>
      <w:sz w:val="16"/>
      <w:szCs w:val="18"/>
    </w:rPr>
  </w:style>
  <w:style w:type="paragraph" w:customStyle="1" w:styleId="SubHeading">
    <w:name w:val="SubHeading"/>
    <w:basedOn w:val="BodyText"/>
    <w:rsid w:val="00FF5D24"/>
    <w:pPr>
      <w:ind w:left="442" w:firstLine="0"/>
    </w:pPr>
    <w:rPr>
      <w:i/>
      <w:iCs/>
    </w:rPr>
  </w:style>
  <w:style w:type="paragraph" w:customStyle="1" w:styleId="SummaryHeading">
    <w:name w:val="Summary Heading"/>
    <w:basedOn w:val="Normal"/>
    <w:next w:val="BodyText"/>
    <w:rsid w:val="00FF5D24"/>
    <w:pPr>
      <w:keepNext/>
      <w:spacing w:before="1200" w:after="720"/>
      <w:jc w:val="center"/>
    </w:pPr>
    <w:rPr>
      <w:b/>
      <w:bCs/>
      <w:caps/>
    </w:rPr>
  </w:style>
  <w:style w:type="paragraph" w:customStyle="1" w:styleId="Table">
    <w:name w:val="Table"/>
    <w:basedOn w:val="Normal"/>
    <w:next w:val="BodyText"/>
    <w:rsid w:val="00FF5D24"/>
    <w:pPr>
      <w:spacing w:after="240"/>
      <w:jc w:val="center"/>
    </w:pPr>
  </w:style>
  <w:style w:type="paragraph" w:customStyle="1" w:styleId="TableNote">
    <w:name w:val="Table Note"/>
    <w:basedOn w:val="Normal"/>
    <w:rsid w:val="00FF5D24"/>
    <w:pPr>
      <w:spacing w:after="120"/>
      <w:jc w:val="left"/>
    </w:pPr>
    <w:rPr>
      <w:rFonts w:ascii="Arial" w:hAnsi="Arial" w:cs="Arial"/>
      <w:sz w:val="16"/>
      <w:szCs w:val="18"/>
    </w:rPr>
  </w:style>
  <w:style w:type="paragraph" w:customStyle="1" w:styleId="TableofContentsHeading">
    <w:name w:val="Table of Contents Heading"/>
    <w:basedOn w:val="Normal"/>
    <w:next w:val="BodyText"/>
    <w:rsid w:val="00FF5D24"/>
    <w:pPr>
      <w:keepNext/>
      <w:spacing w:before="1200" w:after="720"/>
      <w:jc w:val="center"/>
    </w:pPr>
    <w:rPr>
      <w:b/>
      <w:bCs/>
      <w:caps/>
    </w:rPr>
  </w:style>
  <w:style w:type="paragraph" w:customStyle="1" w:styleId="TableSub-title">
    <w:name w:val="Table Sub-title"/>
    <w:basedOn w:val="Normal"/>
    <w:rsid w:val="00FF5D24"/>
    <w:pPr>
      <w:keepNext/>
      <w:spacing w:after="240"/>
      <w:jc w:val="center"/>
    </w:pPr>
    <w:rPr>
      <w:rFonts w:ascii="Arial" w:hAnsi="Arial" w:cs="Arial"/>
      <w:sz w:val="18"/>
    </w:rPr>
  </w:style>
  <w:style w:type="paragraph" w:customStyle="1" w:styleId="TableTitle">
    <w:name w:val="Table Title"/>
    <w:basedOn w:val="Normal"/>
    <w:rsid w:val="00FF5D24"/>
    <w:pPr>
      <w:keepNext/>
      <w:spacing w:after="240"/>
      <w:jc w:val="center"/>
    </w:pPr>
    <w:rPr>
      <w:rFonts w:ascii="Arial" w:hAnsi="Arial" w:cs="Arial"/>
      <w:b/>
      <w:bCs/>
      <w:sz w:val="18"/>
    </w:rPr>
  </w:style>
  <w:style w:type="paragraph" w:customStyle="1" w:styleId="TextBox">
    <w:name w:val="Text Box"/>
    <w:basedOn w:val="BodyText"/>
    <w:rsid w:val="00FF5D24"/>
    <w:pPr>
      <w:pBdr>
        <w:top w:val="single" w:sz="6" w:space="1" w:color="auto"/>
        <w:left w:val="single" w:sz="6" w:space="1" w:color="auto"/>
        <w:bottom w:val="single" w:sz="6" w:space="1" w:color="auto"/>
        <w:right w:val="single" w:sz="6" w:space="1" w:color="auto"/>
      </w:pBdr>
      <w:ind w:firstLine="0"/>
    </w:pPr>
    <w:rPr>
      <w:rFonts w:ascii="Arial" w:hAnsi="Arial" w:cs="Arial"/>
      <w:sz w:val="18"/>
    </w:rPr>
  </w:style>
  <w:style w:type="paragraph" w:customStyle="1" w:styleId="TextBoxHeading">
    <w:name w:val="Text Box Heading"/>
    <w:basedOn w:val="TextBox"/>
    <w:next w:val="TextBox"/>
    <w:rsid w:val="00FF5D24"/>
    <w:pPr>
      <w:jc w:val="center"/>
    </w:pPr>
    <w:rPr>
      <w:b/>
      <w:bCs/>
    </w:rPr>
  </w:style>
  <w:style w:type="paragraph" w:styleId="TOC1">
    <w:name w:val="toc 1"/>
    <w:basedOn w:val="Normal"/>
    <w:next w:val="Normal"/>
    <w:uiPriority w:val="39"/>
    <w:qFormat/>
    <w:rsid w:val="00FF5D24"/>
    <w:pPr>
      <w:tabs>
        <w:tab w:val="clear" w:pos="850"/>
        <w:tab w:val="clear" w:pos="1191"/>
        <w:tab w:val="clear" w:pos="1531"/>
        <w:tab w:val="right" w:leader="dot" w:pos="9468"/>
      </w:tabs>
      <w:spacing w:before="120" w:after="120"/>
    </w:pPr>
    <w:rPr>
      <w:caps/>
    </w:rPr>
  </w:style>
  <w:style w:type="paragraph" w:styleId="TOC2">
    <w:name w:val="toc 2"/>
    <w:basedOn w:val="Normal"/>
    <w:next w:val="Normal"/>
    <w:uiPriority w:val="39"/>
    <w:qFormat/>
    <w:rsid w:val="00FF5D24"/>
    <w:pPr>
      <w:tabs>
        <w:tab w:val="clear" w:pos="850"/>
        <w:tab w:val="clear" w:pos="1191"/>
        <w:tab w:val="clear" w:pos="1531"/>
        <w:tab w:val="right" w:leader="dot" w:pos="9468"/>
      </w:tabs>
      <w:ind w:left="198"/>
    </w:pPr>
  </w:style>
  <w:style w:type="paragraph" w:styleId="TOC3">
    <w:name w:val="toc 3"/>
    <w:basedOn w:val="Normal"/>
    <w:next w:val="Normal"/>
    <w:uiPriority w:val="39"/>
    <w:qFormat/>
    <w:rsid w:val="00FF5D24"/>
    <w:pPr>
      <w:tabs>
        <w:tab w:val="clear" w:pos="850"/>
        <w:tab w:val="clear" w:pos="1191"/>
        <w:tab w:val="clear" w:pos="1531"/>
        <w:tab w:val="right" w:leader="dot" w:pos="9468"/>
      </w:tabs>
      <w:ind w:left="397"/>
    </w:pPr>
  </w:style>
  <w:style w:type="paragraph" w:styleId="TOC4">
    <w:name w:val="toc 4"/>
    <w:basedOn w:val="Normal"/>
    <w:next w:val="Normal"/>
    <w:qFormat/>
    <w:rsid w:val="00FF5D24"/>
    <w:pPr>
      <w:tabs>
        <w:tab w:val="clear" w:pos="850"/>
        <w:tab w:val="clear" w:pos="1191"/>
        <w:tab w:val="clear" w:pos="1531"/>
        <w:tab w:val="right" w:leader="dot" w:pos="9468"/>
      </w:tabs>
      <w:ind w:left="595"/>
    </w:pPr>
    <w:rPr>
      <w:noProof/>
    </w:rPr>
  </w:style>
  <w:style w:type="paragraph" w:styleId="TOC5">
    <w:name w:val="toc 5"/>
    <w:basedOn w:val="Normal"/>
    <w:next w:val="Normal"/>
    <w:qFormat/>
    <w:rsid w:val="00FF5D24"/>
    <w:pPr>
      <w:tabs>
        <w:tab w:val="clear" w:pos="850"/>
        <w:tab w:val="clear" w:pos="1191"/>
        <w:tab w:val="clear" w:pos="1531"/>
        <w:tab w:val="right" w:leader="dot" w:pos="9468"/>
      </w:tabs>
      <w:ind w:left="794"/>
    </w:pPr>
    <w:rPr>
      <w:noProof/>
    </w:rPr>
  </w:style>
  <w:style w:type="paragraph" w:customStyle="1" w:styleId="IndexHeading1">
    <w:name w:val="Index Heading1"/>
    <w:basedOn w:val="Normal"/>
    <w:next w:val="BodyText"/>
    <w:rsid w:val="00FF5D24"/>
    <w:pPr>
      <w:keepNext/>
      <w:spacing w:before="1200" w:after="720"/>
      <w:jc w:val="center"/>
    </w:pPr>
    <w:rPr>
      <w:b/>
      <w:caps/>
      <w:lang w:val="en-US"/>
    </w:rPr>
  </w:style>
  <w:style w:type="paragraph" w:styleId="BlockText">
    <w:name w:val="Block Text"/>
    <w:basedOn w:val="Normal"/>
    <w:rsid w:val="00FF5D24"/>
    <w:pPr>
      <w:spacing w:after="120"/>
      <w:ind w:left="1440" w:right="1440"/>
    </w:pPr>
  </w:style>
  <w:style w:type="paragraph" w:styleId="TOC9">
    <w:name w:val="toc 9"/>
    <w:basedOn w:val="Normal"/>
    <w:next w:val="Normal"/>
    <w:qFormat/>
    <w:rsid w:val="00FF5D24"/>
    <w:pPr>
      <w:tabs>
        <w:tab w:val="clear" w:pos="850"/>
        <w:tab w:val="clear" w:pos="1191"/>
        <w:tab w:val="clear" w:pos="1531"/>
      </w:tabs>
      <w:ind w:left="1760"/>
    </w:pPr>
  </w:style>
  <w:style w:type="paragraph" w:customStyle="1" w:styleId="Abstract">
    <w:name w:val="Abstract"/>
    <w:basedOn w:val="BodyText"/>
    <w:rsid w:val="00FF5D24"/>
    <w:pPr>
      <w:pBdr>
        <w:top w:val="single" w:sz="4" w:space="1" w:color="auto"/>
        <w:left w:val="single" w:sz="4" w:space="4" w:color="auto"/>
        <w:bottom w:val="single" w:sz="4" w:space="1" w:color="auto"/>
        <w:right w:val="single" w:sz="4" w:space="4" w:color="auto"/>
      </w:pBdr>
      <w:ind w:left="442" w:firstLine="0"/>
    </w:pPr>
    <w:rPr>
      <w:lang w:val="en-US"/>
    </w:rPr>
  </w:style>
  <w:style w:type="paragraph" w:customStyle="1" w:styleId="Author">
    <w:name w:val="Author"/>
    <w:basedOn w:val="BodyText"/>
    <w:rsid w:val="00FF5D24"/>
    <w:pPr>
      <w:ind w:firstLine="0"/>
    </w:pPr>
    <w:rPr>
      <w:lang w:val="en-US"/>
    </w:rPr>
  </w:style>
  <w:style w:type="paragraph" w:customStyle="1" w:styleId="Chart">
    <w:name w:val="Chart"/>
    <w:basedOn w:val="Normal"/>
    <w:next w:val="BodyText"/>
    <w:rsid w:val="00FF5D24"/>
    <w:pPr>
      <w:spacing w:after="240"/>
      <w:jc w:val="center"/>
    </w:pPr>
    <w:rPr>
      <w:lang w:val="en-US"/>
    </w:rPr>
  </w:style>
  <w:style w:type="paragraph" w:customStyle="1" w:styleId="ChartSub-title">
    <w:name w:val="Chart Sub-title"/>
    <w:basedOn w:val="Normal"/>
    <w:rsid w:val="00FF5D24"/>
    <w:pPr>
      <w:keepNext/>
      <w:spacing w:after="120"/>
      <w:jc w:val="center"/>
    </w:pPr>
    <w:rPr>
      <w:rFonts w:ascii="Arial" w:hAnsi="Arial" w:cs="Arial"/>
      <w:sz w:val="18"/>
      <w:lang w:val="en-US"/>
    </w:rPr>
  </w:style>
  <w:style w:type="paragraph" w:customStyle="1" w:styleId="ChartTitle">
    <w:name w:val="Chart Title"/>
    <w:basedOn w:val="Normal"/>
    <w:next w:val="ChartSub-title"/>
    <w:rsid w:val="00FF5D24"/>
    <w:pPr>
      <w:keepNext/>
      <w:spacing w:after="240"/>
      <w:jc w:val="center"/>
    </w:pPr>
    <w:rPr>
      <w:rFonts w:ascii="Arial" w:hAnsi="Arial" w:cs="Arial"/>
      <w:b/>
      <w:sz w:val="18"/>
      <w:lang w:val="en-US"/>
    </w:rPr>
  </w:style>
  <w:style w:type="paragraph" w:customStyle="1" w:styleId="ChartNote">
    <w:name w:val="Chart Note"/>
    <w:basedOn w:val="Normal"/>
    <w:rsid w:val="00FF5D24"/>
    <w:pPr>
      <w:spacing w:after="120"/>
      <w:jc w:val="left"/>
    </w:pPr>
    <w:rPr>
      <w:rFonts w:ascii="Arial" w:hAnsi="Arial" w:cs="Arial"/>
      <w:sz w:val="16"/>
      <w:lang w:val="en-US"/>
    </w:rPr>
  </w:style>
  <w:style w:type="paragraph" w:customStyle="1" w:styleId="BoxHeading2">
    <w:name w:val="Box Heading 2"/>
    <w:basedOn w:val="Normal"/>
    <w:next w:val="BoxBodyText"/>
    <w:rsid w:val="00FF5D24"/>
    <w:pPr>
      <w:spacing w:before="240" w:after="240"/>
      <w:jc w:val="left"/>
    </w:pPr>
    <w:rPr>
      <w:rFonts w:ascii="Arial" w:hAnsi="Arial" w:cs="Arial"/>
      <w:b/>
      <w:sz w:val="18"/>
      <w:lang w:val="en-US"/>
    </w:rPr>
  </w:style>
  <w:style w:type="paragraph" w:customStyle="1" w:styleId="BoxHeading3">
    <w:name w:val="Box Heading 3"/>
    <w:basedOn w:val="Normal"/>
    <w:next w:val="BoxBodyText"/>
    <w:rsid w:val="00FF5D24"/>
    <w:pPr>
      <w:spacing w:before="240" w:after="240"/>
      <w:jc w:val="left"/>
    </w:pPr>
    <w:rPr>
      <w:rFonts w:ascii="Arial" w:hAnsi="Arial" w:cs="Arial"/>
      <w:b/>
      <w:i/>
      <w:sz w:val="18"/>
      <w:lang w:val="en-US"/>
    </w:rPr>
  </w:style>
  <w:style w:type="paragraph" w:customStyle="1" w:styleId="BoxNote">
    <w:name w:val="Box Note"/>
    <w:basedOn w:val="Normal"/>
    <w:rsid w:val="00FF5D24"/>
    <w:pPr>
      <w:tabs>
        <w:tab w:val="clear" w:pos="850"/>
        <w:tab w:val="clear" w:pos="1191"/>
        <w:tab w:val="clear" w:pos="1531"/>
        <w:tab w:val="left" w:pos="340"/>
      </w:tabs>
      <w:spacing w:after="120"/>
      <w:jc w:val="left"/>
    </w:pPr>
    <w:rPr>
      <w:rFonts w:ascii="Arial" w:hAnsi="Arial" w:cs="Arial"/>
      <w:sz w:val="18"/>
      <w:lang w:val="en-US"/>
    </w:rPr>
  </w:style>
  <w:style w:type="paragraph" w:customStyle="1" w:styleId="ListBulletBox">
    <w:name w:val="List Bullet Box"/>
    <w:basedOn w:val="Normal"/>
    <w:rsid w:val="00FF5D24"/>
    <w:pPr>
      <w:numPr>
        <w:numId w:val="11"/>
      </w:numPr>
      <w:tabs>
        <w:tab w:val="clear" w:pos="1191"/>
        <w:tab w:val="clear" w:pos="1531"/>
      </w:tabs>
      <w:spacing w:after="240"/>
    </w:pPr>
    <w:rPr>
      <w:rFonts w:ascii="Arial" w:hAnsi="Arial" w:cs="Arial"/>
      <w:sz w:val="18"/>
      <w:lang w:val="en-US"/>
    </w:rPr>
  </w:style>
  <w:style w:type="paragraph" w:customStyle="1" w:styleId="ListBulletBox2">
    <w:name w:val="List Bullet Box 2"/>
    <w:basedOn w:val="Normal"/>
    <w:rsid w:val="00FF5D24"/>
    <w:pPr>
      <w:numPr>
        <w:numId w:val="12"/>
      </w:numPr>
      <w:tabs>
        <w:tab w:val="clear" w:pos="850"/>
        <w:tab w:val="clear" w:pos="1531"/>
      </w:tabs>
      <w:spacing w:after="240"/>
    </w:pPr>
    <w:rPr>
      <w:rFonts w:ascii="Arial" w:hAnsi="Arial" w:cs="Arial"/>
      <w:sz w:val="18"/>
      <w:lang w:val="en-US"/>
    </w:rPr>
  </w:style>
  <w:style w:type="paragraph" w:customStyle="1" w:styleId="ListBulletBox3">
    <w:name w:val="List Bullet Box 3"/>
    <w:basedOn w:val="Normal"/>
    <w:rsid w:val="00FF5D24"/>
    <w:pPr>
      <w:numPr>
        <w:numId w:val="13"/>
      </w:numPr>
      <w:tabs>
        <w:tab w:val="clear" w:pos="850"/>
        <w:tab w:val="clear" w:pos="1191"/>
        <w:tab w:val="clear" w:pos="1531"/>
      </w:tabs>
      <w:spacing w:after="240"/>
    </w:pPr>
    <w:rPr>
      <w:rFonts w:ascii="Arial" w:hAnsi="Arial" w:cs="Arial"/>
      <w:sz w:val="18"/>
      <w:lang w:val="en-US"/>
    </w:rPr>
  </w:style>
  <w:style w:type="paragraph" w:customStyle="1" w:styleId="ListNumberBox">
    <w:name w:val="List Number Box"/>
    <w:basedOn w:val="Normal"/>
    <w:rsid w:val="00FF5D24"/>
    <w:pPr>
      <w:numPr>
        <w:numId w:val="14"/>
      </w:numPr>
      <w:tabs>
        <w:tab w:val="clear" w:pos="1191"/>
        <w:tab w:val="clear" w:pos="1531"/>
        <w:tab w:val="clear" w:pos="1950"/>
      </w:tabs>
      <w:spacing w:after="240"/>
      <w:ind w:left="850"/>
    </w:pPr>
    <w:rPr>
      <w:rFonts w:ascii="Arial" w:hAnsi="Arial" w:cs="Arial"/>
      <w:sz w:val="18"/>
      <w:lang w:val="en-US"/>
    </w:rPr>
  </w:style>
  <w:style w:type="paragraph" w:customStyle="1" w:styleId="ListNumberBox2">
    <w:name w:val="List Number Box 2"/>
    <w:basedOn w:val="Normal"/>
    <w:rsid w:val="00FF5D24"/>
    <w:pPr>
      <w:numPr>
        <w:ilvl w:val="1"/>
        <w:numId w:val="14"/>
      </w:numPr>
      <w:tabs>
        <w:tab w:val="clear" w:pos="850"/>
        <w:tab w:val="clear" w:pos="1531"/>
        <w:tab w:val="clear" w:pos="2291"/>
      </w:tabs>
      <w:spacing w:after="240"/>
      <w:ind w:left="1191" w:hanging="340"/>
    </w:pPr>
    <w:rPr>
      <w:rFonts w:ascii="Arial" w:hAnsi="Arial" w:cs="Arial"/>
      <w:sz w:val="18"/>
      <w:lang w:val="en-US"/>
    </w:rPr>
  </w:style>
  <w:style w:type="paragraph" w:customStyle="1" w:styleId="ListNumberBox3">
    <w:name w:val="List Number Box 3"/>
    <w:basedOn w:val="Normal"/>
    <w:rsid w:val="00FF5D24"/>
    <w:pPr>
      <w:numPr>
        <w:ilvl w:val="2"/>
        <w:numId w:val="14"/>
      </w:numPr>
      <w:tabs>
        <w:tab w:val="clear" w:pos="850"/>
        <w:tab w:val="clear" w:pos="1191"/>
        <w:tab w:val="clear" w:pos="1531"/>
        <w:tab w:val="clear" w:pos="2574"/>
        <w:tab w:val="left" w:pos="1474"/>
      </w:tabs>
      <w:spacing w:after="240"/>
      <w:ind w:left="1474"/>
    </w:pPr>
    <w:rPr>
      <w:rFonts w:ascii="Arial" w:hAnsi="Arial" w:cs="Arial"/>
      <w:sz w:val="18"/>
      <w:lang w:val="en-US"/>
    </w:rPr>
  </w:style>
  <w:style w:type="paragraph" w:customStyle="1" w:styleId="ListContinueBox">
    <w:name w:val="List Continue Box"/>
    <w:basedOn w:val="Normal"/>
    <w:rsid w:val="00FF5D24"/>
    <w:pPr>
      <w:tabs>
        <w:tab w:val="clear" w:pos="850"/>
        <w:tab w:val="clear" w:pos="1191"/>
        <w:tab w:val="clear" w:pos="1531"/>
      </w:tabs>
      <w:spacing w:after="240"/>
      <w:ind w:left="850"/>
    </w:pPr>
    <w:rPr>
      <w:rFonts w:ascii="Arial" w:hAnsi="Arial" w:cs="Arial"/>
      <w:sz w:val="18"/>
      <w:lang w:val="en-US"/>
    </w:rPr>
  </w:style>
  <w:style w:type="paragraph" w:customStyle="1" w:styleId="ListContinueBox2">
    <w:name w:val="List Continue Box 2"/>
    <w:basedOn w:val="Normal"/>
    <w:rsid w:val="00FF5D24"/>
    <w:pPr>
      <w:tabs>
        <w:tab w:val="clear" w:pos="850"/>
        <w:tab w:val="clear" w:pos="1191"/>
        <w:tab w:val="clear" w:pos="1531"/>
      </w:tabs>
      <w:spacing w:after="240"/>
      <w:ind w:left="1191"/>
    </w:pPr>
    <w:rPr>
      <w:rFonts w:ascii="Arial" w:hAnsi="Arial" w:cs="Arial"/>
      <w:sz w:val="18"/>
      <w:lang w:val="en-US"/>
    </w:rPr>
  </w:style>
  <w:style w:type="paragraph" w:customStyle="1" w:styleId="ListContinueBox3">
    <w:name w:val="List Continue Box 3"/>
    <w:basedOn w:val="Normal"/>
    <w:rsid w:val="00FF5D24"/>
    <w:pPr>
      <w:tabs>
        <w:tab w:val="clear" w:pos="850"/>
        <w:tab w:val="clear" w:pos="1191"/>
        <w:tab w:val="clear" w:pos="1531"/>
      </w:tabs>
      <w:spacing w:after="240"/>
      <w:ind w:left="1474"/>
    </w:pPr>
    <w:rPr>
      <w:rFonts w:ascii="Arial" w:hAnsi="Arial" w:cs="Arial"/>
      <w:sz w:val="18"/>
      <w:lang w:val="en-US"/>
    </w:rPr>
  </w:style>
  <w:style w:type="paragraph" w:customStyle="1" w:styleId="BoxSource">
    <w:name w:val="Box Source"/>
    <w:basedOn w:val="Normal"/>
    <w:next w:val="BodyText"/>
    <w:rsid w:val="00FF5D24"/>
    <w:pPr>
      <w:spacing w:after="360"/>
    </w:pPr>
    <w:rPr>
      <w:rFonts w:ascii="Arial" w:hAnsi="Arial" w:cs="Arial"/>
      <w:sz w:val="16"/>
      <w:lang w:val="en-US"/>
    </w:rPr>
  </w:style>
  <w:style w:type="character" w:customStyle="1" w:styleId="Cote">
    <w:name w:val="Cote"/>
    <w:basedOn w:val="DefaultParagraphFont"/>
    <w:rsid w:val="00FF5D24"/>
    <w:rPr>
      <w:caps/>
      <w:smallCaps w:val="0"/>
      <w:lang w:val="en-US"/>
    </w:rPr>
  </w:style>
  <w:style w:type="numbering" w:customStyle="1" w:styleId="NumberedNote">
    <w:name w:val="Numbered Note"/>
    <w:basedOn w:val="NoList"/>
    <w:rsid w:val="00FF5D24"/>
    <w:pPr>
      <w:numPr>
        <w:numId w:val="1"/>
      </w:numPr>
    </w:pPr>
  </w:style>
  <w:style w:type="numbering" w:customStyle="1" w:styleId="BulletedNote">
    <w:name w:val="Bulleted Note"/>
    <w:basedOn w:val="NoList"/>
    <w:rsid w:val="00FF5D24"/>
    <w:pPr>
      <w:numPr>
        <w:numId w:val="2"/>
      </w:numPr>
    </w:pPr>
  </w:style>
  <w:style w:type="numbering" w:customStyle="1" w:styleId="NumericNote">
    <w:name w:val="Numeric Note"/>
    <w:basedOn w:val="NoList"/>
    <w:rsid w:val="00FF5D24"/>
    <w:pPr>
      <w:numPr>
        <w:numId w:val="3"/>
      </w:numPr>
    </w:pPr>
  </w:style>
  <w:style w:type="numbering" w:customStyle="1" w:styleId="AlphaNote">
    <w:name w:val="Alpha Note"/>
    <w:basedOn w:val="NoList"/>
    <w:rsid w:val="00FF5D24"/>
    <w:pPr>
      <w:numPr>
        <w:numId w:val="4"/>
      </w:numPr>
    </w:pPr>
  </w:style>
  <w:style w:type="paragraph" w:customStyle="1" w:styleId="AcknowledgementHeading">
    <w:name w:val="Acknowledgement Heading"/>
    <w:basedOn w:val="Normal"/>
    <w:next w:val="BodyText"/>
    <w:rsid w:val="00FF5D24"/>
    <w:pPr>
      <w:keepNext/>
      <w:spacing w:before="1200" w:after="720"/>
      <w:jc w:val="center"/>
    </w:pPr>
    <w:rPr>
      <w:b/>
      <w:caps/>
      <w:lang w:val="en-US"/>
    </w:rPr>
  </w:style>
  <w:style w:type="paragraph" w:styleId="EnvelopeAddress">
    <w:name w:val="envelope address"/>
    <w:basedOn w:val="Normal"/>
    <w:rsid w:val="00FF5D24"/>
    <w:pPr>
      <w:framePr w:w="7938" w:h="1985" w:hRule="exact" w:hSpace="141" w:wrap="auto" w:hAnchor="page" w:xAlign="center" w:yAlign="bottom"/>
      <w:ind w:left="2835"/>
    </w:pPr>
    <w:rPr>
      <w:rFonts w:ascii="Arial" w:hAnsi="Arial" w:cs="Arial"/>
      <w:sz w:val="24"/>
      <w:szCs w:val="24"/>
    </w:rPr>
  </w:style>
  <w:style w:type="paragraph" w:styleId="EnvelopeReturn">
    <w:name w:val="envelope return"/>
    <w:basedOn w:val="Normal"/>
    <w:rsid w:val="00FF5D24"/>
    <w:rPr>
      <w:rFonts w:ascii="Arial" w:hAnsi="Arial" w:cs="Arial"/>
      <w:sz w:val="20"/>
      <w:szCs w:val="20"/>
    </w:rPr>
  </w:style>
  <w:style w:type="paragraph" w:styleId="HTMLAddress">
    <w:name w:val="HTML Address"/>
    <w:basedOn w:val="Normal"/>
    <w:rsid w:val="00FF5D24"/>
    <w:rPr>
      <w:i/>
      <w:iCs/>
    </w:rPr>
  </w:style>
  <w:style w:type="paragraph" w:styleId="CommentText">
    <w:name w:val="annotation text"/>
    <w:basedOn w:val="Normal"/>
    <w:semiHidden/>
    <w:rsid w:val="00FF5D24"/>
    <w:rPr>
      <w:sz w:val="20"/>
      <w:szCs w:val="20"/>
    </w:rPr>
  </w:style>
  <w:style w:type="paragraph" w:styleId="BodyText2">
    <w:name w:val="Body Text 2"/>
    <w:basedOn w:val="Normal"/>
    <w:rsid w:val="00FF5D24"/>
    <w:pPr>
      <w:spacing w:after="120" w:line="480" w:lineRule="auto"/>
    </w:pPr>
  </w:style>
  <w:style w:type="paragraph" w:styleId="BodyText3">
    <w:name w:val="Body Text 3"/>
    <w:basedOn w:val="Normal"/>
    <w:rsid w:val="00FF5D24"/>
    <w:pPr>
      <w:spacing w:after="120"/>
    </w:pPr>
    <w:rPr>
      <w:sz w:val="16"/>
      <w:szCs w:val="16"/>
    </w:rPr>
  </w:style>
  <w:style w:type="paragraph" w:styleId="Date">
    <w:name w:val="Date"/>
    <w:basedOn w:val="Normal"/>
    <w:next w:val="Normal"/>
    <w:rsid w:val="00FF5D24"/>
  </w:style>
  <w:style w:type="paragraph" w:styleId="Header">
    <w:name w:val="header"/>
    <w:basedOn w:val="Normal"/>
    <w:rsid w:val="00FF5D24"/>
    <w:pPr>
      <w:tabs>
        <w:tab w:val="clear" w:pos="850"/>
        <w:tab w:val="clear" w:pos="1191"/>
        <w:tab w:val="clear" w:pos="1531"/>
        <w:tab w:val="center" w:pos="4536"/>
        <w:tab w:val="right" w:pos="9072"/>
      </w:tabs>
    </w:pPr>
  </w:style>
  <w:style w:type="paragraph" w:styleId="MessageHeader">
    <w:name w:val="Message Header"/>
    <w:basedOn w:val="Normal"/>
    <w:rsid w:val="00FF5D2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DocumentMap">
    <w:name w:val="Document Map"/>
    <w:basedOn w:val="Normal"/>
    <w:semiHidden/>
    <w:rsid w:val="00FF5D24"/>
    <w:pPr>
      <w:shd w:val="clear" w:color="auto" w:fill="000080"/>
    </w:pPr>
    <w:rPr>
      <w:rFonts w:ascii="Tahoma" w:hAnsi="Tahoma" w:cs="Tahoma"/>
    </w:rPr>
  </w:style>
  <w:style w:type="paragraph" w:styleId="Closing">
    <w:name w:val="Closing"/>
    <w:basedOn w:val="Normal"/>
    <w:rsid w:val="00FF5D24"/>
    <w:pPr>
      <w:ind w:left="4252"/>
    </w:pPr>
  </w:style>
  <w:style w:type="paragraph" w:styleId="Index2">
    <w:name w:val="index 2"/>
    <w:basedOn w:val="Normal"/>
    <w:next w:val="Normal"/>
    <w:semiHidden/>
    <w:rsid w:val="00FF5D24"/>
    <w:pPr>
      <w:tabs>
        <w:tab w:val="clear" w:pos="850"/>
        <w:tab w:val="clear" w:pos="1191"/>
        <w:tab w:val="clear" w:pos="1531"/>
      </w:tabs>
      <w:ind w:left="440" w:hanging="220"/>
    </w:pPr>
  </w:style>
  <w:style w:type="paragraph" w:styleId="Index3">
    <w:name w:val="index 3"/>
    <w:basedOn w:val="Normal"/>
    <w:next w:val="Normal"/>
    <w:semiHidden/>
    <w:rsid w:val="00FF5D24"/>
    <w:pPr>
      <w:tabs>
        <w:tab w:val="clear" w:pos="850"/>
        <w:tab w:val="clear" w:pos="1191"/>
        <w:tab w:val="clear" w:pos="1531"/>
      </w:tabs>
      <w:ind w:left="660" w:hanging="220"/>
    </w:pPr>
  </w:style>
  <w:style w:type="paragraph" w:styleId="Index4">
    <w:name w:val="index 4"/>
    <w:basedOn w:val="Normal"/>
    <w:next w:val="Normal"/>
    <w:semiHidden/>
    <w:rsid w:val="00FF5D24"/>
    <w:pPr>
      <w:tabs>
        <w:tab w:val="clear" w:pos="850"/>
        <w:tab w:val="clear" w:pos="1191"/>
        <w:tab w:val="clear" w:pos="1531"/>
      </w:tabs>
      <w:ind w:left="880" w:hanging="220"/>
    </w:pPr>
  </w:style>
  <w:style w:type="paragraph" w:styleId="Index5">
    <w:name w:val="index 5"/>
    <w:basedOn w:val="Normal"/>
    <w:next w:val="Normal"/>
    <w:semiHidden/>
    <w:rsid w:val="00FF5D24"/>
    <w:pPr>
      <w:tabs>
        <w:tab w:val="clear" w:pos="850"/>
        <w:tab w:val="clear" w:pos="1191"/>
        <w:tab w:val="clear" w:pos="1531"/>
      </w:tabs>
      <w:ind w:left="1100" w:hanging="220"/>
    </w:pPr>
  </w:style>
  <w:style w:type="paragraph" w:styleId="Index6">
    <w:name w:val="index 6"/>
    <w:basedOn w:val="Normal"/>
    <w:next w:val="Normal"/>
    <w:semiHidden/>
    <w:rsid w:val="00FF5D24"/>
    <w:pPr>
      <w:tabs>
        <w:tab w:val="clear" w:pos="850"/>
        <w:tab w:val="clear" w:pos="1191"/>
        <w:tab w:val="clear" w:pos="1531"/>
      </w:tabs>
      <w:ind w:left="1320" w:hanging="220"/>
    </w:pPr>
  </w:style>
  <w:style w:type="paragraph" w:styleId="Index7">
    <w:name w:val="index 7"/>
    <w:basedOn w:val="Normal"/>
    <w:next w:val="Normal"/>
    <w:semiHidden/>
    <w:rsid w:val="00FF5D24"/>
    <w:pPr>
      <w:tabs>
        <w:tab w:val="clear" w:pos="850"/>
        <w:tab w:val="clear" w:pos="1191"/>
        <w:tab w:val="clear" w:pos="1531"/>
      </w:tabs>
      <w:ind w:left="1540" w:hanging="220"/>
    </w:pPr>
  </w:style>
  <w:style w:type="paragraph" w:styleId="Index8">
    <w:name w:val="index 8"/>
    <w:basedOn w:val="Normal"/>
    <w:next w:val="Normal"/>
    <w:semiHidden/>
    <w:rsid w:val="00FF5D24"/>
    <w:pPr>
      <w:tabs>
        <w:tab w:val="clear" w:pos="850"/>
        <w:tab w:val="clear" w:pos="1191"/>
        <w:tab w:val="clear" w:pos="1531"/>
      </w:tabs>
      <w:ind w:left="1760" w:hanging="220"/>
    </w:pPr>
  </w:style>
  <w:style w:type="paragraph" w:styleId="Index9">
    <w:name w:val="index 9"/>
    <w:basedOn w:val="Normal"/>
    <w:next w:val="Normal"/>
    <w:semiHidden/>
    <w:rsid w:val="00FF5D24"/>
    <w:pPr>
      <w:tabs>
        <w:tab w:val="clear" w:pos="850"/>
        <w:tab w:val="clear" w:pos="1191"/>
        <w:tab w:val="clear" w:pos="1531"/>
      </w:tabs>
      <w:ind w:left="1980" w:hanging="220"/>
    </w:pPr>
  </w:style>
  <w:style w:type="paragraph" w:styleId="Caption">
    <w:name w:val="caption"/>
    <w:basedOn w:val="Normal"/>
    <w:next w:val="Normal"/>
    <w:qFormat/>
    <w:rsid w:val="00FF5D24"/>
    <w:pPr>
      <w:spacing w:before="120" w:after="120"/>
    </w:pPr>
    <w:rPr>
      <w:b/>
      <w:bCs/>
      <w:sz w:val="20"/>
      <w:szCs w:val="20"/>
    </w:rPr>
  </w:style>
  <w:style w:type="paragraph" w:styleId="NormalWeb">
    <w:name w:val="Normal (Web)"/>
    <w:basedOn w:val="Normal"/>
    <w:uiPriority w:val="99"/>
    <w:rsid w:val="00FF5D24"/>
    <w:rPr>
      <w:sz w:val="24"/>
      <w:szCs w:val="24"/>
    </w:rPr>
  </w:style>
  <w:style w:type="paragraph" w:styleId="CommentSubject">
    <w:name w:val="annotation subject"/>
    <w:basedOn w:val="CommentText"/>
    <w:next w:val="CommentText"/>
    <w:semiHidden/>
    <w:rsid w:val="00FF5D24"/>
    <w:rPr>
      <w:b/>
      <w:bCs/>
    </w:rPr>
  </w:style>
  <w:style w:type="paragraph" w:styleId="Footer">
    <w:name w:val="footer"/>
    <w:basedOn w:val="Normal"/>
    <w:rsid w:val="00FF5D24"/>
    <w:pPr>
      <w:tabs>
        <w:tab w:val="clear" w:pos="850"/>
        <w:tab w:val="clear" w:pos="1191"/>
        <w:tab w:val="clear" w:pos="1531"/>
        <w:tab w:val="center" w:pos="4536"/>
        <w:tab w:val="right" w:pos="9072"/>
      </w:tabs>
    </w:pPr>
  </w:style>
  <w:style w:type="paragraph" w:styleId="HTMLPreformatted">
    <w:name w:val="HTML Preformatted"/>
    <w:basedOn w:val="Normal"/>
    <w:rsid w:val="00FF5D24"/>
    <w:rPr>
      <w:rFonts w:ascii="Courier New" w:hAnsi="Courier New" w:cs="Courier New"/>
      <w:sz w:val="20"/>
      <w:szCs w:val="20"/>
    </w:rPr>
  </w:style>
  <w:style w:type="paragraph" w:styleId="BodyTextFirstIndent">
    <w:name w:val="Body Text First Indent"/>
    <w:basedOn w:val="BodyText"/>
    <w:rsid w:val="00FF5D24"/>
    <w:pPr>
      <w:spacing w:after="120"/>
      <w:ind w:firstLine="210"/>
    </w:pPr>
  </w:style>
  <w:style w:type="paragraph" w:styleId="BodyTextIndent">
    <w:name w:val="Body Text Indent"/>
    <w:basedOn w:val="Normal"/>
    <w:rsid w:val="00FF5D24"/>
    <w:pPr>
      <w:spacing w:after="240"/>
      <w:ind w:left="442"/>
    </w:pPr>
  </w:style>
  <w:style w:type="paragraph" w:styleId="BodyTextIndent2">
    <w:name w:val="Body Text Indent 2"/>
    <w:basedOn w:val="Normal"/>
    <w:rsid w:val="00FF5D24"/>
    <w:pPr>
      <w:spacing w:after="120" w:line="480" w:lineRule="auto"/>
      <w:ind w:left="283"/>
    </w:pPr>
  </w:style>
  <w:style w:type="paragraph" w:styleId="BodyTextIndent3">
    <w:name w:val="Body Text Indent 3"/>
    <w:basedOn w:val="Normal"/>
    <w:rsid w:val="00FF5D24"/>
    <w:pPr>
      <w:spacing w:after="120"/>
      <w:ind w:left="283"/>
    </w:pPr>
    <w:rPr>
      <w:sz w:val="16"/>
      <w:szCs w:val="16"/>
    </w:rPr>
  </w:style>
  <w:style w:type="paragraph" w:styleId="BodyTextFirstIndent2">
    <w:name w:val="Body Text First Indent 2"/>
    <w:basedOn w:val="BodyTextIndent"/>
    <w:rsid w:val="00FF5D24"/>
    <w:pPr>
      <w:ind w:firstLine="210"/>
    </w:pPr>
  </w:style>
  <w:style w:type="paragraph" w:styleId="NormalIndent">
    <w:name w:val="Normal Indent"/>
    <w:basedOn w:val="Normal"/>
    <w:rsid w:val="00FF5D24"/>
    <w:pPr>
      <w:ind w:left="708"/>
    </w:pPr>
  </w:style>
  <w:style w:type="paragraph" w:styleId="Salutation">
    <w:name w:val="Salutation"/>
    <w:basedOn w:val="Normal"/>
    <w:next w:val="Normal"/>
    <w:rsid w:val="00FF5D24"/>
  </w:style>
  <w:style w:type="paragraph" w:styleId="Signature">
    <w:name w:val="Signature"/>
    <w:basedOn w:val="Normal"/>
    <w:rsid w:val="00FF5D24"/>
    <w:pPr>
      <w:ind w:left="4252"/>
    </w:pPr>
  </w:style>
  <w:style w:type="paragraph" w:styleId="E-mailSignature">
    <w:name w:val="E-mail Signature"/>
    <w:basedOn w:val="Normal"/>
    <w:rsid w:val="00FF5D24"/>
  </w:style>
  <w:style w:type="paragraph" w:styleId="Subtitle">
    <w:name w:val="Subtitle"/>
    <w:basedOn w:val="Normal"/>
    <w:qFormat/>
    <w:rsid w:val="00FF5D24"/>
    <w:pPr>
      <w:spacing w:after="60"/>
      <w:jc w:val="center"/>
      <w:outlineLvl w:val="1"/>
    </w:pPr>
    <w:rPr>
      <w:rFonts w:ascii="Arial" w:hAnsi="Arial" w:cs="Arial"/>
      <w:sz w:val="24"/>
      <w:szCs w:val="24"/>
    </w:rPr>
  </w:style>
  <w:style w:type="paragraph" w:styleId="TableofFigures">
    <w:name w:val="table of figures"/>
    <w:basedOn w:val="Normal"/>
    <w:next w:val="Normal"/>
    <w:semiHidden/>
    <w:rsid w:val="00FF5D24"/>
    <w:pPr>
      <w:tabs>
        <w:tab w:val="clear" w:pos="850"/>
        <w:tab w:val="clear" w:pos="1191"/>
        <w:tab w:val="clear" w:pos="1531"/>
      </w:tabs>
      <w:ind w:left="440" w:hanging="440"/>
    </w:pPr>
  </w:style>
  <w:style w:type="paragraph" w:styleId="TableofAuthorities">
    <w:name w:val="table of authorities"/>
    <w:basedOn w:val="Normal"/>
    <w:next w:val="Normal"/>
    <w:semiHidden/>
    <w:rsid w:val="00FF5D24"/>
    <w:pPr>
      <w:tabs>
        <w:tab w:val="clear" w:pos="850"/>
        <w:tab w:val="clear" w:pos="1191"/>
        <w:tab w:val="clear" w:pos="1531"/>
      </w:tabs>
      <w:ind w:left="220" w:hanging="220"/>
    </w:pPr>
  </w:style>
  <w:style w:type="paragraph" w:styleId="PlainText">
    <w:name w:val="Plain Text"/>
    <w:basedOn w:val="Normal"/>
    <w:rsid w:val="00FF5D24"/>
    <w:rPr>
      <w:rFonts w:ascii="Courier New" w:hAnsi="Courier New" w:cs="Courier New"/>
      <w:sz w:val="20"/>
      <w:szCs w:val="20"/>
    </w:rPr>
  </w:style>
  <w:style w:type="paragraph" w:styleId="BalloonText">
    <w:name w:val="Balloon Text"/>
    <w:basedOn w:val="Normal"/>
    <w:semiHidden/>
    <w:rsid w:val="00FF5D24"/>
    <w:rPr>
      <w:rFonts w:ascii="Tahoma" w:hAnsi="Tahoma" w:cs="Tahoma"/>
      <w:sz w:val="16"/>
      <w:szCs w:val="16"/>
    </w:rPr>
  </w:style>
  <w:style w:type="paragraph" w:styleId="MacroText">
    <w:name w:val="macro"/>
    <w:semiHidden/>
    <w:rsid w:val="00FF5D24"/>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en-GB" w:eastAsia="zh-CN"/>
    </w:rPr>
  </w:style>
  <w:style w:type="paragraph" w:styleId="Title">
    <w:name w:val="Title"/>
    <w:basedOn w:val="Normal"/>
    <w:qFormat/>
    <w:rsid w:val="00FF5D24"/>
    <w:pPr>
      <w:spacing w:before="240" w:after="60"/>
      <w:jc w:val="center"/>
      <w:outlineLvl w:val="0"/>
    </w:pPr>
    <w:rPr>
      <w:rFonts w:ascii="Arial" w:hAnsi="Arial" w:cs="Arial"/>
      <w:b/>
      <w:bCs/>
      <w:kern w:val="28"/>
      <w:sz w:val="32"/>
      <w:szCs w:val="32"/>
    </w:rPr>
  </w:style>
  <w:style w:type="paragraph" w:styleId="NoteHeading">
    <w:name w:val="Note Heading"/>
    <w:basedOn w:val="Normal"/>
    <w:next w:val="Normal"/>
    <w:rsid w:val="00FF5D24"/>
  </w:style>
  <w:style w:type="paragraph" w:styleId="TOAHeading">
    <w:name w:val="toa heading"/>
    <w:basedOn w:val="Normal"/>
    <w:next w:val="Normal"/>
    <w:semiHidden/>
    <w:rsid w:val="00FF5D24"/>
    <w:pPr>
      <w:spacing w:before="120"/>
    </w:pPr>
    <w:rPr>
      <w:rFonts w:ascii="Arial" w:hAnsi="Arial" w:cs="Arial"/>
      <w:b/>
      <w:bCs/>
      <w:sz w:val="24"/>
      <w:szCs w:val="24"/>
    </w:rPr>
  </w:style>
  <w:style w:type="paragraph" w:styleId="TOC6">
    <w:name w:val="toc 6"/>
    <w:basedOn w:val="Normal"/>
    <w:next w:val="Normal"/>
    <w:qFormat/>
    <w:rsid w:val="00FF5D24"/>
    <w:pPr>
      <w:tabs>
        <w:tab w:val="clear" w:pos="850"/>
        <w:tab w:val="clear" w:pos="1191"/>
        <w:tab w:val="clear" w:pos="1531"/>
      </w:tabs>
      <w:ind w:left="1100"/>
    </w:pPr>
  </w:style>
  <w:style w:type="paragraph" w:styleId="TOC7">
    <w:name w:val="toc 7"/>
    <w:basedOn w:val="Normal"/>
    <w:next w:val="Normal"/>
    <w:qFormat/>
    <w:rsid w:val="00FF5D24"/>
    <w:pPr>
      <w:tabs>
        <w:tab w:val="clear" w:pos="850"/>
        <w:tab w:val="clear" w:pos="1191"/>
        <w:tab w:val="clear" w:pos="1531"/>
      </w:tabs>
      <w:ind w:left="1320"/>
    </w:pPr>
  </w:style>
  <w:style w:type="paragraph" w:styleId="TOC8">
    <w:name w:val="toc 8"/>
    <w:basedOn w:val="Normal"/>
    <w:next w:val="Normal"/>
    <w:qFormat/>
    <w:rsid w:val="00FF5D24"/>
    <w:pPr>
      <w:tabs>
        <w:tab w:val="clear" w:pos="850"/>
        <w:tab w:val="clear" w:pos="1191"/>
        <w:tab w:val="clear" w:pos="1531"/>
      </w:tabs>
      <w:ind w:left="1540"/>
    </w:pPr>
  </w:style>
  <w:style w:type="paragraph" w:customStyle="1" w:styleId="BoxBodyText">
    <w:name w:val="Box Body Text"/>
    <w:basedOn w:val="Normal"/>
    <w:rsid w:val="00FF5D24"/>
    <w:pPr>
      <w:spacing w:after="240"/>
      <w:ind w:firstLine="442"/>
    </w:pPr>
    <w:rPr>
      <w:rFonts w:ascii="Arial" w:hAnsi="Arial" w:cs="Arial"/>
      <w:sz w:val="18"/>
      <w:lang w:val="en-US"/>
    </w:rPr>
  </w:style>
  <w:style w:type="paragraph" w:customStyle="1" w:styleId="BoxBodyTextIndent">
    <w:name w:val="Box Body Text Indent"/>
    <w:basedOn w:val="Normal"/>
    <w:rsid w:val="00FF5D24"/>
    <w:pPr>
      <w:spacing w:after="240"/>
      <w:ind w:left="442"/>
    </w:pPr>
    <w:rPr>
      <w:rFonts w:ascii="Arial" w:hAnsi="Arial" w:cs="Arial"/>
      <w:sz w:val="18"/>
      <w:lang w:val="en-US"/>
    </w:rPr>
  </w:style>
  <w:style w:type="character" w:styleId="PageNumber">
    <w:name w:val="page number"/>
    <w:basedOn w:val="DefaultParagraphFont"/>
    <w:uiPriority w:val="99"/>
    <w:semiHidden/>
    <w:unhideWhenUsed/>
    <w:rsid w:val="00FF5D24"/>
  </w:style>
  <w:style w:type="paragraph" w:styleId="Bibliography">
    <w:name w:val="Bibliography"/>
    <w:basedOn w:val="Normal"/>
    <w:next w:val="Normal"/>
    <w:uiPriority w:val="37"/>
    <w:semiHidden/>
    <w:unhideWhenUsed/>
    <w:rsid w:val="00FF5D24"/>
  </w:style>
  <w:style w:type="paragraph" w:styleId="IntenseQuote">
    <w:name w:val="Intense Quote"/>
    <w:basedOn w:val="Normal"/>
    <w:next w:val="Normal"/>
    <w:link w:val="IntenseQuoteChar"/>
    <w:uiPriority w:val="30"/>
    <w:qFormat/>
    <w:rsid w:val="00FF5D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5D24"/>
    <w:rPr>
      <w:b/>
      <w:bCs/>
      <w:i/>
      <w:iCs/>
      <w:color w:val="4F81BD" w:themeColor="accent1"/>
      <w:sz w:val="22"/>
      <w:szCs w:val="22"/>
      <w:lang w:val="en-GB" w:eastAsia="zh-CN"/>
    </w:rPr>
  </w:style>
  <w:style w:type="paragraph" w:styleId="ListParagraph">
    <w:name w:val="List Paragraph"/>
    <w:basedOn w:val="Normal"/>
    <w:uiPriority w:val="34"/>
    <w:qFormat/>
    <w:rsid w:val="00FF5D24"/>
    <w:pPr>
      <w:ind w:left="720"/>
      <w:contextualSpacing/>
    </w:pPr>
  </w:style>
  <w:style w:type="paragraph" w:styleId="NoSpacing">
    <w:name w:val="No Spacing"/>
    <w:uiPriority w:val="1"/>
    <w:qFormat/>
    <w:rsid w:val="00FF5D24"/>
    <w:pPr>
      <w:tabs>
        <w:tab w:val="left" w:pos="850"/>
        <w:tab w:val="left" w:pos="1191"/>
        <w:tab w:val="left" w:pos="1531"/>
      </w:tabs>
      <w:jc w:val="both"/>
    </w:pPr>
    <w:rPr>
      <w:sz w:val="22"/>
      <w:szCs w:val="22"/>
      <w:lang w:val="en-GB" w:eastAsia="zh-CN"/>
    </w:rPr>
  </w:style>
  <w:style w:type="paragraph" w:styleId="Quote">
    <w:name w:val="Quote"/>
    <w:basedOn w:val="Normal"/>
    <w:next w:val="Normal"/>
    <w:link w:val="QuoteChar"/>
    <w:uiPriority w:val="29"/>
    <w:qFormat/>
    <w:rsid w:val="00FF5D24"/>
    <w:rPr>
      <w:i/>
      <w:iCs/>
      <w:color w:val="000000" w:themeColor="text1"/>
    </w:rPr>
  </w:style>
  <w:style w:type="character" w:customStyle="1" w:styleId="QuoteChar">
    <w:name w:val="Quote Char"/>
    <w:basedOn w:val="DefaultParagraphFont"/>
    <w:link w:val="Quote"/>
    <w:uiPriority w:val="29"/>
    <w:rsid w:val="00FF5D24"/>
    <w:rPr>
      <w:i/>
      <w:iCs/>
      <w:color w:val="000000" w:themeColor="text1"/>
      <w:sz w:val="22"/>
      <w:szCs w:val="22"/>
      <w:lang w:val="en-GB" w:eastAsia="zh-CN"/>
    </w:rPr>
  </w:style>
  <w:style w:type="paragraph" w:styleId="TOCHeading">
    <w:name w:val="TOC Heading"/>
    <w:basedOn w:val="Heading1"/>
    <w:next w:val="Normal"/>
    <w:uiPriority w:val="39"/>
    <w:semiHidden/>
    <w:unhideWhenUsed/>
    <w:qFormat/>
    <w:rsid w:val="00FF5D24"/>
    <w:pPr>
      <w:keepLines/>
      <w:spacing w:before="480" w:after="0"/>
      <w:jc w:val="both"/>
      <w:outlineLvl w:val="9"/>
    </w:pPr>
    <w:rPr>
      <w:rFonts w:asciiTheme="majorHAnsi" w:eastAsiaTheme="majorEastAsia" w:hAnsiTheme="majorHAnsi" w:cstheme="majorBidi"/>
      <w:caps w:val="0"/>
      <w:color w:val="365F91" w:themeColor="accent1" w:themeShade="BF"/>
      <w:kern w:val="0"/>
      <w:sz w:val="28"/>
      <w:szCs w:val="28"/>
    </w:rPr>
  </w:style>
  <w:style w:type="paragraph" w:customStyle="1" w:styleId="Citation">
    <w:name w:val="Citation"/>
    <w:basedOn w:val="BodyText"/>
    <w:link w:val="CitationChar"/>
    <w:rsid w:val="00FF5D24"/>
    <w:pPr>
      <w:ind w:left="850" w:firstLine="0"/>
      <w:jc w:val="left"/>
    </w:pPr>
  </w:style>
  <w:style w:type="character" w:customStyle="1" w:styleId="CitationChar">
    <w:name w:val="Citation Char"/>
    <w:basedOn w:val="DefaultParagraphFont"/>
    <w:link w:val="Citation"/>
    <w:rsid w:val="00FF5D24"/>
    <w:rPr>
      <w:sz w:val="22"/>
      <w:szCs w:val="22"/>
      <w:lang w:val="en-GB" w:eastAsia="zh-CN"/>
    </w:rPr>
  </w:style>
  <w:style w:type="character" w:styleId="Hyperlink">
    <w:name w:val="Hyperlink"/>
    <w:basedOn w:val="DefaultParagraphFont"/>
    <w:uiPriority w:val="99"/>
    <w:unhideWhenUsed/>
    <w:rsid w:val="00D92A5C"/>
    <w:rPr>
      <w:strike w:val="0"/>
      <w:dstrike w:val="0"/>
      <w:color w:val="CC0000"/>
      <w:u w:val="none"/>
      <w:effect w:val="none"/>
    </w:rPr>
  </w:style>
  <w:style w:type="character" w:styleId="Emphasis">
    <w:name w:val="Emphasis"/>
    <w:basedOn w:val="DefaultParagraphFont"/>
    <w:uiPriority w:val="20"/>
    <w:qFormat/>
    <w:rsid w:val="00D92A5C"/>
    <w:rPr>
      <w:i/>
      <w:iCs/>
    </w:rPr>
  </w:style>
  <w:style w:type="paragraph" w:customStyle="1" w:styleId="Default">
    <w:name w:val="Default"/>
    <w:rsid w:val="00D92A5C"/>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uiPriority w:val="99"/>
    <w:semiHidden/>
    <w:unhideWhenUsed/>
    <w:rsid w:val="00D92A5C"/>
    <w:rPr>
      <w:color w:val="800080" w:themeColor="followedHyperlink"/>
      <w:u w:val="single"/>
    </w:rPr>
  </w:style>
  <w:style w:type="character" w:styleId="CommentReference">
    <w:name w:val="annotation reference"/>
    <w:basedOn w:val="DefaultParagraphFont"/>
    <w:uiPriority w:val="99"/>
    <w:semiHidden/>
    <w:unhideWhenUsed/>
    <w:rsid w:val="00D92A5C"/>
    <w:rPr>
      <w:sz w:val="16"/>
      <w:szCs w:val="16"/>
    </w:rPr>
  </w:style>
  <w:style w:type="character" w:customStyle="1" w:styleId="Heading2Char">
    <w:name w:val="Heading 2 Char"/>
    <w:basedOn w:val="DefaultParagraphFont"/>
    <w:link w:val="Heading2"/>
    <w:rsid w:val="00D92A5C"/>
    <w:rPr>
      <w:b/>
      <w:bCs/>
      <w:sz w:val="22"/>
      <w:szCs w:val="22"/>
      <w:lang w:val="en-GB" w:eastAsia="zh-CN"/>
    </w:rPr>
  </w:style>
  <w:style w:type="character" w:customStyle="1" w:styleId="Biblio-EntryChar">
    <w:name w:val="Biblio-Entry Char"/>
    <w:link w:val="Biblio-Entry"/>
    <w:locked/>
    <w:rsid w:val="00D92A5C"/>
    <w:rPr>
      <w:sz w:val="22"/>
      <w:szCs w:val="22"/>
      <w:lang w:val="en-GB" w:eastAsia="zh-CN"/>
    </w:rPr>
  </w:style>
  <w:style w:type="paragraph" w:styleId="Revision">
    <w:name w:val="Revision"/>
    <w:hidden/>
    <w:uiPriority w:val="99"/>
    <w:semiHidden/>
    <w:rsid w:val="00D92A5C"/>
    <w:rPr>
      <w:sz w:val="22"/>
      <w:szCs w:val="22"/>
      <w:lang w:val="en-GB" w:eastAsia="zh-CN"/>
    </w:rPr>
  </w:style>
  <w:style w:type="character" w:customStyle="1" w:styleId="FootnoteTextChar">
    <w:name w:val="Footnote Text Char"/>
    <w:basedOn w:val="DefaultParagraphFont"/>
    <w:link w:val="FootnoteText"/>
    <w:uiPriority w:val="99"/>
    <w:semiHidden/>
    <w:rsid w:val="00D92A5C"/>
    <w:rPr>
      <w:lang w:val="en-GB" w:eastAsia="zh-CN"/>
    </w:rPr>
  </w:style>
  <w:style w:type="character" w:customStyle="1" w:styleId="BodyTextChar">
    <w:name w:val="Body Text Char"/>
    <w:basedOn w:val="DefaultParagraphFont"/>
    <w:link w:val="BodyText"/>
    <w:rsid w:val="003C1E7B"/>
    <w:rPr>
      <w:sz w:val="22"/>
      <w:szCs w:val="22"/>
      <w:lang w:val="en-GB" w:eastAsia="zh-CN"/>
    </w:rPr>
  </w:style>
  <w:style w:type="character" w:customStyle="1" w:styleId="apple-converted-space">
    <w:name w:val="apple-converted-space"/>
    <w:basedOn w:val="DefaultParagraphFont"/>
    <w:rsid w:val="0041363F"/>
  </w:style>
  <w:style w:type="character" w:customStyle="1" w:styleId="Heading1Char">
    <w:name w:val="Heading 1 Char"/>
    <w:basedOn w:val="DefaultParagraphFont"/>
    <w:link w:val="Heading1"/>
    <w:uiPriority w:val="9"/>
    <w:rsid w:val="004F613E"/>
    <w:rPr>
      <w:b/>
      <w:bCs/>
      <w:caps/>
      <w:kern w:val="28"/>
      <w:sz w:val="22"/>
      <w:szCs w:val="22"/>
      <w:lang w:val="en-GB" w:eastAsia="zh-CN"/>
    </w:rPr>
  </w:style>
  <w:style w:type="character" w:styleId="EndnoteReference">
    <w:name w:val="endnote reference"/>
    <w:basedOn w:val="DefaultParagraphFont"/>
    <w:uiPriority w:val="99"/>
    <w:semiHidden/>
    <w:unhideWhenUsed/>
    <w:rsid w:val="0058439C"/>
    <w:rPr>
      <w:vertAlign w:val="superscript"/>
    </w:rPr>
  </w:style>
  <w:style w:type="character" w:styleId="PlaceholderText">
    <w:name w:val="Placeholder Text"/>
    <w:basedOn w:val="DefaultParagraphFont"/>
    <w:uiPriority w:val="99"/>
    <w:semiHidden/>
    <w:rsid w:val="0039792D"/>
    <w:rPr>
      <w:color w:val="808080"/>
    </w:rPr>
  </w:style>
  <w:style w:type="character" w:customStyle="1" w:styleId="highlighted">
    <w:name w:val="highlighted"/>
    <w:basedOn w:val="DefaultParagraphFont"/>
    <w:rsid w:val="008952C8"/>
  </w:style>
  <w:style w:type="character" w:styleId="Strong">
    <w:name w:val="Strong"/>
    <w:basedOn w:val="DefaultParagraphFont"/>
    <w:uiPriority w:val="22"/>
    <w:qFormat/>
    <w:rsid w:val="00BB1E17"/>
    <w:rPr>
      <w:b/>
      <w:bCs/>
    </w:rPr>
  </w:style>
  <w:style w:type="table" w:styleId="TableGrid">
    <w:name w:val="Table Grid"/>
    <w:basedOn w:val="TableNormal"/>
    <w:uiPriority w:val="59"/>
    <w:rsid w:val="00AC121E"/>
    <w:rPr>
      <w:rFonts w:asciiTheme="minorHAnsi" w:eastAsiaTheme="minorEastAsia" w:hAnsiTheme="minorHAnsi" w:cstheme="minorBidi"/>
      <w:sz w:val="22"/>
      <w:szCs w:val="22"/>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nnexHeading">
    <w:name w:val="BulletedNote"/>
    <w:pPr>
      <w:numPr>
        <w:numId w:val="2"/>
      </w:numPr>
    </w:pPr>
  </w:style>
  <w:style w:type="numbering" w:customStyle="1" w:styleId="BodyText">
    <w:name w:val="NumericNote"/>
    <w:pPr>
      <w:numPr>
        <w:numId w:val="3"/>
      </w:numPr>
    </w:pPr>
  </w:style>
  <w:style w:type="numbering" w:customStyle="1" w:styleId="Annotation">
    <w:name w:val="NumberedNote"/>
    <w:pPr>
      <w:numPr>
        <w:numId w:val="1"/>
      </w:numPr>
    </w:pPr>
  </w:style>
  <w:style w:type="numbering" w:customStyle="1" w:styleId="AppendixHeading">
    <w:name w:val="AlphaNote"/>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270367">
      <w:bodyDiv w:val="1"/>
      <w:marLeft w:val="0"/>
      <w:marRight w:val="0"/>
      <w:marTop w:val="0"/>
      <w:marBottom w:val="0"/>
      <w:divBdr>
        <w:top w:val="none" w:sz="0" w:space="0" w:color="auto"/>
        <w:left w:val="none" w:sz="0" w:space="0" w:color="auto"/>
        <w:bottom w:val="none" w:sz="0" w:space="0" w:color="auto"/>
        <w:right w:val="none" w:sz="0" w:space="0" w:color="auto"/>
      </w:divBdr>
    </w:div>
    <w:div w:id="470831457">
      <w:bodyDiv w:val="1"/>
      <w:marLeft w:val="0"/>
      <w:marRight w:val="0"/>
      <w:marTop w:val="0"/>
      <w:marBottom w:val="0"/>
      <w:divBdr>
        <w:top w:val="none" w:sz="0" w:space="0" w:color="auto"/>
        <w:left w:val="none" w:sz="0" w:space="0" w:color="auto"/>
        <w:bottom w:val="none" w:sz="0" w:space="0" w:color="auto"/>
        <w:right w:val="none" w:sz="0" w:space="0" w:color="auto"/>
      </w:divBdr>
    </w:div>
    <w:div w:id="1075977616">
      <w:bodyDiv w:val="1"/>
      <w:marLeft w:val="0"/>
      <w:marRight w:val="0"/>
      <w:marTop w:val="0"/>
      <w:marBottom w:val="0"/>
      <w:divBdr>
        <w:top w:val="none" w:sz="0" w:space="0" w:color="auto"/>
        <w:left w:val="none" w:sz="0" w:space="0" w:color="auto"/>
        <w:bottom w:val="none" w:sz="0" w:space="0" w:color="auto"/>
        <w:right w:val="none" w:sz="0" w:space="0" w:color="auto"/>
      </w:divBdr>
    </w:div>
    <w:div w:id="1260480003">
      <w:bodyDiv w:val="1"/>
      <w:marLeft w:val="0"/>
      <w:marRight w:val="0"/>
      <w:marTop w:val="0"/>
      <w:marBottom w:val="0"/>
      <w:divBdr>
        <w:top w:val="none" w:sz="0" w:space="0" w:color="auto"/>
        <w:left w:val="none" w:sz="0" w:space="0" w:color="auto"/>
        <w:bottom w:val="none" w:sz="0" w:space="0" w:color="auto"/>
        <w:right w:val="none" w:sz="0" w:space="0" w:color="auto"/>
      </w:divBdr>
    </w:div>
    <w:div w:id="1402632650">
      <w:bodyDiv w:val="1"/>
      <w:marLeft w:val="0"/>
      <w:marRight w:val="0"/>
      <w:marTop w:val="0"/>
      <w:marBottom w:val="0"/>
      <w:divBdr>
        <w:top w:val="none" w:sz="0" w:space="0" w:color="auto"/>
        <w:left w:val="none" w:sz="0" w:space="0" w:color="auto"/>
        <w:bottom w:val="none" w:sz="0" w:space="0" w:color="auto"/>
        <w:right w:val="none" w:sz="0" w:space="0" w:color="auto"/>
      </w:divBdr>
    </w:div>
    <w:div w:id="1480031183">
      <w:bodyDiv w:val="1"/>
      <w:marLeft w:val="0"/>
      <w:marRight w:val="0"/>
      <w:marTop w:val="0"/>
      <w:marBottom w:val="0"/>
      <w:divBdr>
        <w:top w:val="none" w:sz="0" w:space="0" w:color="auto"/>
        <w:left w:val="none" w:sz="0" w:space="0" w:color="auto"/>
        <w:bottom w:val="none" w:sz="0" w:space="0" w:color="auto"/>
        <w:right w:val="none" w:sz="0" w:space="0" w:color="auto"/>
      </w:divBdr>
    </w:div>
    <w:div w:id="159451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1.emf"/><Relationship Id="rId26" Type="http://schemas.openxmlformats.org/officeDocument/2006/relationships/image" Target="media/image8.wmf"/><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wmf"/><Relationship Id="rId34" Type="http://schemas.openxmlformats.org/officeDocument/2006/relationships/image" Target="media/image16.wm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wmf"/><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6.wmf"/><Relationship Id="rId32" Type="http://schemas.openxmlformats.org/officeDocument/2006/relationships/image" Target="media/image14.wmf"/><Relationship Id="rId37" Type="http://schemas.openxmlformats.org/officeDocument/2006/relationships/image" Target="media/image19.wmf"/><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wmf"/><Relationship Id="rId28" Type="http://schemas.openxmlformats.org/officeDocument/2006/relationships/image" Target="media/image10.wmf"/><Relationship Id="rId36" Type="http://schemas.openxmlformats.org/officeDocument/2006/relationships/image" Target="media/image18.wmf"/><Relationship Id="rId10" Type="http://schemas.openxmlformats.org/officeDocument/2006/relationships/footnotes" Target="footnotes.xml"/><Relationship Id="rId19" Type="http://schemas.openxmlformats.org/officeDocument/2006/relationships/oleObject" Target="embeddings/Microsoft_Word_97_-_2003_Document1.doc"/><Relationship Id="rId31" Type="http://schemas.openxmlformats.org/officeDocument/2006/relationships/image" Target="media/image13.w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wmf"/><Relationship Id="rId27" Type="http://schemas.openxmlformats.org/officeDocument/2006/relationships/image" Target="media/image9.wmf"/><Relationship Id="rId30" Type="http://schemas.openxmlformats.org/officeDocument/2006/relationships/image" Target="media/image12.wmf"/><Relationship Id="rId35" Type="http://schemas.openxmlformats.org/officeDocument/2006/relationships/image" Target="media/image17.wmf"/></Relationships>
</file>

<file path=word/_rels/footnotes.xml.rels><?xml version="1.0" encoding="UTF-8" standalone="yes"?>
<Relationships xmlns="http://schemas.openxmlformats.org/package/2006/relationships"><Relationship Id="rId1" Type="http://schemas.openxmlformats.org/officeDocument/2006/relationships/hyperlink" Target="http://topincomes.parisschoolofeconomics.e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main.oecd.org\winapps\Office2010\Workgroup%20Templates\AE200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AECE12D5ADC244DB7AC126F4B3B9215" ma:contentTypeVersion="0" ma:contentTypeDescription="Create a new document." ma:contentTypeScope="" ma:versionID="a2b053db10d2cd13f8b303adeb7b0ca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OECDHarvard.XSL" StyleName="OECD Harvard"/>
</file>

<file path=customXml/itemProps1.xml><?xml version="1.0" encoding="utf-8"?>
<ds:datastoreItem xmlns:ds="http://schemas.openxmlformats.org/officeDocument/2006/customXml" ds:itemID="{513ED43C-AAE7-4919-BE21-C6FFA97D950D}">
  <ds:schemaRefs>
    <ds:schemaRef ds:uri="http://purl.org/dc/elements/1.1/"/>
    <ds:schemaRef ds:uri="http://schemas.microsoft.com/office/2006/metadata/properties"/>
    <ds:schemaRef ds:uri="http://www.w3.org/XML/1998/namespace"/>
    <ds:schemaRef ds:uri="http://purl.org/dc/terms/"/>
    <ds:schemaRef ds:uri="http://purl.org/dc/dcmitype/"/>
    <ds:schemaRef ds:uri="http://schemas.microsoft.com/office/2006/documentManagement/types"/>
    <ds:schemaRef ds:uri="http://schemas.openxmlformats.org/package/2006/metadata/core-properties"/>
  </ds:schemaRefs>
</ds:datastoreItem>
</file>

<file path=customXml/itemProps2.xml><?xml version="1.0" encoding="utf-8"?>
<ds:datastoreItem xmlns:ds="http://schemas.openxmlformats.org/officeDocument/2006/customXml" ds:itemID="{8268AA6C-E0F7-4FFE-B197-AB57BC53E576}">
  <ds:schemaRefs>
    <ds:schemaRef ds:uri="http://schemas.microsoft.com/sharepoint/v3/contenttype/forms"/>
  </ds:schemaRefs>
</ds:datastoreItem>
</file>

<file path=customXml/itemProps3.xml><?xml version="1.0" encoding="utf-8"?>
<ds:datastoreItem xmlns:ds="http://schemas.openxmlformats.org/officeDocument/2006/customXml" ds:itemID="{C12F1BCD-FF42-45E5-9C8B-E79044422E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1DD2781-CD2A-4E3A-813F-3611803D4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AE2007.dotm</Template>
  <TotalTime>0</TotalTime>
  <Pages>42</Pages>
  <Words>11604</Words>
  <Characters>66145</Characters>
  <Application>Microsoft Office Word</Application>
  <DocSecurity>0</DocSecurity>
  <Lines>551</Lines>
  <Paragraphs>155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O.E.C.D.</Company>
  <LinksUpToDate>false</LinksUpToDate>
  <CharactersWithSpaces>77594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ABETTAN Caroline</dc:creator>
  <cp:lastModifiedBy>RUIZ Nicolas</cp:lastModifiedBy>
  <cp:revision>2</cp:revision>
  <cp:lastPrinted>2015-04-15T12:42:00Z</cp:lastPrinted>
  <dcterms:created xsi:type="dcterms:W3CDTF">2015-04-21T10:17:00Z</dcterms:created>
  <dcterms:modified xsi:type="dcterms:W3CDTF">2015-04-21T10:17:00Z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jor Version">
    <vt:lpwstr>1</vt:lpwstr>
  </property>
  <property fmtid="{D5CDD505-2E9C-101B-9397-08002B2CF9AE}" pid="3" name="Minor Version">
    <vt:lpwstr>0</vt:lpwstr>
  </property>
  <property fmtid="{D5CDD505-2E9C-101B-9397-08002B2CF9AE}" pid="4" name="Build">
    <vt:lpwstr>20110530-001</vt:lpwstr>
  </property>
  <property fmtid="{D5CDD505-2E9C-101B-9397-08002B2CF9AE}" pid="5" name="OD_DOCUMENTSTATUS">
    <vt:lpwstr>On OLIS</vt:lpwstr>
  </property>
  <property fmtid="{D5CDD505-2E9C-101B-9397-08002B2CF9AE}" pid="6" name="ContentTypeId">
    <vt:lpwstr>0x0101008AECE12D5ADC244DB7AC126F4B3B9215</vt:lpwstr>
  </property>
</Properties>
</file>