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381000</wp:posOffset>
            </wp:positionH>
            <wp:positionV relativeFrom="page">
              <wp:posOffset>381000</wp:posOffset>
            </wp:positionV>
            <wp:extent cx="1590675" cy="1028700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028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pageBreakBefore w:val="0"/>
        <w:rPr>
          <w:b w:val="1"/>
          <w:sz w:val="66"/>
          <w:szCs w:val="66"/>
        </w:rPr>
      </w:pPr>
      <w:bookmarkStart w:colFirst="0" w:colLast="0" w:name="_cc3uuj5nvce4" w:id="0"/>
      <w:bookmarkEnd w:id="0"/>
      <w:r w:rsidDel="00000000" w:rsidR="00000000" w:rsidRPr="00000000">
        <w:rPr>
          <w:b w:val="1"/>
          <w:sz w:val="66"/>
          <w:szCs w:val="66"/>
          <w:rtl w:val="0"/>
        </w:rPr>
        <w:t xml:space="preserve">MANUEL D’UTILISATION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Projet :</w:t>
      </w:r>
    </w:p>
    <w:p w:rsidR="00000000" w:rsidDel="00000000" w:rsidP="00000000" w:rsidRDefault="00000000" w:rsidRPr="00000000" w14:paraId="0000001C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Modelling and simulating</w:t>
      </w:r>
    </w:p>
    <w:p w:rsidR="00000000" w:rsidDel="00000000" w:rsidP="00000000" w:rsidRDefault="00000000" w:rsidRPr="00000000" w14:paraId="0000001D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human behavioural factors</w:t>
      </w:r>
    </w:p>
    <w:p w:rsidR="00000000" w:rsidDel="00000000" w:rsidP="00000000" w:rsidRDefault="00000000" w:rsidRPr="00000000" w14:paraId="0000001E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influencing the spread of Covid-19</w:t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right"/>
        <w:rPr/>
      </w:pPr>
      <w:r w:rsidDel="00000000" w:rsidR="00000000" w:rsidRPr="00000000">
        <w:rPr>
          <w:rtl w:val="0"/>
        </w:rPr>
        <w:t xml:space="preserve">Rémi HUYGHE</w:t>
      </w:r>
    </w:p>
    <w:p w:rsidR="00000000" w:rsidDel="00000000" w:rsidP="00000000" w:rsidRDefault="00000000" w:rsidRPr="00000000" w14:paraId="00000022">
      <w:pPr>
        <w:pageBreakBefore w:val="0"/>
        <w:jc w:val="right"/>
        <w:rPr/>
      </w:pPr>
      <w:r w:rsidDel="00000000" w:rsidR="00000000" w:rsidRPr="00000000">
        <w:rPr>
          <w:rtl w:val="0"/>
        </w:rPr>
        <w:t xml:space="preserve">Moustafa MOHAMED</w:t>
      </w:r>
    </w:p>
    <w:p w:rsidR="00000000" w:rsidDel="00000000" w:rsidP="00000000" w:rsidRDefault="00000000" w:rsidRPr="00000000" w14:paraId="00000023">
      <w:pPr>
        <w:pageBreakBefore w:val="0"/>
        <w:jc w:val="right"/>
        <w:rPr/>
      </w:pPr>
      <w:r w:rsidDel="00000000" w:rsidR="00000000" w:rsidRPr="00000000">
        <w:rPr>
          <w:rtl w:val="0"/>
        </w:rPr>
        <w:t xml:space="preserve">Maminiaina RAZANAMARIMANDIMBY</w:t>
      </w:r>
    </w:p>
    <w:p w:rsidR="00000000" w:rsidDel="00000000" w:rsidP="00000000" w:rsidRDefault="00000000" w:rsidRPr="00000000" w14:paraId="00000024">
      <w:pPr>
        <w:pageBreakBefore w:val="0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UNIVERSITÉ GRENOBLE ALPES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MANUEL D’UTILISATION</w:t>
      </w:r>
    </w:p>
    <w:p w:rsidR="00000000" w:rsidDel="00000000" w:rsidP="00000000" w:rsidRDefault="00000000" w:rsidRPr="00000000" w14:paraId="00000028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Modelling and simulating human behavioural factors</w:t>
      </w:r>
    </w:p>
    <w:p w:rsidR="00000000" w:rsidDel="00000000" w:rsidP="00000000" w:rsidRDefault="00000000" w:rsidRPr="00000000" w14:paraId="0000002B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influencing the spread of Covid-19</w:t>
      </w:r>
    </w:p>
    <w:p w:rsidR="00000000" w:rsidDel="00000000" w:rsidP="00000000" w:rsidRDefault="00000000" w:rsidRPr="00000000" w14:paraId="0000002C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Référence du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 du document 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du document 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 Mai 2021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Auteurs 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Rémi HUYGHE</w:t>
            </w:r>
          </w:p>
          <w:p w:rsidR="00000000" w:rsidDel="00000000" w:rsidP="00000000" w:rsidRDefault="00000000" w:rsidRPr="00000000" w14:paraId="0000003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Moustafa MOHAMED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Maminiaina RAZANAMARIMANDIMBY</w:t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Validé par 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Validé le 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Soumis le 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de diffusion 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 électronique partagé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(Google Drive)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Confidentialité 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Chef de projet 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Membres de l’équipe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Mots clés : Manuel d’utilisation</w:t>
            </w:r>
          </w:p>
        </w:tc>
      </w:tr>
    </w:tbl>
    <w:p w:rsidR="00000000" w:rsidDel="00000000" w:rsidP="00000000" w:rsidRDefault="00000000" w:rsidRPr="00000000" w14:paraId="00000051">
      <w:pPr>
        <w:pageBreakBefore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Sommaire</w:t>
      </w:r>
    </w:p>
    <w:p w:rsidR="00000000" w:rsidDel="00000000" w:rsidP="00000000" w:rsidRDefault="00000000" w:rsidRPr="00000000" w14:paraId="0000005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6">
          <w:pPr>
            <w:pageBreakBefore w:val="0"/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634cnia5x9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 Préambule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_g634cnia5x9t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gcqc0sxz9z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I.1. Objectifs et méthodes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_pgcqc0sxz9zt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mqhvspk4g4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I.2. Documents de référence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_pmqhvspk4g41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pageBreakBefore w:val="0"/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9geq51b0ef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II. Guide de lecture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_99geq51b0efd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pageBreakBefore w:val="0"/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ai74b1furj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III. Concepts de base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_gai74b1furjn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pageBreakBefore w:val="0"/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0g90ldurmt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IV. Mise en oeuvre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_t0g90ldurmtg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pageBreakBefore w:val="0"/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n3x6i625i2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V. Liste des commandes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_mn3x6i625i2j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pageBreakBefore w:val="0"/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6l7w8e3wtq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VI. Messages d’erreur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_y6l7w8e3wtql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pageBreakBefore w:val="0"/>
            <w:tabs>
              <w:tab w:val="right" w:pos="9025.511811023624"/>
            </w:tabs>
            <w:spacing w:after="80" w:before="200" w:line="240" w:lineRule="auto"/>
            <w:ind w:left="0" w:firstLine="0"/>
            <w:rPr/>
          </w:pPr>
          <w:hyperlink w:anchor="_x8ie9emmz9x8">
            <w:r w:rsidDel="00000000" w:rsidR="00000000" w:rsidRPr="00000000">
              <w:rPr>
                <w:b w:val="1"/>
                <w:rtl w:val="0"/>
              </w:rPr>
              <w:t xml:space="preserve">VII. Références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_x8ie9emmz9x8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lineRule="auto"/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pageBreakBefore w:val="0"/>
        <w:ind w:left="0" w:firstLine="0"/>
        <w:rPr>
          <w:highlight w:val="yellow"/>
        </w:rPr>
      </w:pPr>
      <w:bookmarkStart w:colFirst="0" w:colLast="0" w:name="_g634cnia5x9t" w:id="1"/>
      <w:bookmarkEnd w:id="1"/>
      <w:r w:rsidDel="00000000" w:rsidR="00000000" w:rsidRPr="00000000">
        <w:rPr>
          <w:rtl w:val="0"/>
        </w:rPr>
        <w:t xml:space="preserve">I. Préambule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L’objectif de ce document est de pourvoir aux questions de l’utilisateur liées au fonctionnement. Seront détaillées plus bas les instructions pour utiliser notre modèle.</w:t>
      </w:r>
    </w:p>
    <w:p w:rsidR="00000000" w:rsidDel="00000000" w:rsidP="00000000" w:rsidRDefault="00000000" w:rsidRPr="00000000" w14:paraId="00000065">
      <w:pPr>
        <w:pStyle w:val="Heading2"/>
        <w:pageBreakBefore w:val="0"/>
        <w:ind w:left="0" w:firstLine="0"/>
        <w:jc w:val="both"/>
        <w:rPr/>
      </w:pPr>
      <w:bookmarkStart w:colFirst="0" w:colLast="0" w:name="_pgcqc0sxz9zt" w:id="2"/>
      <w:bookmarkEnd w:id="2"/>
      <w:r w:rsidDel="00000000" w:rsidR="00000000" w:rsidRPr="00000000">
        <w:rPr>
          <w:rtl w:val="0"/>
        </w:rPr>
        <w:t xml:space="preserve">I.1. Objectifs et méthodes</w:t>
      </w:r>
    </w:p>
    <w:p w:rsidR="00000000" w:rsidDel="00000000" w:rsidP="00000000" w:rsidRDefault="00000000" w:rsidRPr="00000000" w14:paraId="00000066">
      <w:pPr>
        <w:pageBreakBefore w:val="0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C’est un modèle de simulation dans le langage Netlogo, fonctionnant seul. Le modèle aura un onglet interface et un correspondant au code.</w:t>
      </w:r>
    </w:p>
    <w:p w:rsidR="00000000" w:rsidDel="00000000" w:rsidP="00000000" w:rsidRDefault="00000000" w:rsidRPr="00000000" w14:paraId="00000067">
      <w:pPr>
        <w:pStyle w:val="Heading2"/>
        <w:pageBreakBefore w:val="0"/>
        <w:ind w:left="0" w:firstLine="0"/>
        <w:rPr/>
      </w:pPr>
      <w:bookmarkStart w:colFirst="0" w:colLast="0" w:name="_pmqhvspk4g41" w:id="3"/>
      <w:bookmarkEnd w:id="3"/>
      <w:r w:rsidDel="00000000" w:rsidR="00000000" w:rsidRPr="00000000">
        <w:rPr>
          <w:rtl w:val="0"/>
        </w:rPr>
        <w:t xml:space="preserve">I.2. Documents de référence</w:t>
      </w:r>
    </w:p>
    <w:p w:rsidR="00000000" w:rsidDel="00000000" w:rsidP="00000000" w:rsidRDefault="00000000" w:rsidRPr="00000000" w14:paraId="00000068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Le code Netlogo et son interface. Le Cahier des charges, la Documentation internet et le Rapport.</w:t>
      </w:r>
    </w:p>
    <w:p w:rsidR="00000000" w:rsidDel="00000000" w:rsidP="00000000" w:rsidRDefault="00000000" w:rsidRPr="00000000" w14:paraId="00000069">
      <w:pPr>
        <w:pStyle w:val="Heading1"/>
        <w:pageBreakBefore w:val="0"/>
        <w:ind w:left="0" w:firstLine="0"/>
        <w:rPr/>
      </w:pPr>
      <w:bookmarkStart w:colFirst="0" w:colLast="0" w:name="_99geq51b0efd" w:id="4"/>
      <w:bookmarkEnd w:id="4"/>
      <w:r w:rsidDel="00000000" w:rsidR="00000000" w:rsidRPr="00000000">
        <w:rPr>
          <w:rtl w:val="0"/>
        </w:rPr>
        <w:t xml:space="preserve">II. Guide de lecture</w:t>
      </w:r>
    </w:p>
    <w:p w:rsidR="00000000" w:rsidDel="00000000" w:rsidP="00000000" w:rsidRDefault="00000000" w:rsidRPr="00000000" w14:paraId="0000006A">
      <w:pPr>
        <w:pageBreakBefore w:val="0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Ce document s’adresse principalement aux utilisateurs non-connaisseurs de Netlogo. Les concepts de base sont disponibles dans la </w:t>
      </w:r>
      <w:r w:rsidDel="00000000" w:rsidR="00000000" w:rsidRPr="00000000">
        <w:rPr>
          <w:i w:val="1"/>
          <w:rtl w:val="0"/>
        </w:rPr>
        <w:t xml:space="preserve">Documentation interne</w:t>
      </w:r>
      <w:r w:rsidDel="00000000" w:rsidR="00000000" w:rsidRPr="00000000">
        <w:rPr>
          <w:rtl w:val="0"/>
        </w:rPr>
        <w:t xml:space="preserve"> et le chapitre IV expliquera les différentes parties de l’interface, partie avec laquelle l’utilisateur va le plus interagir. Le chapitre VI indiquera deux erreurs à éviter, résolvables en modifiant, depuis l’interface, les valeurs posant problèmes.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pageBreakBefore w:val="0"/>
        <w:jc w:val="both"/>
        <w:rPr>
          <w:highlight w:val="yellow"/>
        </w:rPr>
      </w:pPr>
      <w:bookmarkStart w:colFirst="0" w:colLast="0" w:name="_gai74b1furjn" w:id="5"/>
      <w:bookmarkEnd w:id="5"/>
      <w:r w:rsidDel="00000000" w:rsidR="00000000" w:rsidRPr="00000000">
        <w:rPr>
          <w:rtl w:val="0"/>
        </w:rPr>
        <w:t xml:space="preserve">III. Concepts de 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Se référer à la </w:t>
      </w:r>
      <w:r w:rsidDel="00000000" w:rsidR="00000000" w:rsidRPr="00000000">
        <w:rPr>
          <w:i w:val="1"/>
          <w:rtl w:val="0"/>
        </w:rPr>
        <w:t xml:space="preserve">Documentation interne</w:t>
      </w:r>
      <w:r w:rsidDel="00000000" w:rsidR="00000000" w:rsidRPr="00000000">
        <w:rPr>
          <w:rtl w:val="0"/>
        </w:rPr>
        <w:t xml:space="preserve"> pour une liste exhaustive.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pageBreakBefore w:val="0"/>
        <w:ind w:left="0" w:firstLine="0"/>
        <w:rPr/>
      </w:pPr>
      <w:bookmarkStart w:colFirst="0" w:colLast="0" w:name="_t0g90ldurmtg" w:id="6"/>
      <w:bookmarkEnd w:id="6"/>
      <w:r w:rsidDel="00000000" w:rsidR="00000000" w:rsidRPr="00000000">
        <w:rPr>
          <w:rtl w:val="0"/>
        </w:rPr>
        <w:t xml:space="preserve">IV. Mise en oeuvre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Le logiciel Netlogo étant installé, sinon se référer au </w:t>
      </w:r>
      <w:r w:rsidDel="00000000" w:rsidR="00000000" w:rsidRPr="00000000">
        <w:rPr>
          <w:i w:val="1"/>
          <w:rtl w:val="0"/>
        </w:rPr>
        <w:t xml:space="preserve">Manuel d’installation</w:t>
      </w:r>
      <w:r w:rsidDel="00000000" w:rsidR="00000000" w:rsidRPr="00000000">
        <w:rPr>
          <w:rtl w:val="0"/>
        </w:rPr>
        <w:t xml:space="preserve">, double-cliquer sur le modèle que vous avez récupéré. Voici, ci-dessous, ce qui va s’afficher, divisé en quatre parties :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rouge, comportant tous les menus et les trois onglets, Interface, Info et Code.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bleue, permettant la modification de l’interface, partie verte, ainsi que de la vitesse de la simulation.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verte, l’interface à proprement parlé, regroupant les différents modules pour simuler.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jaune, l’espace pour les commandes.</w:t>
      </w:r>
    </w:p>
    <w:p w:rsidR="00000000" w:rsidDel="00000000" w:rsidP="00000000" w:rsidRDefault="00000000" w:rsidRPr="00000000" w14:paraId="00000073">
      <w:pPr>
        <w:pStyle w:val="Heading1"/>
        <w:pageBreakBefore w:val="0"/>
        <w:rPr/>
      </w:pPr>
      <w:bookmarkStart w:colFirst="0" w:colLast="0" w:name="_3fv56i135lwq" w:id="7"/>
      <w:bookmarkEnd w:id="7"/>
      <w:r w:rsidDel="00000000" w:rsidR="00000000" w:rsidRPr="00000000">
        <w:rPr/>
        <w:drawing>
          <wp:inline distB="114300" distT="114300" distL="114300" distR="114300">
            <wp:extent cx="4937516" cy="3543201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7516" cy="3543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Légende : Interface du modèle sur Netlogo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La partie verte est celle où il va falloir agir. Ci-dessous, elle est séparée en trois blocs : 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rouge, avec le bouton </w:t>
      </w:r>
      <w:r w:rsidDel="00000000" w:rsidR="00000000" w:rsidRPr="00000000">
        <w:rPr>
          <w:i w:val="1"/>
          <w:rtl w:val="0"/>
        </w:rPr>
        <w:t xml:space="preserve">setup </w:t>
      </w:r>
      <w:r w:rsidDel="00000000" w:rsidR="00000000" w:rsidRPr="00000000">
        <w:rPr>
          <w:rtl w:val="0"/>
        </w:rPr>
        <w:t xml:space="preserve">et les blocs pour monitorer les paramètres.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bleu, avec le bouton </w:t>
      </w:r>
      <w:r w:rsidDel="00000000" w:rsidR="00000000" w:rsidRPr="00000000">
        <w:rPr>
          <w:i w:val="1"/>
          <w:rtl w:val="0"/>
        </w:rPr>
        <w:t xml:space="preserve">start</w:t>
      </w:r>
      <w:r w:rsidDel="00000000" w:rsidR="00000000" w:rsidRPr="00000000">
        <w:rPr>
          <w:rtl w:val="0"/>
        </w:rPr>
        <w:t xml:space="preserve"> et l’espace de simulation.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vert, avec les retours sur la simulation.</w:t>
      </w:r>
    </w:p>
    <w:p w:rsidR="00000000" w:rsidDel="00000000" w:rsidP="00000000" w:rsidRDefault="00000000" w:rsidRPr="00000000" w14:paraId="0000007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Avant de lancer une simulation, il faut définir ses paramètres, en des zones de textes et des barres défilantes. Ensuite cliquer sur le bouton </w:t>
      </w:r>
      <w:r w:rsidDel="00000000" w:rsidR="00000000" w:rsidRPr="00000000">
        <w:rPr>
          <w:i w:val="1"/>
          <w:rtl w:val="0"/>
        </w:rPr>
        <w:t xml:space="preserve">setup</w:t>
      </w:r>
      <w:r w:rsidDel="00000000" w:rsidR="00000000" w:rsidRPr="00000000">
        <w:rPr>
          <w:rtl w:val="0"/>
        </w:rPr>
        <w:t xml:space="preserve">, pour initialiser et enfin </w:t>
      </w:r>
      <w:r w:rsidDel="00000000" w:rsidR="00000000" w:rsidRPr="00000000">
        <w:rPr>
          <w:i w:val="1"/>
          <w:rtl w:val="0"/>
        </w:rPr>
        <w:t xml:space="preserve">start </w:t>
      </w:r>
      <w:r w:rsidDel="00000000" w:rsidR="00000000" w:rsidRPr="00000000">
        <w:rPr>
          <w:rtl w:val="0"/>
        </w:rPr>
        <w:t xml:space="preserve">juste à côté pour démarrer. L’espace de simulation est au centre et sur la partie droite se trouvent tous les </w:t>
      </w:r>
      <w:r w:rsidDel="00000000" w:rsidR="00000000" w:rsidRPr="00000000">
        <w:rPr>
          <w:i w:val="1"/>
          <w:rtl w:val="0"/>
        </w:rPr>
        <w:t xml:space="preserve">reporters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C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Les paramètres en barres sont modifiables pendant la simulation car ils modifient directement les variables utilisées.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110163" cy="2758809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2758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Légende : Partie verte de l’interface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De haut en bas et de gauche à droite, on peut :</w:t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Cliquer sur </w:t>
      </w:r>
      <w:r w:rsidDel="00000000" w:rsidR="00000000" w:rsidRPr="00000000">
        <w:rPr>
          <w:i w:val="1"/>
          <w:rtl w:val="0"/>
        </w:rPr>
        <w:t xml:space="preserve">setup </w:t>
      </w:r>
      <w:r w:rsidDel="00000000" w:rsidR="00000000" w:rsidRPr="00000000">
        <w:rPr>
          <w:rtl w:val="0"/>
        </w:rPr>
        <w:t xml:space="preserve">pour générer une population avec les paramètres donnés, ou réinitialiser la simulation en cours.</w:t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Définir la taille de la population, ATTENTION, une taille trop grande peut apporter des erreurs.</w:t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Définir le nombre de </w:t>
      </w:r>
      <w:r w:rsidDel="00000000" w:rsidR="00000000" w:rsidRPr="00000000">
        <w:rPr>
          <w:i w:val="1"/>
          <w:rtl w:val="0"/>
        </w:rPr>
        <w:t xml:space="preserve">citizens </w:t>
      </w:r>
      <w:r w:rsidDel="00000000" w:rsidR="00000000" w:rsidRPr="00000000">
        <w:rPr>
          <w:rtl w:val="0"/>
        </w:rPr>
        <w:t xml:space="preserve">infectés dès le départ, ATTENTION ce nombre ne doit pas être supérieur à la taille de la population.</w:t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Faire varier la probabilité de transmission.</w:t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Faire varier le pourcentage de personnes respectant les règles de distance.</w:t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Faire varier la distance à laquelle le virus se transmet.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Régler la distance à laquelle les </w:t>
      </w:r>
      <w:r w:rsidDel="00000000" w:rsidR="00000000" w:rsidRPr="00000000">
        <w:rPr>
          <w:i w:val="1"/>
          <w:rtl w:val="0"/>
        </w:rPr>
        <w:t xml:space="preserve">citizens </w:t>
      </w:r>
      <w:r w:rsidDel="00000000" w:rsidR="00000000" w:rsidRPr="00000000">
        <w:rPr>
          <w:rtl w:val="0"/>
        </w:rPr>
        <w:t xml:space="preserve">restent, du moins essaient, des infectés.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Mettre sur on/off l’isolation des infectés.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Ajuster la période sans symptômes.</w:t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Ajuster la période de guérison.</w:t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Définir les interventions de protection sur off.</w:t>
      </w:r>
    </w:p>
    <w:p w:rsidR="00000000" w:rsidDel="00000000" w:rsidP="00000000" w:rsidRDefault="00000000" w:rsidRPr="00000000" w14:paraId="0000008C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Cliquer sur </w:t>
      </w:r>
      <w:r w:rsidDel="00000000" w:rsidR="00000000" w:rsidRPr="00000000">
        <w:rPr>
          <w:i w:val="1"/>
          <w:rtl w:val="0"/>
        </w:rPr>
        <w:t xml:space="preserve">start </w:t>
      </w:r>
      <w:r w:rsidDel="00000000" w:rsidR="00000000" w:rsidRPr="00000000">
        <w:rPr>
          <w:rtl w:val="0"/>
        </w:rPr>
        <w:t xml:space="preserve">pour démarrer la simulation, et cliquer à nouveau pour la mettre en pause.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Observer la simulation, chaque personnage représente un individu, vert pour sain, rouge pour infecté, bleu pour en quarantaine, blanc pour guéri et immunisé.</w:t>
      </w:r>
    </w:p>
    <w:p w:rsidR="00000000" w:rsidDel="00000000" w:rsidP="00000000" w:rsidRDefault="00000000" w:rsidRPr="00000000" w14:paraId="0000008F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Suivre le nombre de jours passés.</w:t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Suivre le nombre d’infectés.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Observer le graphique du nombre d’infectés et de susceptibles au cours du temps.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Suivre le nombre de guéris.</w:t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Suivre le nombre d'isolés (en quarantaine).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Observer le graphique du nombre de guéris et d’isolés au cours du temps.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pageBreakBefore w:val="0"/>
        <w:rPr/>
      </w:pPr>
      <w:bookmarkStart w:colFirst="0" w:colLast="0" w:name="_mn3x6i625i2j" w:id="8"/>
      <w:bookmarkEnd w:id="8"/>
      <w:r w:rsidDel="00000000" w:rsidR="00000000" w:rsidRPr="00000000">
        <w:rPr>
          <w:rtl w:val="0"/>
        </w:rPr>
        <w:t xml:space="preserve">V. Liste des commandes</w:t>
      </w:r>
    </w:p>
    <w:p w:rsidR="00000000" w:rsidDel="00000000" w:rsidP="00000000" w:rsidRDefault="00000000" w:rsidRPr="00000000" w14:paraId="00000097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Aucune commande n’est nécessaire. Tout peut se faire dans le logiciel via les boutons. Toutefois, si l’utilisateur a connaissance de commandes dont il aurait besoin, un encart </w:t>
      </w:r>
      <w:r w:rsidDel="00000000" w:rsidR="00000000" w:rsidRPr="00000000">
        <w:rPr>
          <w:i w:val="1"/>
          <w:rtl w:val="0"/>
        </w:rPr>
        <w:t xml:space="preserve">Command Center</w:t>
      </w:r>
      <w:r w:rsidDel="00000000" w:rsidR="00000000" w:rsidRPr="00000000">
        <w:rPr>
          <w:rtl w:val="0"/>
        </w:rPr>
        <w:t xml:space="preserve"> est tout en bas de la fenêtre, partie jaune dans le chapitre IV.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147888" cy="91563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7888" cy="915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pageBreakBefore w:val="0"/>
        <w:ind w:left="0" w:firstLine="0"/>
        <w:rPr/>
      </w:pPr>
      <w:bookmarkStart w:colFirst="0" w:colLast="0" w:name="_y6l7w8e3wtql" w:id="9"/>
      <w:bookmarkEnd w:id="9"/>
      <w:r w:rsidDel="00000000" w:rsidR="00000000" w:rsidRPr="00000000">
        <w:rPr>
          <w:rtl w:val="0"/>
        </w:rPr>
        <w:t xml:space="preserve">VI. Messages d’erreur</w:t>
      </w:r>
    </w:p>
    <w:p w:rsidR="00000000" w:rsidDel="00000000" w:rsidP="00000000" w:rsidRDefault="00000000" w:rsidRPr="00000000" w14:paraId="0000009A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Des messages d’erreurs pourraient survenir si :</w:t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taille de la population est trop grande, causant un manque de place en quarantaine.</w:t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 nombre d’infectés de départ est supérieur à la taille de la population.</w:t>
      </w:r>
    </w:p>
    <w:p w:rsidR="00000000" w:rsidDel="00000000" w:rsidP="00000000" w:rsidRDefault="00000000" w:rsidRPr="00000000" w14:paraId="0000009D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Certains pourraient survenir en cas de paramètres ajoutés par l’utilisateur, pour avoir plus d’informations sur ce qui a échoué, une case cochable, </w:t>
      </w:r>
      <w:r w:rsidDel="00000000" w:rsidR="00000000" w:rsidRPr="00000000">
        <w:rPr>
          <w:i w:val="1"/>
          <w:rtl w:val="0"/>
        </w:rPr>
        <w:t xml:space="preserve">Show internal details,</w:t>
      </w:r>
      <w:r w:rsidDel="00000000" w:rsidR="00000000" w:rsidRPr="00000000">
        <w:rPr>
          <w:rtl w:val="0"/>
        </w:rPr>
        <w:t xml:space="preserve"> est sur la fenêtre de l’erreur qui s’ouvrira automatiquement.</w:t>
      </w:r>
    </w:p>
    <w:p w:rsidR="00000000" w:rsidDel="00000000" w:rsidP="00000000" w:rsidRDefault="00000000" w:rsidRPr="00000000" w14:paraId="0000009F">
      <w:pPr>
        <w:pageBreakBefore w:val="0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195638" cy="974169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5638" cy="974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Ci-dessus, un exemple de message d’erreur sur la commande </w:t>
      </w:r>
      <w:r w:rsidDel="00000000" w:rsidR="00000000" w:rsidRPr="00000000">
        <w:rPr>
          <w:i w:val="1"/>
          <w:rtl w:val="0"/>
        </w:rPr>
        <w:t xml:space="preserve">move-to</w:t>
      </w:r>
      <w:r w:rsidDel="00000000" w:rsidR="00000000" w:rsidRPr="00000000">
        <w:rPr>
          <w:rtl w:val="0"/>
        </w:rPr>
        <w:t xml:space="preserve"> qui n’a pas eu un input attendu, obtenu en cas de population trop importante.</w:t>
      </w:r>
    </w:p>
    <w:p w:rsidR="00000000" w:rsidDel="00000000" w:rsidP="00000000" w:rsidRDefault="00000000" w:rsidRPr="00000000" w14:paraId="000000A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Ci-dessous, le même message mais avec les détails.</w:t>
      </w:r>
    </w:p>
    <w:p w:rsidR="00000000" w:rsidDel="00000000" w:rsidP="00000000" w:rsidRDefault="00000000" w:rsidRPr="00000000" w14:paraId="000000A2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776663" cy="219682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21968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pageBreakBefore w:val="0"/>
        <w:rPr/>
      </w:pPr>
      <w:bookmarkStart w:colFirst="0" w:colLast="0" w:name="_x8ie9emmz9x8" w:id="10"/>
      <w:bookmarkEnd w:id="10"/>
      <w:r w:rsidDel="00000000" w:rsidR="00000000" w:rsidRPr="00000000">
        <w:rPr>
          <w:rtl w:val="0"/>
        </w:rPr>
        <w:t xml:space="preserve">VII. Références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i w:val="1"/>
          <w:rtl w:val="0"/>
        </w:rPr>
        <w:t xml:space="preserve">User manual</w:t>
      </w:r>
      <w:r w:rsidDel="00000000" w:rsidR="00000000" w:rsidRPr="00000000">
        <w:rPr>
          <w:rtl w:val="0"/>
        </w:rPr>
        <w:t xml:space="preserve"> de Netlogo, disponible dans le menu </w:t>
      </w:r>
      <w:r w:rsidDel="00000000" w:rsidR="00000000" w:rsidRPr="00000000">
        <w:rPr>
          <w:i w:val="1"/>
          <w:rtl w:val="0"/>
        </w:rPr>
        <w:t xml:space="preserve">Help </w:t>
      </w:r>
      <w:r w:rsidDel="00000000" w:rsidR="00000000" w:rsidRPr="00000000">
        <w:rPr>
          <w:rtl w:val="0"/>
        </w:rPr>
        <w:t xml:space="preserve">puis </w:t>
      </w:r>
      <w:r w:rsidDel="00000000" w:rsidR="00000000" w:rsidRPr="00000000">
        <w:rPr>
          <w:i w:val="1"/>
          <w:rtl w:val="0"/>
        </w:rPr>
        <w:t xml:space="preserve">Netlogo User Manual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