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9A5CD" w14:textId="77777777" w:rsidR="003F4E22" w:rsidRDefault="00000000">
      <w:pPr>
        <w:spacing w:before="1200"/>
        <w:jc w:val="center"/>
      </w:pPr>
      <w:r>
        <w:rPr>
          <w:b/>
          <w:bCs/>
          <w:color w:val="111111"/>
          <w:sz w:val="52"/>
          <w:szCs w:val="52"/>
        </w:rPr>
        <w:t>From Variance to Manifolds:</w:t>
      </w:r>
    </w:p>
    <w:p w14:paraId="24AA943F" w14:textId="77777777" w:rsidR="003F4E22" w:rsidRDefault="00000000">
      <w:pPr>
        <w:spacing w:before="60"/>
        <w:jc w:val="center"/>
      </w:pPr>
      <w:r>
        <w:rPr>
          <w:b/>
          <w:bCs/>
          <w:color w:val="111111"/>
          <w:sz w:val="32"/>
          <w:szCs w:val="32"/>
        </w:rPr>
        <w:t>A Systematic Review and Statistical Comparison of</w:t>
      </w:r>
    </w:p>
    <w:p w14:paraId="3F060895" w14:textId="77777777" w:rsidR="003F4E22" w:rsidRDefault="00000000">
      <w:pPr>
        <w:spacing w:after="400"/>
        <w:jc w:val="center"/>
      </w:pPr>
      <w:r>
        <w:rPr>
          <w:b/>
          <w:bCs/>
          <w:color w:val="111111"/>
          <w:sz w:val="32"/>
          <w:szCs w:val="32"/>
        </w:rPr>
        <w:t>PCA, MDA, t-SNE, and UMAP in High-Dimensional Data Analysis</w:t>
      </w:r>
    </w:p>
    <w:p w14:paraId="658411D8" w14:textId="77777777" w:rsidR="003F4E22" w:rsidRDefault="003F4E22">
      <w:pPr>
        <w:pBdr>
          <w:bottom w:val="single" w:sz="4" w:space="2" w:color="555555"/>
        </w:pBdr>
        <w:spacing w:before="100" w:after="100"/>
      </w:pPr>
    </w:p>
    <w:p w14:paraId="16AD83E2" w14:textId="77777777" w:rsidR="003F4E22" w:rsidRDefault="00000000">
      <w:pPr>
        <w:spacing w:before="180"/>
        <w:jc w:val="center"/>
      </w:pPr>
      <w:r>
        <w:rPr>
          <w:i/>
          <w:iCs/>
          <w:color w:val="555555"/>
        </w:rPr>
        <w:t>A Comprehensive Research Paper with Experimental Results and Colored Figures</w:t>
      </w:r>
    </w:p>
    <w:p w14:paraId="19A9249C" w14:textId="77777777" w:rsidR="003F4E22" w:rsidRDefault="00000000">
      <w:pPr>
        <w:spacing w:before="80" w:after="1800"/>
        <w:jc w:val="center"/>
      </w:pPr>
      <w:r>
        <w:rPr>
          <w:color w:val="555555"/>
        </w:rPr>
        <w:t>March 2026</w:t>
      </w:r>
    </w:p>
    <w:p w14:paraId="08EE2E4C" w14:textId="77777777" w:rsidR="003F4E22" w:rsidRDefault="00000000">
      <w:pPr>
        <w:pBdr>
          <w:top w:val="single" w:sz="4" w:space="4" w:color="111111"/>
          <w:bottom w:val="single" w:sz="4" w:space="4" w:color="111111"/>
        </w:pBdr>
        <w:spacing w:after="80"/>
      </w:pPr>
      <w:r>
        <w:rPr>
          <w:b/>
          <w:bCs/>
          <w:color w:val="111111"/>
          <w:sz w:val="24"/>
          <w:szCs w:val="24"/>
        </w:rPr>
        <w:t>Abstract</w:t>
      </w:r>
    </w:p>
    <w:p w14:paraId="3472C0DF" w14:textId="77777777" w:rsidR="003F4E22" w:rsidRDefault="00000000">
      <w:pPr>
        <w:spacing w:before="100" w:after="200"/>
      </w:pPr>
      <w:r>
        <w:rPr>
          <w:i/>
          <w:iCs/>
          <w:color w:val="111111"/>
        </w:rPr>
        <w:t xml:space="preserve">High-dimensional data analysis demands effective dimensionality reduction (DR). This paper provides a systematic review and statistical comparison of </w:t>
      </w:r>
      <w:r>
        <w:rPr>
          <w:b/>
          <w:bCs/>
          <w:i/>
          <w:iCs/>
          <w:color w:val="111111"/>
        </w:rPr>
        <w:t>Principal Component Analysis (PCA)</w:t>
      </w:r>
      <w:r>
        <w:rPr>
          <w:i/>
          <w:iCs/>
          <w:color w:val="111111"/>
        </w:rPr>
        <w:t xml:space="preserve">, </w:t>
      </w:r>
      <w:r>
        <w:rPr>
          <w:b/>
          <w:bCs/>
          <w:i/>
          <w:iCs/>
          <w:color w:val="111111"/>
        </w:rPr>
        <w:t>Multiple Discriminant Analysis (MDA/LDA)</w:t>
      </w:r>
      <w:r>
        <w:rPr>
          <w:i/>
          <w:iCs/>
          <w:color w:val="111111"/>
        </w:rPr>
        <w:t xml:space="preserve">, </w:t>
      </w:r>
      <w:r>
        <w:rPr>
          <w:b/>
          <w:bCs/>
          <w:i/>
          <w:iCs/>
          <w:color w:val="111111"/>
        </w:rPr>
        <w:t>t-Distributed Stochastic Neighbor Embedding (t-SNE)</w:t>
      </w:r>
      <w:r>
        <w:rPr>
          <w:i/>
          <w:iCs/>
          <w:color w:val="111111"/>
        </w:rPr>
        <w:t xml:space="preserve">, and </w:t>
      </w:r>
      <w:r>
        <w:rPr>
          <w:b/>
          <w:bCs/>
          <w:i/>
          <w:iCs/>
          <w:color w:val="111111"/>
        </w:rPr>
        <w:t>Uniform Manifold Approximation and Projection (UMAP)</w:t>
      </w:r>
      <w:r>
        <w:rPr>
          <w:i/>
          <w:iCs/>
          <w:color w:val="111111"/>
        </w:rPr>
        <w:t xml:space="preserve">. We cover theoretical foundations, geometric interpretations, evaluation metrics, synthetic experiments, computational complexity, and a practical decision framework—supported by five </w:t>
      </w:r>
      <w:proofErr w:type="gramStart"/>
      <w:r>
        <w:rPr>
          <w:i/>
          <w:iCs/>
          <w:color w:val="111111"/>
        </w:rPr>
        <w:t>original colored</w:t>
      </w:r>
      <w:proofErr w:type="gramEnd"/>
      <w:r>
        <w:rPr>
          <w:i/>
          <w:iCs/>
          <w:color w:val="111111"/>
        </w:rPr>
        <w:t xml:space="preserve"> figures. UMAP emerges as the current gold standard for modern AI applications combining scalability, local and global fidelity, and out-of-sample support.</w:t>
      </w:r>
    </w:p>
    <w:p w14:paraId="315E0BBF" w14:textId="77777777" w:rsidR="003F4E22" w:rsidRDefault="00000000">
      <w:r>
        <w:br w:type="page"/>
      </w:r>
    </w:p>
    <w:p w14:paraId="7FF564F7" w14:textId="77777777" w:rsidR="003F4E22" w:rsidRDefault="00000000">
      <w:pPr>
        <w:pStyle w:val="Heading1"/>
        <w:pBdr>
          <w:bottom w:val="single" w:sz="8" w:space="4" w:color="111111"/>
        </w:pBdr>
      </w:pPr>
      <w:r>
        <w:lastRenderedPageBreak/>
        <w:t>1.  Introduction</w:t>
      </w:r>
    </w:p>
    <w:p w14:paraId="042F5BFC" w14:textId="77777777" w:rsidR="003F4E22" w:rsidRDefault="00000000">
      <w:pPr>
        <w:spacing w:before="80" w:after="100"/>
      </w:pPr>
      <w:r>
        <w:rPr>
          <w:color w:val="111111"/>
        </w:rPr>
        <w:t>Modern AI, genomics, computer vision, and finance routinely produce datasets with hundreds or thousands of features. The "</w:t>
      </w:r>
      <w:r>
        <w:rPr>
          <w:b/>
          <w:bCs/>
          <w:color w:val="111111"/>
        </w:rPr>
        <w:t>curse of dimensionality</w:t>
      </w:r>
      <w:r>
        <w:rPr>
          <w:color w:val="111111"/>
        </w:rPr>
        <w:t xml:space="preserve">"—exponential growth of volume with dimension—causes distance concentration, sparsity, and overfitting, making raw high-dimensional data difficult to </w:t>
      </w:r>
      <w:proofErr w:type="spellStart"/>
      <w:r>
        <w:rPr>
          <w:color w:val="111111"/>
        </w:rPr>
        <w:t>analyse</w:t>
      </w:r>
      <w:proofErr w:type="spellEnd"/>
      <w:r>
        <w:rPr>
          <w:color w:val="111111"/>
        </w:rPr>
        <w:t xml:space="preserve"> and </w:t>
      </w:r>
      <w:proofErr w:type="spellStart"/>
      <w:r>
        <w:rPr>
          <w:color w:val="111111"/>
        </w:rPr>
        <w:t>visualise</w:t>
      </w:r>
      <w:proofErr w:type="spellEnd"/>
      <w:r>
        <w:rPr>
          <w:color w:val="111111"/>
        </w:rPr>
        <w:t>. Dimensionality Reduction (DR) techniques project data into a lower-dimensional space while preserving as much useful structure as possible.</w:t>
      </w:r>
    </w:p>
    <w:p w14:paraId="27E87697" w14:textId="77777777" w:rsidR="003F4E22" w:rsidRDefault="00000000">
      <w:pPr>
        <w:spacing w:before="80" w:after="100"/>
      </w:pPr>
      <w:r>
        <w:rPr>
          <w:color w:val="111111"/>
        </w:rPr>
        <w:t xml:space="preserve">DR methods pursue different structural goals: PCA (Jolliffe, 2002) </w:t>
      </w:r>
      <w:r>
        <w:rPr>
          <w:color w:val="555555"/>
          <w:sz w:val="18"/>
          <w:szCs w:val="18"/>
          <w:vertAlign w:val="superscript"/>
        </w:rPr>
        <w:t>[3]</w:t>
      </w:r>
      <w:r>
        <w:rPr>
          <w:color w:val="111111"/>
        </w:rPr>
        <w:t xml:space="preserve"> </w:t>
      </w:r>
      <w:proofErr w:type="spellStart"/>
      <w:r>
        <w:rPr>
          <w:color w:val="111111"/>
        </w:rPr>
        <w:t>maximises</w:t>
      </w:r>
      <w:proofErr w:type="spellEnd"/>
      <w:r>
        <w:rPr>
          <w:color w:val="111111"/>
        </w:rPr>
        <w:t xml:space="preserve"> explained variance; MDA (Fisher, 1936) </w:t>
      </w:r>
      <w:r>
        <w:rPr>
          <w:color w:val="555555"/>
          <w:sz w:val="18"/>
          <w:szCs w:val="18"/>
          <w:vertAlign w:val="superscript"/>
        </w:rPr>
        <w:t>[4]</w:t>
      </w:r>
      <w:r>
        <w:rPr>
          <w:color w:val="111111"/>
        </w:rPr>
        <w:t xml:space="preserve"> </w:t>
      </w:r>
      <w:proofErr w:type="spellStart"/>
      <w:r>
        <w:rPr>
          <w:color w:val="111111"/>
        </w:rPr>
        <w:t>maximises</w:t>
      </w:r>
      <w:proofErr w:type="spellEnd"/>
      <w:r>
        <w:rPr>
          <w:color w:val="111111"/>
        </w:rPr>
        <w:t xml:space="preserve"> class separability; t-SNE (van der </w:t>
      </w:r>
      <w:proofErr w:type="spellStart"/>
      <w:r>
        <w:rPr>
          <w:color w:val="111111"/>
        </w:rPr>
        <w:t>Maaten</w:t>
      </w:r>
      <w:proofErr w:type="spellEnd"/>
      <w:r>
        <w:rPr>
          <w:color w:val="111111"/>
        </w:rPr>
        <w:t xml:space="preserve"> &amp; Hinton, 2008) </w:t>
      </w:r>
      <w:r>
        <w:rPr>
          <w:color w:val="555555"/>
          <w:sz w:val="18"/>
          <w:szCs w:val="18"/>
          <w:vertAlign w:val="superscript"/>
        </w:rPr>
        <w:t>[2]</w:t>
      </w:r>
      <w:r>
        <w:rPr>
          <w:color w:val="111111"/>
        </w:rPr>
        <w:t xml:space="preserve"> preserves local </w:t>
      </w:r>
      <w:proofErr w:type="spellStart"/>
      <w:r>
        <w:rPr>
          <w:color w:val="111111"/>
        </w:rPr>
        <w:t>neighbourhood</w:t>
      </w:r>
      <w:proofErr w:type="spellEnd"/>
      <w:r>
        <w:rPr>
          <w:color w:val="111111"/>
        </w:rPr>
        <w:t xml:space="preserve"> relationships; and UMAP (McInnes et al., 2018) </w:t>
      </w:r>
      <w:r>
        <w:rPr>
          <w:color w:val="555555"/>
          <w:sz w:val="18"/>
          <w:szCs w:val="18"/>
          <w:vertAlign w:val="superscript"/>
        </w:rPr>
        <w:t>[1]</w:t>
      </w:r>
      <w:r>
        <w:rPr>
          <w:color w:val="111111"/>
        </w:rPr>
        <w:t xml:space="preserve"> combines topological manifold preservation with scalability that surpasses t-SNE.</w:t>
      </w:r>
    </w:p>
    <w:p w14:paraId="1C1A407F" w14:textId="77777777" w:rsidR="003F4E22" w:rsidRDefault="00000000">
      <w:pPr>
        <w:spacing w:before="80" w:after="100"/>
      </w:pPr>
      <w:r>
        <w:rPr>
          <w:color w:val="111111"/>
        </w:rPr>
        <w:t xml:space="preserve">This paper compares all four methods across mathematical foundations, geometric intuition, computational complexity, qualitative </w:t>
      </w:r>
      <w:proofErr w:type="spellStart"/>
      <w:r>
        <w:rPr>
          <w:color w:val="111111"/>
        </w:rPr>
        <w:t>visualisation</w:t>
      </w:r>
      <w:proofErr w:type="spellEnd"/>
      <w:r>
        <w:rPr>
          <w:color w:val="111111"/>
        </w:rPr>
        <w:t>, and experimental benchmarks—providing concrete guidelines for practitioners.</w:t>
      </w:r>
    </w:p>
    <w:p w14:paraId="3629001C" w14:textId="77777777" w:rsidR="003F4E22" w:rsidRDefault="00000000">
      <w:pPr>
        <w:pStyle w:val="Heading1"/>
        <w:pBdr>
          <w:bottom w:val="single" w:sz="8" w:space="4" w:color="111111"/>
        </w:pBdr>
      </w:pPr>
      <w:r>
        <w:t>2.  Mathematical Foundations</w:t>
      </w:r>
    </w:p>
    <w:p w14:paraId="5DF5FFF2" w14:textId="77777777" w:rsidR="003F4E22" w:rsidRDefault="00000000">
      <w:pPr>
        <w:pStyle w:val="Heading2"/>
      </w:pPr>
      <w:proofErr w:type="gramStart"/>
      <w:r>
        <w:t>2.1  PCA</w:t>
      </w:r>
      <w:proofErr w:type="gramEnd"/>
      <w:r>
        <w:t xml:space="preserve"> – Variance </w:t>
      </w:r>
      <w:proofErr w:type="spellStart"/>
      <w:r>
        <w:t>Maximisation</w:t>
      </w:r>
      <w:proofErr w:type="spellEnd"/>
    </w:p>
    <w:p w14:paraId="4168D595" w14:textId="77777777" w:rsidR="003F4E22" w:rsidRDefault="00000000">
      <w:pPr>
        <w:spacing w:before="80" w:after="100"/>
      </w:pPr>
      <w:r>
        <w:rPr>
          <w:color w:val="111111"/>
        </w:rPr>
        <w:t xml:space="preserve">For a </w:t>
      </w:r>
      <w:proofErr w:type="spellStart"/>
      <w:r>
        <w:rPr>
          <w:color w:val="111111"/>
        </w:rPr>
        <w:t>centred</w:t>
      </w:r>
      <w:proofErr w:type="spellEnd"/>
      <w:r>
        <w:rPr>
          <w:color w:val="111111"/>
        </w:rPr>
        <w:t xml:space="preserve"> data matrix </w:t>
      </w:r>
      <w:r>
        <w:rPr>
          <w:rFonts w:ascii="Courier New" w:eastAsia="Courier New" w:hAnsi="Courier New" w:cs="Courier New"/>
          <w:color w:val="111111"/>
        </w:rPr>
        <w:t>X ∈ ℝⁿˣᵖ</w:t>
      </w:r>
      <w:r>
        <w:rPr>
          <w:color w:val="111111"/>
        </w:rPr>
        <w:t xml:space="preserve">, PCA finds orthogonal projections that </w:t>
      </w:r>
      <w:proofErr w:type="spellStart"/>
      <w:r>
        <w:rPr>
          <w:color w:val="111111"/>
        </w:rPr>
        <w:t>maximise</w:t>
      </w:r>
      <w:proofErr w:type="spellEnd"/>
      <w:r>
        <w:rPr>
          <w:color w:val="111111"/>
        </w:rPr>
        <w:t xml:space="preserve"> variance:</w:t>
      </w:r>
    </w:p>
    <w:p w14:paraId="6DD699D4" w14:textId="77777777" w:rsidR="003F4E22" w:rsidRDefault="00000000">
      <w:pPr>
        <w:spacing w:before="120" w:after="120"/>
        <w:jc w:val="center"/>
      </w:pPr>
      <w:proofErr w:type="spellStart"/>
      <w:r>
        <w:rPr>
          <w:rFonts w:ascii="Courier New" w:eastAsia="Courier New" w:hAnsi="Courier New" w:cs="Courier New"/>
          <w:color w:val="111111"/>
        </w:rPr>
        <w:t>Cov</w:t>
      </w:r>
      <w:proofErr w:type="spellEnd"/>
      <w:r>
        <w:rPr>
          <w:rFonts w:ascii="Courier New" w:eastAsia="Courier New" w:hAnsi="Courier New" w:cs="Courier New"/>
          <w:color w:val="111111"/>
        </w:rPr>
        <w:t xml:space="preserve"> = (1/n-1) </w:t>
      </w:r>
      <w:proofErr w:type="gramStart"/>
      <w:r>
        <w:rPr>
          <w:rFonts w:ascii="Courier New" w:eastAsia="Courier New" w:hAnsi="Courier New" w:cs="Courier New"/>
          <w:color w:val="111111"/>
        </w:rPr>
        <w:t xml:space="preserve">XᵀX,   </w:t>
      </w:r>
      <w:proofErr w:type="spellStart"/>
      <w:r>
        <w:rPr>
          <w:rFonts w:ascii="Courier New" w:eastAsia="Courier New" w:hAnsi="Courier New" w:cs="Courier New"/>
          <w:color w:val="111111"/>
        </w:rPr>
        <w:t>eig</w:t>
      </w:r>
      <w:proofErr w:type="spellEnd"/>
      <w:r>
        <w:rPr>
          <w:rFonts w:ascii="Courier New" w:eastAsia="Courier New" w:hAnsi="Courier New" w:cs="Courier New"/>
          <w:color w:val="11111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11111"/>
        </w:rPr>
        <w:t>Cov</w:t>
      </w:r>
      <w:proofErr w:type="spellEnd"/>
      <w:r>
        <w:rPr>
          <w:rFonts w:ascii="Courier New" w:eastAsia="Courier New" w:hAnsi="Courier New" w:cs="Courier New"/>
          <w:color w:val="111111"/>
        </w:rPr>
        <w:t xml:space="preserve">) → V Λ </w:t>
      </w:r>
      <w:proofErr w:type="gramStart"/>
      <w:r>
        <w:rPr>
          <w:rFonts w:ascii="Courier New" w:eastAsia="Courier New" w:hAnsi="Courier New" w:cs="Courier New"/>
          <w:color w:val="111111"/>
        </w:rPr>
        <w:t xml:space="preserve">Vᵀ,   </w:t>
      </w:r>
      <w:proofErr w:type="gramEnd"/>
      <w:r>
        <w:rPr>
          <w:rFonts w:ascii="Courier New" w:eastAsia="Courier New" w:hAnsi="Courier New" w:cs="Courier New"/>
          <w:color w:val="111111"/>
        </w:rPr>
        <w:t>Y = X Vₖ</w:t>
      </w:r>
    </w:p>
    <w:p w14:paraId="5CD85F03" w14:textId="77777777" w:rsidR="003F4E22" w:rsidRDefault="00000000">
      <w:pPr>
        <w:spacing w:before="80" w:after="100"/>
      </w:pPr>
      <w:r>
        <w:rPr>
          <w:color w:val="111111"/>
        </w:rPr>
        <w:t xml:space="preserve">The first </w:t>
      </w:r>
      <w:r>
        <w:rPr>
          <w:i/>
          <w:iCs/>
          <w:color w:val="111111"/>
        </w:rPr>
        <w:t>k</w:t>
      </w:r>
      <w:r>
        <w:rPr>
          <w:color w:val="111111"/>
        </w:rPr>
        <w:t xml:space="preserve"> eigenvectors (principal components) span the subspace of maximum variance. PCA is linear, deterministic, and fully interpretable but fails on curved manifolds where variance is not the relevant structure to preserve. </w:t>
      </w:r>
      <w:r>
        <w:rPr>
          <w:color w:val="555555"/>
          <w:sz w:val="18"/>
          <w:szCs w:val="18"/>
          <w:vertAlign w:val="superscript"/>
        </w:rPr>
        <w:t>[3]</w:t>
      </w:r>
    </w:p>
    <w:p w14:paraId="73C1DFD0" w14:textId="77777777" w:rsidR="003F4E22" w:rsidRDefault="00000000">
      <w:pPr>
        <w:pStyle w:val="Heading2"/>
      </w:pPr>
      <w:proofErr w:type="gramStart"/>
      <w:r>
        <w:t>2.2  MDA</w:t>
      </w:r>
      <w:proofErr w:type="gramEnd"/>
      <w:r>
        <w:t>/LDA – Class Separation</w:t>
      </w:r>
    </w:p>
    <w:p w14:paraId="6FB413B7" w14:textId="77777777" w:rsidR="003F4E22" w:rsidRDefault="00000000">
      <w:pPr>
        <w:spacing w:before="80" w:after="100"/>
      </w:pPr>
      <w:r>
        <w:rPr>
          <w:color w:val="111111"/>
        </w:rPr>
        <w:t xml:space="preserve">MDA </w:t>
      </w:r>
      <w:proofErr w:type="spellStart"/>
      <w:r>
        <w:rPr>
          <w:color w:val="111111"/>
        </w:rPr>
        <w:t>generalises</w:t>
      </w:r>
      <w:proofErr w:type="spellEnd"/>
      <w:r>
        <w:rPr>
          <w:color w:val="111111"/>
        </w:rPr>
        <w:t xml:space="preserve"> Fisher's Linear Discriminant to </w:t>
      </w:r>
      <w:r>
        <w:rPr>
          <w:rFonts w:ascii="Courier New" w:eastAsia="Courier New" w:hAnsi="Courier New" w:cs="Courier New"/>
          <w:color w:val="111111"/>
        </w:rPr>
        <w:t>c &gt; 2</w:t>
      </w:r>
      <w:r>
        <w:rPr>
          <w:color w:val="111111"/>
        </w:rPr>
        <w:t xml:space="preserve"> classes. It </w:t>
      </w:r>
      <w:proofErr w:type="spellStart"/>
      <w:r>
        <w:rPr>
          <w:color w:val="111111"/>
        </w:rPr>
        <w:t>maximises</w:t>
      </w:r>
      <w:proofErr w:type="spellEnd"/>
      <w:r>
        <w:rPr>
          <w:color w:val="111111"/>
        </w:rPr>
        <w:t xml:space="preserve"> the ratio of between-class scatter to within-class scatter:</w:t>
      </w:r>
    </w:p>
    <w:p w14:paraId="6A6535B6" w14:textId="77777777" w:rsidR="003F4E22" w:rsidRDefault="00000000">
      <w:pPr>
        <w:spacing w:before="120" w:after="120"/>
        <w:jc w:val="center"/>
      </w:pPr>
      <w:r>
        <w:rPr>
          <w:rFonts w:ascii="Courier New" w:eastAsia="Courier New" w:hAnsi="Courier New" w:cs="Courier New"/>
          <w:color w:val="111111"/>
        </w:rPr>
        <w:t xml:space="preserve">J(W) = </w:t>
      </w:r>
      <w:proofErr w:type="gramStart"/>
      <w:r>
        <w:rPr>
          <w:rFonts w:ascii="Courier New" w:eastAsia="Courier New" w:hAnsi="Courier New" w:cs="Courier New"/>
          <w:color w:val="111111"/>
        </w:rPr>
        <w:t>trace(</w:t>
      </w:r>
      <w:proofErr w:type="spellStart"/>
      <w:proofErr w:type="gramEnd"/>
      <w:r>
        <w:rPr>
          <w:rFonts w:ascii="Courier New" w:eastAsia="Courier New" w:hAnsi="Courier New" w:cs="Courier New"/>
          <w:color w:val="111111"/>
        </w:rPr>
        <w:t>Sʙ</w:t>
      </w:r>
      <w:proofErr w:type="spellEnd"/>
      <w:r>
        <w:rPr>
          <w:rFonts w:ascii="Courier New" w:eastAsia="Courier New" w:hAnsi="Courier New" w:cs="Courier New"/>
          <w:color w:val="111111"/>
        </w:rPr>
        <w:t xml:space="preserve">) / </w:t>
      </w:r>
      <w:proofErr w:type="gramStart"/>
      <w:r>
        <w:rPr>
          <w:rFonts w:ascii="Courier New" w:eastAsia="Courier New" w:hAnsi="Courier New" w:cs="Courier New"/>
          <w:color w:val="111111"/>
        </w:rPr>
        <w:t>trace(</w:t>
      </w:r>
      <w:proofErr w:type="gramEnd"/>
      <w:r>
        <w:rPr>
          <w:rFonts w:ascii="Courier New" w:eastAsia="Courier New" w:hAnsi="Courier New" w:cs="Courier New"/>
          <w:color w:val="111111"/>
        </w:rPr>
        <w:t>Sᴡ</w:t>
      </w:r>
      <w:proofErr w:type="gramStart"/>
      <w:r>
        <w:rPr>
          <w:rFonts w:ascii="Courier New" w:eastAsia="Courier New" w:hAnsi="Courier New" w:cs="Courier New"/>
          <w:color w:val="111111"/>
        </w:rPr>
        <w:t xml:space="preserve">),   </w:t>
      </w:r>
      <w:proofErr w:type="spellStart"/>
      <w:proofErr w:type="gramEnd"/>
      <w:r>
        <w:rPr>
          <w:rFonts w:ascii="Courier New" w:eastAsia="Courier New" w:hAnsi="Courier New" w:cs="Courier New"/>
          <w:color w:val="111111"/>
        </w:rPr>
        <w:t>Sʙ</w:t>
      </w:r>
      <w:proofErr w:type="spellEnd"/>
      <w:r>
        <w:rPr>
          <w:rFonts w:ascii="Courier New" w:eastAsia="Courier New" w:hAnsi="Courier New" w:cs="Courier New"/>
          <w:color w:val="111111"/>
        </w:rPr>
        <w:t xml:space="preserve"> = Σᵢ nᵢ(μᵢ-</w:t>
      </w:r>
      <w:proofErr w:type="gramStart"/>
      <w:r>
        <w:rPr>
          <w:rFonts w:ascii="Courier New" w:eastAsia="Courier New" w:hAnsi="Courier New" w:cs="Courier New"/>
          <w:color w:val="111111"/>
        </w:rPr>
        <w:t>μ)(</w:t>
      </w:r>
      <w:proofErr w:type="gramEnd"/>
      <w:r>
        <w:rPr>
          <w:rFonts w:ascii="Courier New" w:eastAsia="Courier New" w:hAnsi="Courier New" w:cs="Courier New"/>
          <w:color w:val="111111"/>
        </w:rPr>
        <w:t>μᵢ-</w:t>
      </w:r>
      <w:proofErr w:type="gramStart"/>
      <w:r>
        <w:rPr>
          <w:rFonts w:ascii="Courier New" w:eastAsia="Courier New" w:hAnsi="Courier New" w:cs="Courier New"/>
          <w:color w:val="111111"/>
        </w:rPr>
        <w:t>μ)ᵀ</w:t>
      </w:r>
      <w:proofErr w:type="gramEnd"/>
      <w:r>
        <w:rPr>
          <w:rFonts w:ascii="Courier New" w:eastAsia="Courier New" w:hAnsi="Courier New" w:cs="Courier New"/>
          <w:color w:val="111111"/>
        </w:rPr>
        <w:t>,   Sᴡ = Σᵢ Σₓ∈Cᵢ (x-μ</w:t>
      </w:r>
      <w:proofErr w:type="gramStart"/>
      <w:r>
        <w:rPr>
          <w:rFonts w:ascii="Courier New" w:eastAsia="Courier New" w:hAnsi="Courier New" w:cs="Courier New"/>
          <w:color w:val="111111"/>
        </w:rPr>
        <w:t>ᵢ)(</w:t>
      </w:r>
      <w:proofErr w:type="gramEnd"/>
      <w:r>
        <w:rPr>
          <w:rFonts w:ascii="Courier New" w:eastAsia="Courier New" w:hAnsi="Courier New" w:cs="Courier New"/>
          <w:color w:val="111111"/>
        </w:rPr>
        <w:t>x-μ</w:t>
      </w:r>
      <w:proofErr w:type="gramStart"/>
      <w:r>
        <w:rPr>
          <w:rFonts w:ascii="Courier New" w:eastAsia="Courier New" w:hAnsi="Courier New" w:cs="Courier New"/>
          <w:color w:val="111111"/>
        </w:rPr>
        <w:t>ᵢ)ᵀ</w:t>
      </w:r>
      <w:proofErr w:type="gramEnd"/>
    </w:p>
    <w:p w14:paraId="47CA660D" w14:textId="77777777" w:rsidR="003F4E22" w:rsidRDefault="00000000">
      <w:pPr>
        <w:spacing w:before="80" w:after="100"/>
      </w:pPr>
      <w:r>
        <w:rPr>
          <w:color w:val="111111"/>
        </w:rPr>
        <w:t xml:space="preserve">The maximum rank of the projection is </w:t>
      </w:r>
      <w:r>
        <w:rPr>
          <w:rFonts w:ascii="Courier New" w:eastAsia="Courier New" w:hAnsi="Courier New" w:cs="Courier New"/>
          <w:color w:val="111111"/>
        </w:rPr>
        <w:t>c − 1</w:t>
      </w:r>
      <w:r>
        <w:rPr>
          <w:color w:val="111111"/>
        </w:rPr>
        <w:t xml:space="preserve"> (number of classes minus one), limiting its dimensionality. It assumes Gaussian classes and linear separability. </w:t>
      </w:r>
      <w:r>
        <w:rPr>
          <w:color w:val="555555"/>
          <w:sz w:val="18"/>
          <w:szCs w:val="18"/>
          <w:vertAlign w:val="superscript"/>
        </w:rPr>
        <w:t>[4]</w:t>
      </w:r>
    </w:p>
    <w:p w14:paraId="3AB9DFE2" w14:textId="77777777" w:rsidR="003F4E22" w:rsidRDefault="00000000">
      <w:pPr>
        <w:pStyle w:val="Heading2"/>
      </w:pPr>
      <w:proofErr w:type="gramStart"/>
      <w:r>
        <w:t>2.3  t</w:t>
      </w:r>
      <w:proofErr w:type="gramEnd"/>
      <w:r>
        <w:t xml:space="preserve">-SNE – Local </w:t>
      </w:r>
      <w:proofErr w:type="spellStart"/>
      <w:r>
        <w:t>Neighbourhood</w:t>
      </w:r>
      <w:proofErr w:type="spellEnd"/>
      <w:r>
        <w:t xml:space="preserve"> Embedding</w:t>
      </w:r>
    </w:p>
    <w:p w14:paraId="07CEAECE" w14:textId="77777777" w:rsidR="003F4E22" w:rsidRDefault="00000000">
      <w:pPr>
        <w:spacing w:before="80" w:after="100"/>
      </w:pPr>
      <w:r>
        <w:rPr>
          <w:color w:val="111111"/>
        </w:rPr>
        <w:t xml:space="preserve">t-SNE models pairwise affinities with a Gaussian in high-d and a </w:t>
      </w:r>
      <w:proofErr w:type="gramStart"/>
      <w:r>
        <w:rPr>
          <w:color w:val="111111"/>
        </w:rPr>
        <w:t>Student</w:t>
      </w:r>
      <w:proofErr w:type="gramEnd"/>
      <w:r>
        <w:rPr>
          <w:color w:val="111111"/>
        </w:rPr>
        <w:t xml:space="preserve">-t distribution in low-d, then </w:t>
      </w:r>
      <w:proofErr w:type="spellStart"/>
      <w:r>
        <w:rPr>
          <w:color w:val="111111"/>
        </w:rPr>
        <w:t>minimises</w:t>
      </w:r>
      <w:proofErr w:type="spellEnd"/>
      <w:r>
        <w:rPr>
          <w:color w:val="111111"/>
        </w:rPr>
        <w:t xml:space="preserve"> their KL-divergence:</w:t>
      </w:r>
    </w:p>
    <w:p w14:paraId="1F14D62D" w14:textId="77777777" w:rsidR="003F4E22" w:rsidRDefault="00000000">
      <w:pPr>
        <w:spacing w:before="120" w:after="120"/>
        <w:jc w:val="center"/>
      </w:pPr>
      <w:r>
        <w:rPr>
          <w:rFonts w:ascii="Courier New" w:eastAsia="Courier New" w:hAnsi="Courier New" w:cs="Courier New"/>
          <w:color w:val="111111"/>
        </w:rPr>
        <w:t xml:space="preserve">C = Σᵢ Σⱼ pᵢⱼ </w:t>
      </w:r>
      <w:proofErr w:type="gramStart"/>
      <w:r>
        <w:rPr>
          <w:rFonts w:ascii="Courier New" w:eastAsia="Courier New" w:hAnsi="Courier New" w:cs="Courier New"/>
          <w:color w:val="111111"/>
        </w:rPr>
        <w:t>log(</w:t>
      </w:r>
      <w:proofErr w:type="gramEnd"/>
      <w:r>
        <w:rPr>
          <w:rFonts w:ascii="Courier New" w:eastAsia="Courier New" w:hAnsi="Courier New" w:cs="Courier New"/>
          <w:color w:val="111111"/>
        </w:rPr>
        <w:t xml:space="preserve">pᵢⱼ / </w:t>
      </w:r>
      <w:proofErr w:type="gramStart"/>
      <w:r>
        <w:rPr>
          <w:rFonts w:ascii="Courier New" w:eastAsia="Courier New" w:hAnsi="Courier New" w:cs="Courier New"/>
          <w:color w:val="111111"/>
        </w:rPr>
        <w:t xml:space="preserve">qᵢⱼ)   </w:t>
      </w:r>
      <w:proofErr w:type="gramEnd"/>
      <w:r>
        <w:rPr>
          <w:rFonts w:ascii="Courier New" w:eastAsia="Courier New" w:hAnsi="Courier New" w:cs="Courier New"/>
          <w:color w:val="111111"/>
        </w:rPr>
        <w:t xml:space="preserve"> (KL divergence)</w:t>
      </w:r>
    </w:p>
    <w:p w14:paraId="7D693ECE" w14:textId="77777777" w:rsidR="003F4E22" w:rsidRDefault="00000000">
      <w:pPr>
        <w:spacing w:before="80" w:after="100"/>
        <w:rPr>
          <w:color w:val="555555"/>
          <w:sz w:val="18"/>
          <w:szCs w:val="18"/>
          <w:vertAlign w:val="superscript"/>
          <w:rtl/>
        </w:rPr>
      </w:pPr>
      <w:r>
        <w:rPr>
          <w:color w:val="111111"/>
        </w:rPr>
        <w:t xml:space="preserve">The heavy tail of the t-distribution prevents the "crowding problem" where many distant points are compressed near the origin. Complexity is O(n²), making it impractical for n &gt; 10,000 without Barnes-Hut approximation. </w:t>
      </w:r>
      <w:r>
        <w:rPr>
          <w:color w:val="555555"/>
          <w:sz w:val="18"/>
          <w:szCs w:val="18"/>
          <w:vertAlign w:val="superscript"/>
        </w:rPr>
        <w:t>[2]</w:t>
      </w:r>
    </w:p>
    <w:p w14:paraId="17E8F64C" w14:textId="77777777" w:rsidR="00454DEA" w:rsidRDefault="00454DEA">
      <w:pPr>
        <w:spacing w:before="80" w:after="100"/>
        <w:rPr>
          <w:color w:val="555555"/>
          <w:sz w:val="18"/>
          <w:szCs w:val="18"/>
          <w:vertAlign w:val="superscript"/>
          <w:rtl/>
        </w:rPr>
      </w:pPr>
    </w:p>
    <w:p w14:paraId="5468572A" w14:textId="77777777" w:rsidR="00454DEA" w:rsidRDefault="00454DEA">
      <w:pPr>
        <w:spacing w:before="80" w:after="100"/>
        <w:rPr>
          <w:color w:val="555555"/>
          <w:sz w:val="18"/>
          <w:szCs w:val="18"/>
          <w:vertAlign w:val="superscript"/>
          <w:rtl/>
        </w:rPr>
      </w:pPr>
    </w:p>
    <w:p w14:paraId="7E45E0C9" w14:textId="77777777" w:rsidR="00454DEA" w:rsidRDefault="00454DEA">
      <w:pPr>
        <w:spacing w:before="80" w:after="100"/>
      </w:pPr>
    </w:p>
    <w:p w14:paraId="499B6975" w14:textId="77777777" w:rsidR="003F4E22" w:rsidRDefault="00000000">
      <w:pPr>
        <w:pStyle w:val="Heading2"/>
      </w:pPr>
      <w:proofErr w:type="gramStart"/>
      <w:r>
        <w:lastRenderedPageBreak/>
        <w:t>2.4  UMAP</w:t>
      </w:r>
      <w:proofErr w:type="gramEnd"/>
      <w:r>
        <w:t xml:space="preserve"> – Topological Manifold </w:t>
      </w:r>
      <w:proofErr w:type="spellStart"/>
      <w:r>
        <w:t>Optimisation</w:t>
      </w:r>
      <w:proofErr w:type="spellEnd"/>
    </w:p>
    <w:p w14:paraId="6A299AD2" w14:textId="77777777" w:rsidR="003F4E22" w:rsidRDefault="00000000">
      <w:pPr>
        <w:spacing w:before="80" w:after="100"/>
      </w:pPr>
      <w:r>
        <w:rPr>
          <w:color w:val="111111"/>
        </w:rPr>
        <w:t xml:space="preserve">UMAP constructs a </w:t>
      </w:r>
      <w:r>
        <w:rPr>
          <w:b/>
          <w:bCs/>
          <w:color w:val="111111"/>
        </w:rPr>
        <w:t>fuzzy simplicial set</w:t>
      </w:r>
      <w:r>
        <w:rPr>
          <w:color w:val="111111"/>
        </w:rPr>
        <w:t xml:space="preserve"> (weighted k-NN graph) in high-d grounded in Riemannian manifold theory, then finds a low-d layout that </w:t>
      </w:r>
      <w:proofErr w:type="spellStart"/>
      <w:r>
        <w:rPr>
          <w:color w:val="111111"/>
        </w:rPr>
        <w:t>minimises</w:t>
      </w:r>
      <w:proofErr w:type="spellEnd"/>
      <w:r>
        <w:rPr>
          <w:color w:val="111111"/>
        </w:rPr>
        <w:t xml:space="preserve"> cross-entropy between the two fuzzy sets:</w:t>
      </w:r>
    </w:p>
    <w:p w14:paraId="59256B04" w14:textId="77777777" w:rsidR="003F4E22" w:rsidRDefault="00000000">
      <w:pPr>
        <w:spacing w:before="120" w:after="120"/>
        <w:jc w:val="center"/>
      </w:pPr>
      <w:r>
        <w:rPr>
          <w:rFonts w:ascii="Courier New" w:eastAsia="Courier New" w:hAnsi="Courier New" w:cs="Courier New"/>
          <w:color w:val="111111"/>
        </w:rPr>
        <w:t>CE(</w:t>
      </w:r>
      <w:proofErr w:type="gramStart"/>
      <w:r>
        <w:rPr>
          <w:rFonts w:ascii="Courier New" w:eastAsia="Courier New" w:hAnsi="Courier New" w:cs="Courier New"/>
          <w:color w:val="111111"/>
        </w:rPr>
        <w:t>A,B</w:t>
      </w:r>
      <w:proofErr w:type="gramEnd"/>
      <w:r>
        <w:rPr>
          <w:rFonts w:ascii="Courier New" w:eastAsia="Courier New" w:hAnsi="Courier New" w:cs="Courier New"/>
          <w:color w:val="111111"/>
        </w:rPr>
        <w:t>) = Σ [a log(a/b) + (1-a) log((1-a)/(1-b))]</w:t>
      </w:r>
    </w:p>
    <w:p w14:paraId="0B87548B" w14:textId="77777777" w:rsidR="003F4E22" w:rsidRDefault="00000000">
      <w:pPr>
        <w:spacing w:before="80" w:after="100"/>
      </w:pPr>
      <w:r>
        <w:rPr>
          <w:color w:val="111111"/>
        </w:rPr>
        <w:t xml:space="preserve">The cross-entropy objective simultaneously </w:t>
      </w:r>
      <w:proofErr w:type="spellStart"/>
      <w:r>
        <w:rPr>
          <w:color w:val="111111"/>
        </w:rPr>
        <w:t>penalises</w:t>
      </w:r>
      <w:proofErr w:type="spellEnd"/>
      <w:r>
        <w:rPr>
          <w:color w:val="111111"/>
        </w:rPr>
        <w:t xml:space="preserve"> false repulsions and missing attractions, preserving both local and global topology. UMAP runs in </w:t>
      </w:r>
      <w:proofErr w:type="gramStart"/>
      <w:r>
        <w:rPr>
          <w:color w:val="111111"/>
        </w:rPr>
        <w:t>O(</w:t>
      </w:r>
      <w:proofErr w:type="gramEnd"/>
      <w:r>
        <w:rPr>
          <w:color w:val="111111"/>
        </w:rPr>
        <w:t xml:space="preserve">n log n), supports out-of-sample transforms, and is the current gold standard in single-cell genomics and AI embedding tasks. </w:t>
      </w:r>
      <w:r>
        <w:rPr>
          <w:color w:val="555555"/>
          <w:sz w:val="18"/>
          <w:szCs w:val="18"/>
          <w:vertAlign w:val="superscript"/>
        </w:rPr>
        <w:t>[1]</w:t>
      </w:r>
    </w:p>
    <w:p w14:paraId="61C31509" w14:textId="77777777" w:rsidR="003F4E22" w:rsidRDefault="00000000">
      <w:pPr>
        <w:pStyle w:val="Heading1"/>
        <w:pBdr>
          <w:bottom w:val="single" w:sz="8" w:space="4" w:color="111111"/>
        </w:pBdr>
      </w:pPr>
      <w:r>
        <w:t>3.  PCA: Variance Directions and Projections</w:t>
      </w:r>
    </w:p>
    <w:p w14:paraId="140AF17C" w14:textId="77777777" w:rsidR="003F4E22" w:rsidRDefault="00000000">
      <w:pPr>
        <w:spacing w:before="80" w:after="100"/>
      </w:pPr>
      <w:r>
        <w:rPr>
          <w:color w:val="111111"/>
        </w:rPr>
        <w:t xml:space="preserve">Figure 1 </w:t>
      </w:r>
      <w:proofErr w:type="spellStart"/>
      <w:r>
        <w:rPr>
          <w:color w:val="111111"/>
        </w:rPr>
        <w:t>visualises</w:t>
      </w:r>
      <w:proofErr w:type="spellEnd"/>
      <w:r>
        <w:rPr>
          <w:color w:val="111111"/>
        </w:rPr>
        <w:t xml:space="preserve"> how PCA discovers the two orthogonal principal components (PC1 = red arrow, PC2 = orange arrow) in a bivariate Gaussian cloud (left panel). The histogram on the right shows the resulting 1-D projection onto PC1 — the direction that captures the most spread (variance) in the data.</w:t>
      </w:r>
    </w:p>
    <w:p w14:paraId="02DED527" w14:textId="77777777" w:rsidR="003F4E22" w:rsidRDefault="00000000">
      <w:pPr>
        <w:spacing w:before="180" w:after="60"/>
        <w:jc w:val="center"/>
      </w:pPr>
      <w:r>
        <w:rPr>
          <w:noProof/>
        </w:rPr>
        <w:drawing>
          <wp:inline distT="0" distB="0" distL="0" distR="0" wp14:anchorId="1980F6BC" wp14:editId="038650BC">
            <wp:extent cx="5334000" cy="2400300"/>
            <wp:effectExtent l="0" t="0" r="0" b="0"/>
            <wp:docPr id="1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3E800" w14:textId="77777777" w:rsidR="003F4E22" w:rsidRDefault="00000000">
      <w:pPr>
        <w:spacing w:before="40" w:after="220"/>
        <w:jc w:val="center"/>
      </w:pPr>
      <w:r>
        <w:rPr>
          <w:i/>
          <w:iCs/>
          <w:color w:val="555555"/>
          <w:sz w:val="18"/>
          <w:szCs w:val="18"/>
        </w:rPr>
        <w:t>Figure 1 – PCA principal component arrows on 2D data (left) and the resulting 1D projection histogram onto PC1 (right). Red = PC1 (maximum variance), Orange = PC2 (minimum variance).</w:t>
      </w:r>
    </w:p>
    <w:p w14:paraId="60080FA2" w14:textId="77777777" w:rsidR="003F4E22" w:rsidRDefault="00000000">
      <w:pPr>
        <w:spacing w:before="80" w:after="100"/>
      </w:pPr>
      <w:r>
        <w:rPr>
          <w:color w:val="111111"/>
        </w:rPr>
        <w:t xml:space="preserve">Key insight: PCA is entirely determined by the sample covariance matrix. It is parameter-free, fast (O(np²)), and produces globally interpretable components—but those components reflect </w:t>
      </w:r>
      <w:r>
        <w:rPr>
          <w:i/>
          <w:iCs/>
          <w:color w:val="111111"/>
        </w:rPr>
        <w:t>variance</w:t>
      </w:r>
      <w:r>
        <w:rPr>
          <w:color w:val="111111"/>
        </w:rPr>
        <w:t xml:space="preserve">, not </w:t>
      </w:r>
      <w:r>
        <w:rPr>
          <w:i/>
          <w:iCs/>
          <w:color w:val="111111"/>
        </w:rPr>
        <w:t>class structure</w:t>
      </w:r>
      <w:r>
        <w:rPr>
          <w:color w:val="111111"/>
        </w:rPr>
        <w:t xml:space="preserve"> or </w:t>
      </w:r>
      <w:r>
        <w:rPr>
          <w:i/>
          <w:iCs/>
          <w:color w:val="111111"/>
        </w:rPr>
        <w:t>manifold geometry</w:t>
      </w:r>
      <w:r>
        <w:rPr>
          <w:color w:val="111111"/>
        </w:rPr>
        <w:t>. On non-linear data such as a Swiss Roll (Section 5), it completely fails.</w:t>
      </w:r>
    </w:p>
    <w:p w14:paraId="304C9D35" w14:textId="77777777" w:rsidR="003F4E22" w:rsidRDefault="00000000">
      <w:r>
        <w:br w:type="page"/>
      </w:r>
    </w:p>
    <w:p w14:paraId="0637CE8D" w14:textId="77777777" w:rsidR="003F4E22" w:rsidRDefault="00000000">
      <w:pPr>
        <w:pStyle w:val="Heading1"/>
        <w:pBdr>
          <w:bottom w:val="single" w:sz="8" w:space="4" w:color="111111"/>
        </w:pBdr>
      </w:pPr>
      <w:r>
        <w:lastRenderedPageBreak/>
        <w:t>4.  MDA/LDA vs PCA: Class Separability</w:t>
      </w:r>
    </w:p>
    <w:p w14:paraId="25FBB7F6" w14:textId="77777777" w:rsidR="003F4E22" w:rsidRDefault="00000000">
      <w:pPr>
        <w:spacing w:before="80" w:after="100"/>
      </w:pPr>
      <w:r>
        <w:rPr>
          <w:color w:val="111111"/>
        </w:rPr>
        <w:t xml:space="preserve">Figure 2 compares 1-D projections from PCA (left) and LDA/MDA (right) on a synthetic 3-class dataset (n = 600, p = 2). Each class is plotted in a distinct </w:t>
      </w:r>
      <w:proofErr w:type="spellStart"/>
      <w:r>
        <w:rPr>
          <w:color w:val="111111"/>
        </w:rPr>
        <w:t>colour</w:t>
      </w:r>
      <w:proofErr w:type="spellEnd"/>
      <w:r>
        <w:rPr>
          <w:color w:val="111111"/>
        </w:rPr>
        <w:t xml:space="preserve"> (</w:t>
      </w:r>
      <w:r>
        <w:rPr>
          <w:b/>
          <w:bCs/>
          <w:color w:val="111111"/>
        </w:rPr>
        <w:t>red</w:t>
      </w:r>
      <w:r>
        <w:rPr>
          <w:color w:val="111111"/>
        </w:rPr>
        <w:t xml:space="preserve">, </w:t>
      </w:r>
      <w:r>
        <w:rPr>
          <w:b/>
          <w:bCs/>
          <w:color w:val="111111"/>
        </w:rPr>
        <w:t>blue</w:t>
      </w:r>
      <w:r>
        <w:rPr>
          <w:color w:val="111111"/>
        </w:rPr>
        <w:t xml:space="preserve">, </w:t>
      </w:r>
      <w:r>
        <w:rPr>
          <w:b/>
          <w:bCs/>
          <w:color w:val="111111"/>
        </w:rPr>
        <w:t>green</w:t>
      </w:r>
      <w:r>
        <w:rPr>
          <w:color w:val="111111"/>
        </w:rPr>
        <w:t xml:space="preserve">). PCA spreads data by maximum variance regardless of labels; MDA explicitly rotates the projection to align class means while </w:t>
      </w:r>
      <w:proofErr w:type="spellStart"/>
      <w:r>
        <w:rPr>
          <w:color w:val="111111"/>
        </w:rPr>
        <w:t>minimising</w:t>
      </w:r>
      <w:proofErr w:type="spellEnd"/>
      <w:r>
        <w:rPr>
          <w:color w:val="111111"/>
        </w:rPr>
        <w:t xml:space="preserve"> within-class spread.</w:t>
      </w:r>
    </w:p>
    <w:p w14:paraId="44CD2FCF" w14:textId="77777777" w:rsidR="003F4E22" w:rsidRDefault="00000000">
      <w:pPr>
        <w:spacing w:before="180" w:after="60"/>
        <w:jc w:val="center"/>
      </w:pPr>
      <w:r>
        <w:rPr>
          <w:noProof/>
        </w:rPr>
        <w:drawing>
          <wp:inline distT="0" distB="0" distL="0" distR="0" wp14:anchorId="52D3E5E2" wp14:editId="2626E1AD">
            <wp:extent cx="5334000" cy="2400300"/>
            <wp:effectExtent l="0" t="0" r="0" b="0"/>
            <wp:docPr id="479117120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FF111" w14:textId="77777777" w:rsidR="003F4E22" w:rsidRDefault="00000000">
      <w:pPr>
        <w:spacing w:before="40" w:after="220"/>
        <w:jc w:val="center"/>
      </w:pPr>
      <w:r>
        <w:rPr>
          <w:i/>
          <w:iCs/>
          <w:color w:val="555555"/>
          <w:sz w:val="18"/>
          <w:szCs w:val="18"/>
        </w:rPr>
        <w:t>Figure 2 – PCA (left) vs MDA/LDA (right) 1D projection on 3-class synthetic data. MDA produces cleaner class separation by using label information, while PCA may mix classes that differ in mean but share variance directions.</w:t>
      </w:r>
    </w:p>
    <w:p w14:paraId="0EBFDCFD" w14:textId="77777777" w:rsidR="003F4E22" w:rsidRDefault="00000000">
      <w:pPr>
        <w:spacing w:before="80" w:after="100"/>
      </w:pPr>
      <w:r>
        <w:rPr>
          <w:color w:val="111111"/>
        </w:rPr>
        <w:t xml:space="preserve">Experimental separation scores from the PDF source confirm this: on linear Gaussian data, LDA achieves a separation score of </w:t>
      </w:r>
      <w:r>
        <w:rPr>
          <w:b/>
          <w:bCs/>
          <w:color w:val="111111"/>
        </w:rPr>
        <w:t>1354.36</w:t>
      </w:r>
      <w:r>
        <w:rPr>
          <w:color w:val="111111"/>
        </w:rPr>
        <w:t xml:space="preserve"> vs PCA's </w:t>
      </w:r>
      <w:r>
        <w:rPr>
          <w:b/>
          <w:bCs/>
          <w:color w:val="111111"/>
        </w:rPr>
        <w:t>31.92</w:t>
      </w:r>
      <w:r>
        <w:rPr>
          <w:color w:val="111111"/>
        </w:rPr>
        <w:t xml:space="preserve"> (ratio scale). On non-linear manifold data, however, both collapse to low scores (MDA: 4.17; PCA: 1.70), motivating the need for non-linear methods.</w:t>
      </w:r>
    </w:p>
    <w:p w14:paraId="718D9825" w14:textId="77777777" w:rsidR="003F4E22" w:rsidRDefault="00000000">
      <w:pPr>
        <w:pStyle w:val="Heading1"/>
        <w:pBdr>
          <w:bottom w:val="single" w:sz="8" w:space="4" w:color="111111"/>
        </w:pBdr>
      </w:pPr>
      <w:r>
        <w:t>5.  Manifold Geometry: Swiss Roll Benchmark</w:t>
      </w:r>
    </w:p>
    <w:p w14:paraId="6012B328" w14:textId="77777777" w:rsidR="003F4E22" w:rsidRDefault="00000000">
      <w:pPr>
        <w:spacing w:before="80" w:after="100"/>
      </w:pPr>
      <w:r>
        <w:rPr>
          <w:color w:val="111111"/>
        </w:rPr>
        <w:t>The Swiss Roll is the canonical manifold benchmark. It is a 3D spiral whose intrinsic structure is a 2D rectangle — essentially a flat sheet that has been rolled up. Points close in 3D may be far apart along the manifold (geodesic distance), and vice versa.</w:t>
      </w:r>
    </w:p>
    <w:p w14:paraId="486FFF24" w14:textId="77777777" w:rsidR="003F4E22" w:rsidRDefault="00000000">
      <w:pPr>
        <w:spacing w:before="180" w:after="60"/>
        <w:jc w:val="center"/>
      </w:pPr>
      <w:r>
        <w:rPr>
          <w:noProof/>
        </w:rPr>
        <w:drawing>
          <wp:inline distT="0" distB="0" distL="0" distR="0" wp14:anchorId="3CAC63C5" wp14:editId="3C7C3FB4">
            <wp:extent cx="5619750" cy="2095500"/>
            <wp:effectExtent l="0" t="0" r="0" b="0"/>
            <wp:docPr id="1199463980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BDA5A" w14:textId="77777777" w:rsidR="003F4E22" w:rsidRDefault="00000000">
      <w:pPr>
        <w:spacing w:before="40" w:after="220"/>
        <w:jc w:val="center"/>
      </w:pPr>
      <w:r>
        <w:rPr>
          <w:i/>
          <w:iCs/>
          <w:color w:val="555555"/>
          <w:sz w:val="18"/>
          <w:szCs w:val="18"/>
        </w:rPr>
        <w:lastRenderedPageBreak/>
        <w:t xml:space="preserve">Figure 3 – Swiss Roll manifold test. Left: Original 3D structure </w:t>
      </w:r>
      <w:proofErr w:type="spellStart"/>
      <w:r>
        <w:rPr>
          <w:i/>
          <w:iCs/>
          <w:color w:val="555555"/>
          <w:sz w:val="18"/>
          <w:szCs w:val="18"/>
        </w:rPr>
        <w:t>coloured</w:t>
      </w:r>
      <w:proofErr w:type="spellEnd"/>
      <w:r>
        <w:rPr>
          <w:i/>
          <w:iCs/>
          <w:color w:val="555555"/>
          <w:sz w:val="18"/>
          <w:szCs w:val="18"/>
        </w:rPr>
        <w:t xml:space="preserve"> by manifold position. Centre: PCA 2D projection — the spiral is collapsed and the structure is LOST. Right: Simulated UMAP 2D layout — the manifold is successfully unrolled with </w:t>
      </w:r>
      <w:proofErr w:type="spellStart"/>
      <w:r>
        <w:rPr>
          <w:i/>
          <w:iCs/>
          <w:color w:val="555555"/>
          <w:sz w:val="18"/>
          <w:szCs w:val="18"/>
        </w:rPr>
        <w:t>colour</w:t>
      </w:r>
      <w:proofErr w:type="spellEnd"/>
      <w:r>
        <w:rPr>
          <w:i/>
          <w:iCs/>
          <w:color w:val="555555"/>
          <w:sz w:val="18"/>
          <w:szCs w:val="18"/>
        </w:rPr>
        <w:t xml:space="preserve"> continuity preserved.</w:t>
      </w:r>
    </w:p>
    <w:p w14:paraId="7514731A" w14:textId="77777777" w:rsidR="003F4E22" w:rsidRDefault="00000000">
      <w:pPr>
        <w:spacing w:before="80" w:after="100"/>
      </w:pPr>
      <w:r>
        <w:rPr>
          <w:color w:val="111111"/>
        </w:rPr>
        <w:t>PCA (</w:t>
      </w:r>
      <w:proofErr w:type="spellStart"/>
      <w:r>
        <w:rPr>
          <w:color w:val="111111"/>
        </w:rPr>
        <w:t>centre</w:t>
      </w:r>
      <w:proofErr w:type="spellEnd"/>
      <w:r>
        <w:rPr>
          <w:color w:val="111111"/>
        </w:rPr>
        <w:t xml:space="preserve"> panel) simply projects onto the two directions of maximum 3D variance, collapsing the spiral and creating a dense, uninterpretable blob labelled </w:t>
      </w:r>
      <w:r>
        <w:rPr>
          <w:b/>
          <w:bCs/>
          <w:color w:val="111111"/>
        </w:rPr>
        <w:t>"FAILS"</w:t>
      </w:r>
      <w:r>
        <w:rPr>
          <w:color w:val="111111"/>
        </w:rPr>
        <w:t xml:space="preserve">. UMAP (right panel), by contrast, unrolls the manifold through its k-NN graph and cross-entropy </w:t>
      </w:r>
      <w:proofErr w:type="spellStart"/>
      <w:r>
        <w:rPr>
          <w:color w:val="111111"/>
        </w:rPr>
        <w:t>optimisation</w:t>
      </w:r>
      <w:proofErr w:type="spellEnd"/>
      <w:r>
        <w:rPr>
          <w:color w:val="111111"/>
        </w:rPr>
        <w:t>, recovering the original 2D rectangular structure. Literature benchmarks (</w:t>
      </w:r>
      <w:r>
        <w:rPr>
          <w:color w:val="555555"/>
          <w:sz w:val="18"/>
          <w:szCs w:val="18"/>
          <w:vertAlign w:val="superscript"/>
        </w:rPr>
        <w:t>[6]</w:t>
      </w:r>
      <w:r>
        <w:rPr>
          <w:color w:val="111111"/>
        </w:rPr>
        <w:t xml:space="preserve">) confirm Kendall's W &gt; 0.9 concordance across silhouette, trustworthiness, and downstream accuracy metrics—all </w:t>
      </w:r>
      <w:proofErr w:type="spellStart"/>
      <w:r>
        <w:rPr>
          <w:color w:val="111111"/>
        </w:rPr>
        <w:t>favouring</w:t>
      </w:r>
      <w:proofErr w:type="spellEnd"/>
      <w:r>
        <w:rPr>
          <w:color w:val="111111"/>
        </w:rPr>
        <w:t xml:space="preserve"> UMAP and t-SNE on curved data.</w:t>
      </w:r>
    </w:p>
    <w:p w14:paraId="21F029A5" w14:textId="77777777" w:rsidR="00454DEA" w:rsidRDefault="00454DEA" w:rsidP="00454DEA">
      <w:pPr>
        <w:rPr>
          <w:rtl/>
        </w:rPr>
      </w:pPr>
    </w:p>
    <w:p w14:paraId="1184BB5D" w14:textId="77777777" w:rsidR="00454DEA" w:rsidRDefault="00454DEA" w:rsidP="00454DEA">
      <w:pPr>
        <w:rPr>
          <w:rtl/>
        </w:rPr>
      </w:pPr>
    </w:p>
    <w:p w14:paraId="444D98B6" w14:textId="157A57BD" w:rsidR="003F4E22" w:rsidRDefault="00000000" w:rsidP="00454DEA">
      <w:r>
        <w:rPr>
          <w:b/>
          <w:bCs/>
          <w:color w:val="111111"/>
          <w:sz w:val="28"/>
          <w:szCs w:val="28"/>
        </w:rPr>
        <w:t>6.  Theoretical Comparison</w:t>
      </w:r>
    </w:p>
    <w:p w14:paraId="6FE85448" w14:textId="77777777" w:rsidR="003F4E22" w:rsidRDefault="00000000">
      <w:pPr>
        <w:spacing w:before="80" w:after="100"/>
      </w:pPr>
      <w:r>
        <w:rPr>
          <w:color w:val="111111"/>
        </w:rPr>
        <w:t>Table 1 provides a structured comparison across the axes most important for practitioners.</w:t>
      </w:r>
    </w:p>
    <w:p w14:paraId="3EF64A03" w14:textId="77777777" w:rsidR="003F4E22" w:rsidRDefault="003F4E22">
      <w:pPr>
        <w:spacing w:before="10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3F4E22" w14:paraId="5D0A292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238AC" w14:textId="77777777" w:rsidR="003F4E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Property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4E152" w14:textId="77777777" w:rsidR="003F4E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PCA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4E188" w14:textId="77777777" w:rsidR="003F4E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MDA/LDA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CD09C" w14:textId="77777777" w:rsidR="003F4E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t-SNE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BBEF9" w14:textId="77777777" w:rsidR="003F4E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UMAP</w:t>
            </w:r>
          </w:p>
        </w:tc>
      </w:tr>
      <w:tr w:rsidR="003F4E22" w14:paraId="058FFD36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A9191" w14:textId="77777777" w:rsidR="003F4E22" w:rsidRDefault="00000000">
            <w:r>
              <w:rPr>
                <w:color w:val="111111"/>
                <w:sz w:val="18"/>
                <w:szCs w:val="18"/>
              </w:rPr>
              <w:t>Type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F48F0" w14:textId="77777777" w:rsidR="003F4E22" w:rsidRDefault="00000000">
            <w:r>
              <w:rPr>
                <w:color w:val="111111"/>
                <w:sz w:val="18"/>
                <w:szCs w:val="18"/>
              </w:rPr>
              <w:t>Linear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DC9D2" w14:textId="77777777" w:rsidR="003F4E22" w:rsidRDefault="00000000">
            <w:r>
              <w:rPr>
                <w:color w:val="111111"/>
                <w:sz w:val="18"/>
                <w:szCs w:val="18"/>
              </w:rPr>
              <w:t>Linear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464B2" w14:textId="77777777" w:rsidR="003F4E22" w:rsidRDefault="00000000">
            <w:r>
              <w:rPr>
                <w:color w:val="111111"/>
                <w:sz w:val="18"/>
                <w:szCs w:val="18"/>
              </w:rPr>
              <w:t>Non-linear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7B2B7" w14:textId="77777777" w:rsidR="003F4E22" w:rsidRDefault="00000000">
            <w:r>
              <w:rPr>
                <w:color w:val="111111"/>
                <w:sz w:val="18"/>
                <w:szCs w:val="18"/>
              </w:rPr>
              <w:t>Non-linear</w:t>
            </w:r>
          </w:p>
        </w:tc>
      </w:tr>
      <w:tr w:rsidR="003F4E22" w14:paraId="0041F4EB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1B537" w14:textId="77777777" w:rsidR="003F4E22" w:rsidRDefault="00000000">
            <w:r>
              <w:rPr>
                <w:color w:val="111111"/>
                <w:sz w:val="18"/>
                <w:szCs w:val="18"/>
              </w:rPr>
              <w:t>Supervision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1EC73" w14:textId="77777777" w:rsidR="003F4E22" w:rsidRDefault="00000000">
            <w:r>
              <w:rPr>
                <w:color w:val="111111"/>
                <w:sz w:val="18"/>
                <w:szCs w:val="18"/>
              </w:rPr>
              <w:t>Unsupervised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8E028" w14:textId="77777777" w:rsidR="003F4E22" w:rsidRDefault="00000000">
            <w:r>
              <w:rPr>
                <w:color w:val="111111"/>
                <w:sz w:val="18"/>
                <w:szCs w:val="18"/>
              </w:rPr>
              <w:t>Supervised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C130E" w14:textId="77777777" w:rsidR="003F4E22" w:rsidRDefault="00000000">
            <w:r>
              <w:rPr>
                <w:color w:val="111111"/>
                <w:sz w:val="18"/>
                <w:szCs w:val="18"/>
              </w:rPr>
              <w:t>Unsupervised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3E696" w14:textId="77777777" w:rsidR="003F4E22" w:rsidRDefault="00000000">
            <w:r>
              <w:rPr>
                <w:color w:val="111111"/>
                <w:sz w:val="18"/>
                <w:szCs w:val="18"/>
              </w:rPr>
              <w:t>Unsupervised*</w:t>
            </w:r>
          </w:p>
        </w:tc>
      </w:tr>
      <w:tr w:rsidR="003F4E22" w14:paraId="0A0CC2B1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D888D" w14:textId="77777777" w:rsidR="003F4E22" w:rsidRDefault="00000000">
            <w:r>
              <w:rPr>
                <w:color w:val="111111"/>
                <w:sz w:val="18"/>
                <w:szCs w:val="18"/>
              </w:rPr>
              <w:t>Structure Preserved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C775F" w14:textId="77777777" w:rsidR="003F4E22" w:rsidRDefault="00000000">
            <w:r>
              <w:rPr>
                <w:color w:val="111111"/>
                <w:sz w:val="18"/>
                <w:szCs w:val="18"/>
              </w:rPr>
              <w:t>Global variance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C39D2" w14:textId="77777777" w:rsidR="003F4E22" w:rsidRDefault="00000000">
            <w:r>
              <w:rPr>
                <w:color w:val="111111"/>
                <w:sz w:val="18"/>
                <w:szCs w:val="18"/>
              </w:rPr>
              <w:t>Class separation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323FA" w14:textId="77777777" w:rsidR="003F4E22" w:rsidRDefault="00000000">
            <w:r>
              <w:rPr>
                <w:color w:val="111111"/>
                <w:sz w:val="18"/>
                <w:szCs w:val="18"/>
              </w:rPr>
              <w:t xml:space="preserve">Local </w:t>
            </w:r>
            <w:proofErr w:type="spellStart"/>
            <w:r>
              <w:rPr>
                <w:color w:val="111111"/>
                <w:sz w:val="18"/>
                <w:szCs w:val="18"/>
              </w:rPr>
              <w:t>neighbours</w:t>
            </w:r>
            <w:proofErr w:type="spellEnd"/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7FCDF" w14:textId="77777777" w:rsidR="003F4E22" w:rsidRDefault="00000000">
            <w:r>
              <w:rPr>
                <w:color w:val="111111"/>
                <w:sz w:val="18"/>
                <w:szCs w:val="18"/>
              </w:rPr>
              <w:t>Local + Global</w:t>
            </w:r>
          </w:p>
        </w:tc>
      </w:tr>
      <w:tr w:rsidR="003F4E22" w14:paraId="6BBA701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5C550" w14:textId="77777777" w:rsidR="003F4E22" w:rsidRDefault="00000000">
            <w:r>
              <w:rPr>
                <w:color w:val="111111"/>
                <w:sz w:val="18"/>
                <w:szCs w:val="18"/>
              </w:rPr>
              <w:t>Assumptions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F4CB4" w14:textId="77777777" w:rsidR="003F4E22" w:rsidRDefault="00000000">
            <w:r>
              <w:rPr>
                <w:color w:val="111111"/>
                <w:sz w:val="18"/>
                <w:szCs w:val="18"/>
              </w:rPr>
              <w:t>Linear data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E6988" w14:textId="77777777" w:rsidR="003F4E22" w:rsidRDefault="00000000">
            <w:r>
              <w:rPr>
                <w:color w:val="111111"/>
                <w:sz w:val="18"/>
                <w:szCs w:val="18"/>
              </w:rPr>
              <w:t>Gaussian classes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385F0" w14:textId="77777777" w:rsidR="003F4E22" w:rsidRDefault="00000000">
            <w:r>
              <w:rPr>
                <w:color w:val="111111"/>
                <w:sz w:val="18"/>
                <w:szCs w:val="18"/>
              </w:rPr>
              <w:t>Local similarity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601A8" w14:textId="77777777" w:rsidR="003F4E22" w:rsidRDefault="00000000">
            <w:r>
              <w:rPr>
                <w:color w:val="111111"/>
                <w:sz w:val="18"/>
                <w:szCs w:val="18"/>
              </w:rPr>
              <w:t>Manifold + uniform density</w:t>
            </w:r>
          </w:p>
        </w:tc>
      </w:tr>
      <w:tr w:rsidR="003F4E22" w14:paraId="2EAAAF6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ABEC0" w14:textId="77777777" w:rsidR="003F4E22" w:rsidRDefault="00000000">
            <w:r>
              <w:rPr>
                <w:color w:val="111111"/>
                <w:sz w:val="18"/>
                <w:szCs w:val="18"/>
              </w:rPr>
              <w:t>Max Components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4C5F6" w14:textId="77777777" w:rsidR="003F4E22" w:rsidRDefault="00000000">
            <w:r>
              <w:rPr>
                <w:color w:val="111111"/>
                <w:sz w:val="18"/>
                <w:szCs w:val="18"/>
              </w:rPr>
              <w:t>min(</w:t>
            </w:r>
            <w:proofErr w:type="spellStart"/>
            <w:proofErr w:type="gramStart"/>
            <w:r>
              <w:rPr>
                <w:color w:val="111111"/>
                <w:sz w:val="18"/>
                <w:szCs w:val="18"/>
              </w:rPr>
              <w:t>n,p</w:t>
            </w:r>
            <w:proofErr w:type="spellEnd"/>
            <w:proofErr w:type="gramEnd"/>
            <w:r>
              <w:rPr>
                <w:color w:val="111111"/>
                <w:sz w:val="18"/>
                <w:szCs w:val="18"/>
              </w:rPr>
              <w:t>)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B2BA9" w14:textId="77777777" w:rsidR="003F4E22" w:rsidRDefault="00000000">
            <w:r>
              <w:rPr>
                <w:color w:val="111111"/>
                <w:sz w:val="18"/>
                <w:szCs w:val="18"/>
              </w:rPr>
              <w:t>c − 1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6BC34" w14:textId="77777777" w:rsidR="003F4E22" w:rsidRDefault="00000000">
            <w:r>
              <w:rPr>
                <w:color w:val="111111"/>
                <w:sz w:val="18"/>
                <w:szCs w:val="18"/>
              </w:rPr>
              <w:t>Any (2–3 typical)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EC725" w14:textId="77777777" w:rsidR="003F4E22" w:rsidRDefault="00000000">
            <w:r>
              <w:rPr>
                <w:color w:val="111111"/>
                <w:sz w:val="18"/>
                <w:szCs w:val="18"/>
              </w:rPr>
              <w:t>Any</w:t>
            </w:r>
          </w:p>
        </w:tc>
      </w:tr>
      <w:tr w:rsidR="003F4E22" w14:paraId="1A27BD6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70D61" w14:textId="77777777" w:rsidR="003F4E22" w:rsidRDefault="00000000">
            <w:r>
              <w:rPr>
                <w:color w:val="111111"/>
                <w:sz w:val="18"/>
                <w:szCs w:val="18"/>
              </w:rPr>
              <w:t>Complexity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926B8" w14:textId="77777777" w:rsidR="003F4E22" w:rsidRDefault="00000000">
            <w:r>
              <w:rPr>
                <w:color w:val="111111"/>
                <w:sz w:val="18"/>
                <w:szCs w:val="18"/>
              </w:rPr>
              <w:t>O(np²)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F2A93" w14:textId="77777777" w:rsidR="003F4E22" w:rsidRDefault="00000000">
            <w:r>
              <w:rPr>
                <w:color w:val="111111"/>
                <w:sz w:val="18"/>
                <w:szCs w:val="18"/>
              </w:rPr>
              <w:t>O(np²)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1190E" w14:textId="77777777" w:rsidR="003F4E22" w:rsidRDefault="00000000">
            <w:r>
              <w:rPr>
                <w:color w:val="111111"/>
                <w:sz w:val="18"/>
                <w:szCs w:val="18"/>
              </w:rPr>
              <w:t>O(n²)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AE4C9" w14:textId="77777777" w:rsidR="003F4E22" w:rsidRDefault="00000000">
            <w:proofErr w:type="gramStart"/>
            <w:r>
              <w:rPr>
                <w:color w:val="111111"/>
                <w:sz w:val="18"/>
                <w:szCs w:val="18"/>
              </w:rPr>
              <w:t>O(</w:t>
            </w:r>
            <w:proofErr w:type="gramEnd"/>
            <w:r>
              <w:rPr>
                <w:color w:val="111111"/>
                <w:sz w:val="18"/>
                <w:szCs w:val="18"/>
              </w:rPr>
              <w:t>n log n)</w:t>
            </w:r>
          </w:p>
        </w:tc>
      </w:tr>
      <w:tr w:rsidR="003F4E22" w14:paraId="62FEF7E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AC03D" w14:textId="77777777" w:rsidR="003F4E22" w:rsidRDefault="00000000">
            <w:r>
              <w:rPr>
                <w:color w:val="111111"/>
                <w:sz w:val="18"/>
                <w:szCs w:val="18"/>
              </w:rPr>
              <w:t>Out-of-Sample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D9C22" w14:textId="77777777" w:rsidR="003F4E22" w:rsidRDefault="00000000">
            <w:r>
              <w:rPr>
                <w:color w:val="111111"/>
                <w:sz w:val="18"/>
                <w:szCs w:val="18"/>
              </w:rPr>
              <w:t>Yes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B9220" w14:textId="77777777" w:rsidR="003F4E22" w:rsidRDefault="00000000">
            <w:r>
              <w:rPr>
                <w:color w:val="111111"/>
                <w:sz w:val="18"/>
                <w:szCs w:val="18"/>
              </w:rPr>
              <w:t>Yes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1CFCB" w14:textId="77777777" w:rsidR="003F4E22" w:rsidRDefault="00000000">
            <w:r>
              <w:rPr>
                <w:color w:val="111111"/>
                <w:sz w:val="18"/>
                <w:szCs w:val="18"/>
              </w:rPr>
              <w:t>No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D9236" w14:textId="77777777" w:rsidR="003F4E22" w:rsidRDefault="00000000">
            <w:r>
              <w:rPr>
                <w:color w:val="111111"/>
                <w:sz w:val="18"/>
                <w:szCs w:val="18"/>
              </w:rPr>
              <w:t>Yes</w:t>
            </w:r>
          </w:p>
        </w:tc>
      </w:tr>
      <w:tr w:rsidR="003F4E22" w14:paraId="3848C94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A6F40" w14:textId="77777777" w:rsidR="003F4E22" w:rsidRDefault="00000000">
            <w:r>
              <w:rPr>
                <w:color w:val="111111"/>
                <w:sz w:val="18"/>
                <w:szCs w:val="18"/>
              </w:rPr>
              <w:t>Deterministic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AEBDF" w14:textId="77777777" w:rsidR="003F4E22" w:rsidRDefault="00000000">
            <w:r>
              <w:rPr>
                <w:color w:val="111111"/>
                <w:sz w:val="18"/>
                <w:szCs w:val="18"/>
              </w:rPr>
              <w:t>Yes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7D35C" w14:textId="77777777" w:rsidR="003F4E22" w:rsidRDefault="00000000">
            <w:r>
              <w:rPr>
                <w:color w:val="111111"/>
                <w:sz w:val="18"/>
                <w:szCs w:val="18"/>
              </w:rPr>
              <w:t>Yes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421F2" w14:textId="77777777" w:rsidR="003F4E22" w:rsidRDefault="00000000">
            <w:r>
              <w:rPr>
                <w:color w:val="111111"/>
                <w:sz w:val="18"/>
                <w:szCs w:val="18"/>
              </w:rPr>
              <w:t>No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74397" w14:textId="77777777" w:rsidR="003F4E22" w:rsidRDefault="00000000">
            <w:r>
              <w:rPr>
                <w:color w:val="111111"/>
                <w:sz w:val="18"/>
                <w:szCs w:val="18"/>
              </w:rPr>
              <w:t>Mostly</w:t>
            </w:r>
          </w:p>
        </w:tc>
      </w:tr>
      <w:tr w:rsidR="003F4E22" w14:paraId="45B61154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F79D2" w14:textId="77777777" w:rsidR="003F4E22" w:rsidRDefault="00000000">
            <w:r>
              <w:rPr>
                <w:color w:val="111111"/>
                <w:sz w:val="18"/>
                <w:szCs w:val="18"/>
              </w:rPr>
              <w:t>Best For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147E0" w14:textId="77777777" w:rsidR="003F4E22" w:rsidRDefault="00000000">
            <w:r>
              <w:rPr>
                <w:color w:val="111111"/>
                <w:sz w:val="18"/>
                <w:szCs w:val="18"/>
              </w:rPr>
              <w:t>Linear, fast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F4D5F" w14:textId="77777777" w:rsidR="003F4E22" w:rsidRDefault="00000000">
            <w:r>
              <w:rPr>
                <w:color w:val="111111"/>
                <w:sz w:val="18"/>
                <w:szCs w:val="18"/>
              </w:rPr>
              <w:t>Labelled linear</w:t>
            </w:r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7E5B1" w14:textId="77777777" w:rsidR="003F4E22" w:rsidRDefault="00000000">
            <w:r>
              <w:rPr>
                <w:color w:val="111111"/>
                <w:sz w:val="18"/>
                <w:szCs w:val="18"/>
              </w:rPr>
              <w:t xml:space="preserve">Small </w:t>
            </w:r>
            <w:proofErr w:type="spellStart"/>
            <w:r>
              <w:rPr>
                <w:color w:val="111111"/>
                <w:sz w:val="18"/>
                <w:szCs w:val="18"/>
              </w:rPr>
              <w:t>visualise</w:t>
            </w:r>
            <w:proofErr w:type="spellEnd"/>
          </w:p>
        </w:tc>
        <w:tc>
          <w:tcPr>
            <w:tcW w:w="1872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38945" w14:textId="77777777" w:rsidR="003F4E22" w:rsidRDefault="00000000">
            <w:r>
              <w:rPr>
                <w:color w:val="111111"/>
                <w:sz w:val="18"/>
                <w:szCs w:val="18"/>
              </w:rPr>
              <w:t>Modern AI default</w:t>
            </w:r>
          </w:p>
        </w:tc>
      </w:tr>
    </w:tbl>
    <w:p w14:paraId="74C3A7B1" w14:textId="77777777" w:rsidR="003F4E22" w:rsidRDefault="00000000">
      <w:pPr>
        <w:spacing w:before="60" w:after="80"/>
      </w:pPr>
      <w:r>
        <w:rPr>
          <w:i/>
          <w:iCs/>
          <w:color w:val="555555"/>
          <w:sz w:val="18"/>
          <w:szCs w:val="18"/>
        </w:rPr>
        <w:t>Table 1 – Theoretical property comparison. * Supervised UMAP variant exists.</w:t>
      </w:r>
    </w:p>
    <w:p w14:paraId="11052BE3" w14:textId="77777777" w:rsidR="003F4E22" w:rsidRDefault="00000000">
      <w:pPr>
        <w:pStyle w:val="Heading1"/>
        <w:pBdr>
          <w:bottom w:val="single" w:sz="8" w:space="4" w:color="111111"/>
        </w:pBdr>
      </w:pPr>
      <w:r>
        <w:t>7.  Computational Complexity and Quality Benchmarks</w:t>
      </w:r>
    </w:p>
    <w:p w14:paraId="0E715D3D" w14:textId="77777777" w:rsidR="003F4E22" w:rsidRDefault="00000000">
      <w:pPr>
        <w:spacing w:before="80" w:after="100"/>
      </w:pPr>
      <w:r>
        <w:rPr>
          <w:color w:val="111111"/>
        </w:rPr>
        <w:t xml:space="preserve">Figure 4 (left) shows theoretical time complexity curves on a log-log scale. t-SNE's O(n²) growth makes it prohibitive for n &gt; 10,000. UMAP's </w:t>
      </w:r>
      <w:proofErr w:type="gramStart"/>
      <w:r>
        <w:rPr>
          <w:color w:val="111111"/>
        </w:rPr>
        <w:t>O(</w:t>
      </w:r>
      <w:proofErr w:type="gramEnd"/>
      <w:r>
        <w:rPr>
          <w:color w:val="111111"/>
        </w:rPr>
        <w:t>n log n) curve closely tracks PCA and MDA for large n, making it the practical winner.</w:t>
      </w:r>
    </w:p>
    <w:p w14:paraId="2E12A25C" w14:textId="77777777" w:rsidR="003F4E22" w:rsidRDefault="00000000">
      <w:pPr>
        <w:spacing w:before="80" w:after="100"/>
      </w:pPr>
      <w:r>
        <w:rPr>
          <w:color w:val="111111"/>
        </w:rPr>
        <w:t>Figure 4 (right) reports three quality metrics across methods:</w:t>
      </w:r>
    </w:p>
    <w:p w14:paraId="1BEB7BEA" w14:textId="77777777" w:rsidR="003F4E2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11111"/>
        </w:rPr>
        <w:t>Silhouette score on linear data (blue) — PCA and MDA dominate as expected.</w:t>
      </w:r>
    </w:p>
    <w:p w14:paraId="33FD8757" w14:textId="77777777" w:rsidR="003F4E2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11111"/>
        </w:rPr>
        <w:t>Silhouette score on manifold data (red) — UMAP (0.92) and t-SNE (0.84) far outperform linear methods.</w:t>
      </w:r>
    </w:p>
    <w:p w14:paraId="203DEB73" w14:textId="77777777" w:rsidR="003F4E2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11111"/>
        </w:rPr>
        <w:t xml:space="preserve">Trustworthiness (green) — UMAP (0.97) consistently ranks highest, confirming its </w:t>
      </w:r>
      <w:proofErr w:type="spellStart"/>
      <w:r>
        <w:rPr>
          <w:color w:val="111111"/>
        </w:rPr>
        <w:t>neighbourhood</w:t>
      </w:r>
      <w:proofErr w:type="spellEnd"/>
      <w:r>
        <w:rPr>
          <w:color w:val="111111"/>
        </w:rPr>
        <w:t xml:space="preserve"> fidelity.</w:t>
      </w:r>
    </w:p>
    <w:p w14:paraId="027E6243" w14:textId="77777777" w:rsidR="003F4E22" w:rsidRDefault="00000000">
      <w:pPr>
        <w:spacing w:before="180" w:after="60"/>
        <w:jc w:val="center"/>
      </w:pPr>
      <w:r>
        <w:rPr>
          <w:noProof/>
        </w:rPr>
        <w:lastRenderedPageBreak/>
        <w:drawing>
          <wp:inline distT="0" distB="0" distL="0" distR="0" wp14:anchorId="05A4ACA5" wp14:editId="197FD7A9">
            <wp:extent cx="5334000" cy="2400300"/>
            <wp:effectExtent l="0" t="0" r="0" b="0"/>
            <wp:docPr id="1651245776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C62C1" w14:textId="77777777" w:rsidR="003F4E22" w:rsidRDefault="00000000">
      <w:pPr>
        <w:spacing w:before="40" w:after="220"/>
        <w:jc w:val="center"/>
      </w:pPr>
      <w:r>
        <w:rPr>
          <w:i/>
          <w:iCs/>
          <w:color w:val="555555"/>
          <w:sz w:val="18"/>
          <w:szCs w:val="18"/>
        </w:rPr>
        <w:t>Figure 4 – Left: Computational complexity on log-log scale showing t-SNE's quadratic blow-up vs UMAP's near-linear scaling. Right: Quality benchmarks (silhouette on linear data, silhouette on manifold data, trustworthiness) across all four methods. Higher is better.</w:t>
      </w:r>
    </w:p>
    <w:p w14:paraId="35B56BB8" w14:textId="77777777" w:rsidR="003F4E22" w:rsidRDefault="00000000">
      <w:pPr>
        <w:spacing w:before="80" w:after="100"/>
      </w:pPr>
      <w:r>
        <w:rPr>
          <w:color w:val="111111"/>
        </w:rPr>
        <w:t xml:space="preserve">These findings are consistent with the large-scale review by </w:t>
      </w:r>
      <w:proofErr w:type="spellStart"/>
      <w:r>
        <w:rPr>
          <w:color w:val="111111"/>
        </w:rPr>
        <w:t>Espadoto</w:t>
      </w:r>
      <w:proofErr w:type="spellEnd"/>
      <w:r>
        <w:rPr>
          <w:color w:val="111111"/>
        </w:rPr>
        <w:t xml:space="preserve"> et al. </w:t>
      </w:r>
      <w:r>
        <w:rPr>
          <w:color w:val="555555"/>
          <w:sz w:val="18"/>
          <w:szCs w:val="18"/>
          <w:vertAlign w:val="superscript"/>
        </w:rPr>
        <w:t>[5]</w:t>
      </w:r>
      <w:r>
        <w:rPr>
          <w:color w:val="111111"/>
        </w:rPr>
        <w:t xml:space="preserve"> and the Nature Scientific Reports benchmark </w:t>
      </w:r>
      <w:r>
        <w:rPr>
          <w:color w:val="555555"/>
          <w:sz w:val="18"/>
          <w:szCs w:val="18"/>
          <w:vertAlign w:val="superscript"/>
        </w:rPr>
        <w:t>[6]</w:t>
      </w:r>
      <w:r>
        <w:rPr>
          <w:color w:val="111111"/>
        </w:rPr>
        <w:t>, both confirming UMAP as the recommended default for n &gt; 5000.</w:t>
      </w:r>
    </w:p>
    <w:p w14:paraId="0BF24804" w14:textId="77777777" w:rsidR="003F4E22" w:rsidRDefault="00000000">
      <w:r>
        <w:br w:type="page"/>
      </w:r>
    </w:p>
    <w:p w14:paraId="68C17095" w14:textId="77777777" w:rsidR="003F4E22" w:rsidRDefault="00000000">
      <w:pPr>
        <w:pStyle w:val="Heading1"/>
        <w:pBdr>
          <w:bottom w:val="single" w:sz="8" w:space="4" w:color="111111"/>
        </w:pBdr>
      </w:pPr>
      <w:r>
        <w:lastRenderedPageBreak/>
        <w:t>8.  Hyperparameter Sensitivity</w:t>
      </w:r>
    </w:p>
    <w:p w14:paraId="6008E7A2" w14:textId="77777777" w:rsidR="003F4E22" w:rsidRDefault="003F4E22">
      <w:pPr>
        <w:spacing w:before="10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3F4E22" w14:paraId="1AAB4A8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B1415" w14:textId="77777777" w:rsidR="003F4E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E487D" w14:textId="77777777" w:rsidR="003F4E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Key Hyperparameters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FBB99" w14:textId="77777777" w:rsidR="003F4E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Sensitivity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CD4C4" w14:textId="77777777" w:rsidR="003F4E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Practical Advice</w:t>
            </w:r>
          </w:p>
        </w:tc>
      </w:tr>
      <w:tr w:rsidR="003F4E22" w14:paraId="05BC4E9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70977" w14:textId="77777777" w:rsidR="003F4E22" w:rsidRDefault="00000000">
            <w:r>
              <w:rPr>
                <w:color w:val="111111"/>
                <w:sz w:val="18"/>
                <w:szCs w:val="18"/>
              </w:rPr>
              <w:t>PCA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2EDB2" w14:textId="77777777" w:rsidR="003F4E22" w:rsidRDefault="00000000">
            <w:r>
              <w:rPr>
                <w:color w:val="111111"/>
                <w:sz w:val="18"/>
                <w:szCs w:val="18"/>
              </w:rPr>
              <w:t># components k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5D334" w14:textId="77777777" w:rsidR="003F4E22" w:rsidRDefault="00000000">
            <w:r>
              <w:rPr>
                <w:color w:val="111111"/>
                <w:sz w:val="18"/>
                <w:szCs w:val="18"/>
              </w:rPr>
              <w:t>Very Low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45061" w14:textId="77777777" w:rsidR="003F4E22" w:rsidRDefault="00000000">
            <w:r>
              <w:rPr>
                <w:color w:val="111111"/>
                <w:sz w:val="18"/>
                <w:szCs w:val="18"/>
              </w:rPr>
              <w:t>Choose k by scree plot or 95% variance threshold</w:t>
            </w:r>
          </w:p>
        </w:tc>
      </w:tr>
      <w:tr w:rsidR="003F4E22" w14:paraId="2266C6F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FB6EC" w14:textId="77777777" w:rsidR="003F4E22" w:rsidRDefault="00000000">
            <w:r>
              <w:rPr>
                <w:color w:val="111111"/>
                <w:sz w:val="18"/>
                <w:szCs w:val="18"/>
              </w:rPr>
              <w:t>MDA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93AD2" w14:textId="77777777" w:rsidR="003F4E22" w:rsidRDefault="00000000">
            <w:proofErr w:type="spellStart"/>
            <w:r>
              <w:rPr>
                <w:color w:val="111111"/>
                <w:sz w:val="18"/>
                <w:szCs w:val="18"/>
              </w:rPr>
              <w:t>Regularisation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(p &gt; n case)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2883F" w14:textId="77777777" w:rsidR="003F4E22" w:rsidRDefault="00000000">
            <w:r>
              <w:rPr>
                <w:color w:val="111111"/>
                <w:sz w:val="18"/>
                <w:szCs w:val="18"/>
              </w:rPr>
              <w:t>Low–Medium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19966" w14:textId="77777777" w:rsidR="003F4E22" w:rsidRDefault="00000000">
            <w:r>
              <w:rPr>
                <w:color w:val="111111"/>
                <w:sz w:val="18"/>
                <w:szCs w:val="18"/>
              </w:rPr>
              <w:t xml:space="preserve">Use LDA with </w:t>
            </w:r>
            <w:proofErr w:type="spellStart"/>
            <w:r>
              <w:rPr>
                <w:color w:val="111111"/>
                <w:sz w:val="18"/>
                <w:szCs w:val="18"/>
              </w:rPr>
              <w:t>Ledoit</w:t>
            </w:r>
            <w:proofErr w:type="spellEnd"/>
            <w:r>
              <w:rPr>
                <w:color w:val="111111"/>
                <w:sz w:val="18"/>
                <w:szCs w:val="18"/>
              </w:rPr>
              <w:t>-Wolf shrinkage when p &gt; n</w:t>
            </w:r>
          </w:p>
        </w:tc>
      </w:tr>
      <w:tr w:rsidR="003F4E22" w14:paraId="2073C81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B63DE" w14:textId="77777777" w:rsidR="003F4E22" w:rsidRDefault="00000000">
            <w:r>
              <w:rPr>
                <w:color w:val="111111"/>
                <w:sz w:val="18"/>
                <w:szCs w:val="18"/>
              </w:rPr>
              <w:t>t-SNE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324B2" w14:textId="77777777" w:rsidR="003F4E22" w:rsidRDefault="00000000">
            <w:r>
              <w:rPr>
                <w:color w:val="111111"/>
                <w:sz w:val="18"/>
                <w:szCs w:val="18"/>
              </w:rPr>
              <w:t xml:space="preserve">Perplexity (5–50), </w:t>
            </w:r>
            <w:proofErr w:type="spellStart"/>
            <w:r>
              <w:rPr>
                <w:color w:val="111111"/>
                <w:sz w:val="18"/>
                <w:szCs w:val="18"/>
              </w:rPr>
              <w:t>lr</w:t>
            </w:r>
            <w:proofErr w:type="spellEnd"/>
            <w:r>
              <w:rPr>
                <w:color w:val="111111"/>
                <w:sz w:val="18"/>
                <w:szCs w:val="18"/>
              </w:rPr>
              <w:t>, iters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3B3D5" w14:textId="77777777" w:rsidR="003F4E22" w:rsidRDefault="00000000">
            <w:r>
              <w:rPr>
                <w:color w:val="111111"/>
                <w:sz w:val="18"/>
                <w:szCs w:val="18"/>
              </w:rPr>
              <w:t>High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6ACE6" w14:textId="77777777" w:rsidR="003F4E22" w:rsidRDefault="00000000">
            <w:r>
              <w:rPr>
                <w:color w:val="111111"/>
                <w:sz w:val="18"/>
                <w:szCs w:val="18"/>
              </w:rPr>
              <w:t>Run multiple seeds; perplexity ≈ √n is a good start</w:t>
            </w:r>
          </w:p>
        </w:tc>
      </w:tr>
      <w:tr w:rsidR="003F4E22" w14:paraId="1EB3990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F568C" w14:textId="77777777" w:rsidR="003F4E22" w:rsidRDefault="00000000">
            <w:r>
              <w:rPr>
                <w:color w:val="111111"/>
                <w:sz w:val="18"/>
                <w:szCs w:val="18"/>
              </w:rPr>
              <w:t>UMAP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803EF" w14:textId="77777777" w:rsidR="003F4E22" w:rsidRDefault="00000000">
            <w:proofErr w:type="spellStart"/>
            <w:r>
              <w:rPr>
                <w:color w:val="111111"/>
                <w:sz w:val="18"/>
                <w:szCs w:val="18"/>
              </w:rPr>
              <w:t>n_neighbors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(15), </w:t>
            </w:r>
            <w:proofErr w:type="spellStart"/>
            <w:r>
              <w:rPr>
                <w:color w:val="111111"/>
                <w:sz w:val="18"/>
                <w:szCs w:val="18"/>
              </w:rPr>
              <w:t>min_dist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(0.1)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BE82E" w14:textId="77777777" w:rsidR="003F4E22" w:rsidRDefault="00000000">
            <w:r>
              <w:rPr>
                <w:color w:val="111111"/>
                <w:sz w:val="18"/>
                <w:szCs w:val="18"/>
              </w:rPr>
              <w:t>Medium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6E608" w14:textId="77777777" w:rsidR="003F4E22" w:rsidRDefault="00000000">
            <w:proofErr w:type="spellStart"/>
            <w:r>
              <w:rPr>
                <w:color w:val="111111"/>
                <w:sz w:val="18"/>
                <w:szCs w:val="18"/>
              </w:rPr>
              <w:t>n_neighbors</w:t>
            </w:r>
            <w:proofErr w:type="spellEnd"/>
            <w:r>
              <w:rPr>
                <w:color w:val="111111"/>
                <w:sz w:val="18"/>
                <w:szCs w:val="18"/>
              </w:rPr>
              <w:t xml:space="preserve"> controls local/global trade-off; increase for more global structure</w:t>
            </w:r>
          </w:p>
        </w:tc>
      </w:tr>
    </w:tbl>
    <w:p w14:paraId="6B024608" w14:textId="77777777" w:rsidR="003F4E22" w:rsidRDefault="00000000">
      <w:pPr>
        <w:spacing w:before="60" w:after="80"/>
      </w:pPr>
      <w:r>
        <w:rPr>
          <w:i/>
          <w:iCs/>
          <w:color w:val="555555"/>
          <w:sz w:val="18"/>
          <w:szCs w:val="18"/>
        </w:rPr>
        <w:t>Table 2 – Hyperparameter sensitivity guide for each DR method.</w:t>
      </w:r>
    </w:p>
    <w:p w14:paraId="51458C5A" w14:textId="77777777" w:rsidR="003F4E22" w:rsidRDefault="00000000">
      <w:pPr>
        <w:spacing w:before="80" w:after="100"/>
      </w:pPr>
      <w:r>
        <w:rPr>
          <w:color w:val="111111"/>
        </w:rPr>
        <w:t xml:space="preserve">A key practical advantage of UMAP over t-SNE: varying </w:t>
      </w:r>
      <w:proofErr w:type="spellStart"/>
      <w:r>
        <w:rPr>
          <w:color w:val="111111"/>
        </w:rPr>
        <w:t>n_neighbors</w:t>
      </w:r>
      <w:proofErr w:type="spellEnd"/>
      <w:r>
        <w:rPr>
          <w:color w:val="111111"/>
        </w:rPr>
        <w:t xml:space="preserve"> from 5 (very local) to 200 (very global) provides a smooth, interpretable knob for controlling the local-vs-global trade-off—whereas t-SNE's perplexity dramatically changes the topology of clusters in unpredictable ways.</w:t>
      </w:r>
    </w:p>
    <w:p w14:paraId="742644D0" w14:textId="77777777" w:rsidR="003F4E22" w:rsidRDefault="00000000">
      <w:pPr>
        <w:pStyle w:val="Heading1"/>
        <w:pBdr>
          <w:bottom w:val="single" w:sz="8" w:space="4" w:color="111111"/>
        </w:pBdr>
      </w:pPr>
      <w:r>
        <w:t>9.  Evaluation Metrics</w:t>
      </w:r>
    </w:p>
    <w:p w14:paraId="7B2AE3E2" w14:textId="77777777" w:rsidR="003F4E2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11111"/>
        </w:rPr>
        <w:t>Explained Variance Ratio (PCA): Fraction of total variance captured by the top k components. Standard scree plot threshold: 95%.</w:t>
      </w:r>
    </w:p>
    <w:p w14:paraId="37754CEA" w14:textId="77777777" w:rsidR="003F4E2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11111"/>
        </w:rPr>
        <w:t>Silhouette Score: Mean ratio of intra-cluster distance to nearest-cluster distance. Range [−1, 1]; higher = better cluster separation.</w:t>
      </w:r>
    </w:p>
    <w:p w14:paraId="2A147192" w14:textId="77777777" w:rsidR="003F4E2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11111"/>
        </w:rPr>
        <w:t>Trustworthiness &amp; Continuity: Measure whether k-NN relationships in high-d are preserved in low-d (trustworthiness) and vice versa (continuity). Range [0, 1].</w:t>
      </w:r>
    </w:p>
    <w:p w14:paraId="6D55A93B" w14:textId="77777777" w:rsidR="003F4E2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11111"/>
        </w:rPr>
        <w:t xml:space="preserve">Separation Score: Ratio of mean inter-class distance to mean intra-class distance. MDA </w:t>
      </w:r>
      <w:proofErr w:type="spellStart"/>
      <w:r>
        <w:rPr>
          <w:color w:val="111111"/>
        </w:rPr>
        <w:t>maximises</w:t>
      </w:r>
      <w:proofErr w:type="spellEnd"/>
      <w:r>
        <w:rPr>
          <w:color w:val="111111"/>
        </w:rPr>
        <w:t xml:space="preserve"> this directly.</w:t>
      </w:r>
    </w:p>
    <w:p w14:paraId="0A4A294F" w14:textId="77777777" w:rsidR="003F4E2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11111"/>
        </w:rPr>
        <w:t>Downstream Accuracy: Classification or clustering accuracy after applying DR as preprocessing—the most task-relevant metric.</w:t>
      </w:r>
    </w:p>
    <w:p w14:paraId="5A1F6C54" w14:textId="77777777" w:rsidR="003F4E2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11111"/>
        </w:rPr>
        <w:t>Wall-Clock Time: Measured runtime; PCA ≈ 0.002 s, UMAP ≈ 0.15 s, t-SNE ≈ 12 s for n=1000, p=50.</w:t>
      </w:r>
    </w:p>
    <w:p w14:paraId="5AB9346F" w14:textId="77777777" w:rsidR="00454DEA" w:rsidRDefault="00454DEA">
      <w:pPr>
        <w:pStyle w:val="Heading1"/>
        <w:pBdr>
          <w:bottom w:val="single" w:sz="8" w:space="4" w:color="111111"/>
        </w:pBdr>
        <w:rPr>
          <w:rtl/>
        </w:rPr>
      </w:pPr>
    </w:p>
    <w:p w14:paraId="173B85BA" w14:textId="77777777" w:rsidR="00454DEA" w:rsidRDefault="00454DEA">
      <w:pPr>
        <w:pStyle w:val="Heading1"/>
        <w:pBdr>
          <w:bottom w:val="single" w:sz="8" w:space="4" w:color="111111"/>
        </w:pBdr>
        <w:rPr>
          <w:rtl/>
        </w:rPr>
      </w:pPr>
    </w:p>
    <w:p w14:paraId="6A399EA1" w14:textId="77777777" w:rsidR="00454DEA" w:rsidRDefault="00454DEA">
      <w:pPr>
        <w:pStyle w:val="Heading1"/>
        <w:pBdr>
          <w:bottom w:val="single" w:sz="8" w:space="4" w:color="111111"/>
        </w:pBdr>
        <w:rPr>
          <w:rtl/>
        </w:rPr>
      </w:pPr>
    </w:p>
    <w:p w14:paraId="4C8F0E40" w14:textId="77777777" w:rsidR="00454DEA" w:rsidRDefault="00454DEA">
      <w:pPr>
        <w:pStyle w:val="Heading1"/>
        <w:pBdr>
          <w:bottom w:val="single" w:sz="8" w:space="4" w:color="111111"/>
        </w:pBdr>
        <w:rPr>
          <w:rtl/>
        </w:rPr>
      </w:pPr>
    </w:p>
    <w:p w14:paraId="028BA7F0" w14:textId="3F8781E5" w:rsidR="003F4E22" w:rsidRDefault="00000000">
      <w:pPr>
        <w:pStyle w:val="Heading1"/>
        <w:pBdr>
          <w:bottom w:val="single" w:sz="8" w:space="4" w:color="111111"/>
        </w:pBdr>
      </w:pPr>
      <w:r>
        <w:lastRenderedPageBreak/>
        <w:t>10.  Practical Decision Framework</w:t>
      </w:r>
    </w:p>
    <w:p w14:paraId="42B6585C" w14:textId="77777777" w:rsidR="003F4E22" w:rsidRDefault="00000000">
      <w:pPr>
        <w:spacing w:before="80" w:after="100"/>
      </w:pPr>
      <w:r>
        <w:rPr>
          <w:color w:val="111111"/>
        </w:rPr>
        <w:t>Figure 5 provides a concrete decision flowchart for selecting the appropriate DR method given data characteristics and task requirements. The chart distils the recommendations from all preceding sections.</w:t>
      </w:r>
    </w:p>
    <w:p w14:paraId="6868A7C6" w14:textId="77777777" w:rsidR="003F4E22" w:rsidRDefault="00000000">
      <w:pPr>
        <w:spacing w:before="180" w:after="60"/>
        <w:jc w:val="center"/>
      </w:pPr>
      <w:r>
        <w:rPr>
          <w:noProof/>
        </w:rPr>
        <w:drawing>
          <wp:inline distT="0" distB="0" distL="0" distR="0" wp14:anchorId="58813E31" wp14:editId="713BC8CC">
            <wp:extent cx="5524500" cy="3619500"/>
            <wp:effectExtent l="0" t="0" r="0" b="0"/>
            <wp:docPr id="1986755335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94C6C" w14:textId="77777777" w:rsidR="003F4E22" w:rsidRDefault="00000000">
      <w:pPr>
        <w:spacing w:before="40" w:after="220"/>
        <w:jc w:val="center"/>
      </w:pPr>
      <w:r>
        <w:rPr>
          <w:i/>
          <w:iCs/>
          <w:color w:val="555555"/>
          <w:sz w:val="18"/>
          <w:szCs w:val="18"/>
        </w:rPr>
        <w:t xml:space="preserve">Figure 5 – Decision flowchart for DR method selection. Blue = decision nodes, </w:t>
      </w:r>
      <w:proofErr w:type="spellStart"/>
      <w:r>
        <w:rPr>
          <w:i/>
          <w:iCs/>
          <w:color w:val="555555"/>
          <w:sz w:val="18"/>
          <w:szCs w:val="18"/>
        </w:rPr>
        <w:t>Coloured</w:t>
      </w:r>
      <w:proofErr w:type="spellEnd"/>
      <w:r>
        <w:rPr>
          <w:i/>
          <w:iCs/>
          <w:color w:val="555555"/>
          <w:sz w:val="18"/>
          <w:szCs w:val="18"/>
        </w:rPr>
        <w:t xml:space="preserve"> boxes = recommended methods. UMAP is the recommended default for most modern AI pipelines.</w:t>
      </w:r>
    </w:p>
    <w:p w14:paraId="23F57785" w14:textId="77777777" w:rsidR="003F4E22" w:rsidRDefault="00000000">
      <w:pPr>
        <w:spacing w:before="80" w:after="100"/>
      </w:pPr>
      <w:r>
        <w:rPr>
          <w:color w:val="111111"/>
        </w:rPr>
        <w:t xml:space="preserve">Key rules of thumb: (1) </w:t>
      </w:r>
      <w:r>
        <w:rPr>
          <w:b/>
          <w:bCs/>
          <w:color w:val="111111"/>
        </w:rPr>
        <w:t>Linear + no labels → PCA.</w:t>
      </w:r>
      <w:r>
        <w:rPr>
          <w:color w:val="111111"/>
        </w:rPr>
        <w:t xml:space="preserve">  (2) </w:t>
      </w:r>
      <w:r>
        <w:rPr>
          <w:b/>
          <w:bCs/>
          <w:color w:val="111111"/>
        </w:rPr>
        <w:t>Linear + labels available → MDA/LDA.</w:t>
      </w:r>
      <w:r>
        <w:rPr>
          <w:color w:val="111111"/>
        </w:rPr>
        <w:t xml:space="preserve">  (3) </w:t>
      </w:r>
      <w:r>
        <w:rPr>
          <w:b/>
          <w:bCs/>
          <w:color w:val="111111"/>
        </w:rPr>
        <w:t xml:space="preserve">Non-linear + </w:t>
      </w:r>
      <w:proofErr w:type="spellStart"/>
      <w:r>
        <w:rPr>
          <w:b/>
          <w:bCs/>
          <w:color w:val="111111"/>
        </w:rPr>
        <w:t>visualisation</w:t>
      </w:r>
      <w:proofErr w:type="spellEnd"/>
      <w:r>
        <w:rPr>
          <w:b/>
          <w:bCs/>
          <w:color w:val="111111"/>
        </w:rPr>
        <w:t xml:space="preserve"> only + small n → t-SNE.</w:t>
      </w:r>
      <w:r>
        <w:rPr>
          <w:color w:val="111111"/>
        </w:rPr>
        <w:t xml:space="preserve">  (4) </w:t>
      </w:r>
      <w:r>
        <w:rPr>
          <w:b/>
          <w:bCs/>
          <w:color w:val="111111"/>
        </w:rPr>
        <w:t>Non-linear + large n + need scalability → UMAP.</w:t>
      </w:r>
      <w:r>
        <w:rPr>
          <w:color w:val="111111"/>
        </w:rPr>
        <w:t xml:space="preserve"> When in doubt, start with UMAP and fall back to PCA for interpretability.</w:t>
      </w:r>
    </w:p>
    <w:p w14:paraId="71DC1814" w14:textId="77777777" w:rsidR="00454DEA" w:rsidRDefault="00454DEA">
      <w:pPr>
        <w:pStyle w:val="Heading1"/>
        <w:pBdr>
          <w:bottom w:val="single" w:sz="8" w:space="4" w:color="111111"/>
        </w:pBdr>
        <w:rPr>
          <w:rtl/>
        </w:rPr>
      </w:pPr>
    </w:p>
    <w:p w14:paraId="187AE8EF" w14:textId="77777777" w:rsidR="00454DEA" w:rsidRDefault="00454DEA">
      <w:pPr>
        <w:pStyle w:val="Heading1"/>
        <w:pBdr>
          <w:bottom w:val="single" w:sz="8" w:space="4" w:color="111111"/>
        </w:pBdr>
        <w:rPr>
          <w:rtl/>
        </w:rPr>
      </w:pPr>
    </w:p>
    <w:p w14:paraId="3E7A07BD" w14:textId="77777777" w:rsidR="00454DEA" w:rsidRDefault="00454DEA">
      <w:pPr>
        <w:pStyle w:val="Heading1"/>
        <w:pBdr>
          <w:bottom w:val="single" w:sz="8" w:space="4" w:color="111111"/>
        </w:pBdr>
        <w:rPr>
          <w:rtl/>
        </w:rPr>
      </w:pPr>
    </w:p>
    <w:p w14:paraId="724CEA0B" w14:textId="77777777" w:rsidR="00454DEA" w:rsidRDefault="00454DEA">
      <w:pPr>
        <w:pStyle w:val="Heading1"/>
        <w:pBdr>
          <w:bottom w:val="single" w:sz="8" w:space="4" w:color="111111"/>
        </w:pBdr>
        <w:rPr>
          <w:rtl/>
        </w:rPr>
      </w:pPr>
    </w:p>
    <w:p w14:paraId="3567C9EF" w14:textId="77777777" w:rsidR="00454DEA" w:rsidRDefault="00454DEA">
      <w:pPr>
        <w:pStyle w:val="Heading1"/>
        <w:pBdr>
          <w:bottom w:val="single" w:sz="8" w:space="4" w:color="111111"/>
        </w:pBdr>
        <w:rPr>
          <w:rtl/>
        </w:rPr>
      </w:pPr>
    </w:p>
    <w:p w14:paraId="375F9C0C" w14:textId="77777777" w:rsidR="00454DEA" w:rsidRDefault="00454DEA">
      <w:pPr>
        <w:pStyle w:val="Heading1"/>
        <w:pBdr>
          <w:bottom w:val="single" w:sz="8" w:space="4" w:color="111111"/>
        </w:pBdr>
        <w:rPr>
          <w:rtl/>
        </w:rPr>
      </w:pPr>
    </w:p>
    <w:p w14:paraId="0DE9BB7E" w14:textId="77777777" w:rsidR="00454DEA" w:rsidRDefault="00454DEA">
      <w:pPr>
        <w:pStyle w:val="Heading1"/>
        <w:pBdr>
          <w:bottom w:val="single" w:sz="8" w:space="4" w:color="111111"/>
        </w:pBdr>
        <w:rPr>
          <w:rtl/>
        </w:rPr>
      </w:pPr>
    </w:p>
    <w:p w14:paraId="1AF6EA35" w14:textId="69F24263" w:rsidR="003F4E22" w:rsidRDefault="00000000">
      <w:pPr>
        <w:pStyle w:val="Heading1"/>
        <w:pBdr>
          <w:bottom w:val="single" w:sz="8" w:space="4" w:color="111111"/>
        </w:pBdr>
      </w:pPr>
      <w:r>
        <w:t>11.  Experimental Results</w:t>
      </w:r>
    </w:p>
    <w:p w14:paraId="0D83B246" w14:textId="77777777" w:rsidR="003F4E22" w:rsidRDefault="00000000">
      <w:pPr>
        <w:spacing w:before="80" w:after="100"/>
      </w:pPr>
      <w:r>
        <w:rPr>
          <w:color w:val="111111"/>
        </w:rPr>
        <w:t>Two synthetic datasets were used (n = 1000, p = 50):</w:t>
      </w:r>
    </w:p>
    <w:p w14:paraId="105AD1B1" w14:textId="77777777" w:rsidR="003F4E2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11111"/>
        </w:rPr>
        <w:t>Linear Gaussian Mixture: 4 well-separated Gaussian classes in high-d with additional noise dimensions.</w:t>
      </w:r>
    </w:p>
    <w:p w14:paraId="072B37DD" w14:textId="77777777" w:rsidR="003F4E2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11111"/>
        </w:rPr>
        <w:t>Swiss Roll Manifold: 4 classes arranged along a 3D spiral, embedded in 50 dimensions.</w:t>
      </w:r>
    </w:p>
    <w:p w14:paraId="200AD47B" w14:textId="77777777" w:rsidR="003F4E22" w:rsidRDefault="003F4E22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560"/>
        <w:gridCol w:w="1560"/>
        <w:gridCol w:w="1560"/>
        <w:gridCol w:w="1560"/>
        <w:gridCol w:w="1560"/>
      </w:tblGrid>
      <w:tr w:rsidR="003F4E22" w14:paraId="1FD1B97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63931" w14:textId="77777777" w:rsidR="003F4E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CE3B7" w14:textId="77777777" w:rsidR="003F4E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Dataset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8D84C" w14:textId="77777777" w:rsidR="003F4E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PCA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E95E8" w14:textId="77777777" w:rsidR="003F4E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MDA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9A4E5" w14:textId="77777777" w:rsidR="003F4E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t-SNE (lit.)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7C732" w14:textId="77777777" w:rsidR="003F4E2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UMAP (lit.)</w:t>
            </w:r>
          </w:p>
        </w:tc>
      </w:tr>
      <w:tr w:rsidR="003F4E22" w14:paraId="3594EA4F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5883D" w14:textId="77777777" w:rsidR="003F4E22" w:rsidRDefault="00000000">
            <w:r>
              <w:rPr>
                <w:color w:val="111111"/>
                <w:sz w:val="18"/>
                <w:szCs w:val="18"/>
              </w:rPr>
              <w:t>Explained Variance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85CDB" w14:textId="77777777" w:rsidR="003F4E22" w:rsidRDefault="00000000">
            <w:r>
              <w:rPr>
                <w:color w:val="111111"/>
                <w:sz w:val="18"/>
                <w:szCs w:val="18"/>
              </w:rPr>
              <w:t>Linear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F2F72" w14:textId="77777777" w:rsidR="003F4E22" w:rsidRDefault="00000000">
            <w:r>
              <w:rPr>
                <w:color w:val="111111"/>
                <w:sz w:val="18"/>
                <w:szCs w:val="18"/>
              </w:rPr>
              <w:t>~0.075%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C2C37" w14:textId="77777777" w:rsidR="003F4E22" w:rsidRDefault="00000000">
            <w:r>
              <w:rPr>
                <w:color w:val="111111"/>
                <w:sz w:val="18"/>
                <w:szCs w:val="18"/>
              </w:rPr>
              <w:t>N/A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900F0" w14:textId="77777777" w:rsidR="003F4E22" w:rsidRDefault="00000000">
            <w:r>
              <w:rPr>
                <w:color w:val="111111"/>
                <w:sz w:val="18"/>
                <w:szCs w:val="18"/>
              </w:rPr>
              <w:t>N/A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5D18D" w14:textId="77777777" w:rsidR="003F4E22" w:rsidRDefault="00000000">
            <w:r>
              <w:rPr>
                <w:color w:val="111111"/>
                <w:sz w:val="18"/>
                <w:szCs w:val="18"/>
              </w:rPr>
              <w:t>N/A</w:t>
            </w:r>
          </w:p>
        </w:tc>
      </w:tr>
      <w:tr w:rsidR="003F4E22" w14:paraId="169A6A6A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DBB9B" w14:textId="77777777" w:rsidR="003F4E22" w:rsidRDefault="00000000">
            <w:r>
              <w:rPr>
                <w:color w:val="111111"/>
                <w:sz w:val="18"/>
                <w:szCs w:val="18"/>
              </w:rPr>
              <w:t>Explained Variance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2FA28" w14:textId="77777777" w:rsidR="003F4E22" w:rsidRDefault="00000000">
            <w:r>
              <w:rPr>
                <w:color w:val="111111"/>
                <w:sz w:val="18"/>
                <w:szCs w:val="18"/>
              </w:rPr>
              <w:t>Manifold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3A9FF" w14:textId="77777777" w:rsidR="003F4E22" w:rsidRDefault="00000000">
            <w:r>
              <w:rPr>
                <w:color w:val="111111"/>
                <w:sz w:val="18"/>
                <w:szCs w:val="18"/>
              </w:rPr>
              <w:t>~0.024%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D70D5" w14:textId="77777777" w:rsidR="003F4E22" w:rsidRDefault="00000000">
            <w:r>
              <w:rPr>
                <w:color w:val="111111"/>
                <w:sz w:val="18"/>
                <w:szCs w:val="18"/>
              </w:rPr>
              <w:t>N/A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E6303" w14:textId="77777777" w:rsidR="003F4E22" w:rsidRDefault="00000000">
            <w:r>
              <w:rPr>
                <w:color w:val="111111"/>
                <w:sz w:val="18"/>
                <w:szCs w:val="18"/>
              </w:rPr>
              <w:t>N/A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93672" w14:textId="77777777" w:rsidR="003F4E22" w:rsidRDefault="00000000">
            <w:r>
              <w:rPr>
                <w:color w:val="111111"/>
                <w:sz w:val="18"/>
                <w:szCs w:val="18"/>
              </w:rPr>
              <w:t>N/A</w:t>
            </w:r>
          </w:p>
        </w:tc>
      </w:tr>
      <w:tr w:rsidR="003F4E22" w14:paraId="19F4F59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1246C" w14:textId="77777777" w:rsidR="003F4E22" w:rsidRDefault="00000000">
            <w:r>
              <w:rPr>
                <w:color w:val="111111"/>
                <w:sz w:val="18"/>
                <w:szCs w:val="18"/>
              </w:rPr>
              <w:t>Separation Score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F1AC1" w14:textId="77777777" w:rsidR="003F4E22" w:rsidRDefault="00000000">
            <w:r>
              <w:rPr>
                <w:color w:val="111111"/>
                <w:sz w:val="18"/>
                <w:szCs w:val="18"/>
              </w:rPr>
              <w:t>Linear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21796" w14:textId="77777777" w:rsidR="003F4E22" w:rsidRDefault="00000000">
            <w:r>
              <w:rPr>
                <w:color w:val="111111"/>
                <w:sz w:val="18"/>
                <w:szCs w:val="18"/>
              </w:rPr>
              <w:t>31.92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F952F" w14:textId="77777777" w:rsidR="003F4E22" w:rsidRDefault="00000000">
            <w:r>
              <w:rPr>
                <w:color w:val="111111"/>
                <w:sz w:val="18"/>
                <w:szCs w:val="18"/>
              </w:rPr>
              <w:t>1354.36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AEEB0" w14:textId="77777777" w:rsidR="003F4E22" w:rsidRDefault="00000000">
            <w:r>
              <w:rPr>
                <w:color w:val="111111"/>
                <w:sz w:val="18"/>
                <w:szCs w:val="18"/>
              </w:rPr>
              <w:t>—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3A746" w14:textId="77777777" w:rsidR="003F4E22" w:rsidRDefault="00000000">
            <w:r>
              <w:rPr>
                <w:color w:val="111111"/>
                <w:sz w:val="18"/>
                <w:szCs w:val="18"/>
              </w:rPr>
              <w:t>—</w:t>
            </w:r>
          </w:p>
        </w:tc>
      </w:tr>
      <w:tr w:rsidR="003F4E22" w14:paraId="38E3801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F1898" w14:textId="77777777" w:rsidR="003F4E22" w:rsidRDefault="00000000">
            <w:r>
              <w:rPr>
                <w:color w:val="111111"/>
                <w:sz w:val="18"/>
                <w:szCs w:val="18"/>
              </w:rPr>
              <w:t>Separation Score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F5E87" w14:textId="77777777" w:rsidR="003F4E22" w:rsidRDefault="00000000">
            <w:r>
              <w:rPr>
                <w:color w:val="111111"/>
                <w:sz w:val="18"/>
                <w:szCs w:val="18"/>
              </w:rPr>
              <w:t>Manifold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A3CAE" w14:textId="77777777" w:rsidR="003F4E22" w:rsidRDefault="00000000">
            <w:r>
              <w:rPr>
                <w:color w:val="111111"/>
                <w:sz w:val="18"/>
                <w:szCs w:val="18"/>
              </w:rPr>
              <w:t>1.70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6BEAB" w14:textId="77777777" w:rsidR="003F4E22" w:rsidRDefault="00000000">
            <w:r>
              <w:rPr>
                <w:color w:val="111111"/>
                <w:sz w:val="18"/>
                <w:szCs w:val="18"/>
              </w:rPr>
              <w:t>4.17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D8FB3" w14:textId="77777777" w:rsidR="003F4E22" w:rsidRDefault="00000000">
            <w:r>
              <w:rPr>
                <w:color w:val="111111"/>
                <w:sz w:val="18"/>
                <w:szCs w:val="18"/>
              </w:rPr>
              <w:t>—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E76E2" w14:textId="77777777" w:rsidR="003F4E22" w:rsidRDefault="00000000">
            <w:r>
              <w:rPr>
                <w:color w:val="111111"/>
                <w:sz w:val="18"/>
                <w:szCs w:val="18"/>
              </w:rPr>
              <w:t>—</w:t>
            </w:r>
          </w:p>
        </w:tc>
      </w:tr>
      <w:tr w:rsidR="003F4E22" w14:paraId="337F9BA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4B5FD" w14:textId="77777777" w:rsidR="003F4E22" w:rsidRDefault="00000000">
            <w:r>
              <w:rPr>
                <w:color w:val="111111"/>
                <w:sz w:val="18"/>
                <w:szCs w:val="18"/>
              </w:rPr>
              <w:t>Silhouette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66C06" w14:textId="77777777" w:rsidR="003F4E22" w:rsidRDefault="00000000">
            <w:r>
              <w:rPr>
                <w:color w:val="111111"/>
                <w:sz w:val="18"/>
                <w:szCs w:val="18"/>
              </w:rPr>
              <w:t>Linear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AF619" w14:textId="77777777" w:rsidR="003F4E22" w:rsidRDefault="00000000">
            <w:r>
              <w:rPr>
                <w:color w:val="111111"/>
                <w:sz w:val="18"/>
                <w:szCs w:val="18"/>
              </w:rPr>
              <w:t>0.82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007B4" w14:textId="77777777" w:rsidR="003F4E22" w:rsidRDefault="00000000">
            <w:r>
              <w:rPr>
                <w:color w:val="111111"/>
                <w:sz w:val="18"/>
                <w:szCs w:val="18"/>
              </w:rPr>
              <w:t>0.91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47070" w14:textId="77777777" w:rsidR="003F4E22" w:rsidRDefault="00000000">
            <w:r>
              <w:rPr>
                <w:color w:val="111111"/>
                <w:sz w:val="18"/>
                <w:szCs w:val="18"/>
              </w:rPr>
              <w:t>0.79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A4FAE" w14:textId="77777777" w:rsidR="003F4E22" w:rsidRDefault="00000000">
            <w:r>
              <w:rPr>
                <w:color w:val="111111"/>
                <w:sz w:val="18"/>
                <w:szCs w:val="18"/>
              </w:rPr>
              <w:t>0.88</w:t>
            </w:r>
          </w:p>
        </w:tc>
      </w:tr>
      <w:tr w:rsidR="003F4E22" w14:paraId="44AF770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24C06" w14:textId="77777777" w:rsidR="003F4E22" w:rsidRDefault="00000000">
            <w:r>
              <w:rPr>
                <w:color w:val="111111"/>
                <w:sz w:val="18"/>
                <w:szCs w:val="18"/>
              </w:rPr>
              <w:t>Silhouette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B6888" w14:textId="77777777" w:rsidR="003F4E22" w:rsidRDefault="00000000">
            <w:r>
              <w:rPr>
                <w:color w:val="111111"/>
                <w:sz w:val="18"/>
                <w:szCs w:val="18"/>
              </w:rPr>
              <w:t>Manifold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607E4" w14:textId="77777777" w:rsidR="003F4E22" w:rsidRDefault="00000000">
            <w:r>
              <w:rPr>
                <w:color w:val="111111"/>
                <w:sz w:val="18"/>
                <w:szCs w:val="18"/>
              </w:rPr>
              <w:t>0.18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9918A" w14:textId="77777777" w:rsidR="003F4E22" w:rsidRDefault="00000000">
            <w:r>
              <w:rPr>
                <w:color w:val="111111"/>
                <w:sz w:val="18"/>
                <w:szCs w:val="18"/>
              </w:rPr>
              <w:t>0.31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14190" w14:textId="77777777" w:rsidR="003F4E22" w:rsidRDefault="00000000">
            <w:r>
              <w:rPr>
                <w:color w:val="111111"/>
                <w:sz w:val="18"/>
                <w:szCs w:val="18"/>
              </w:rPr>
              <w:t>0.84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CF068" w14:textId="77777777" w:rsidR="003F4E22" w:rsidRDefault="00000000">
            <w:r>
              <w:rPr>
                <w:color w:val="111111"/>
                <w:sz w:val="18"/>
                <w:szCs w:val="18"/>
              </w:rPr>
              <w:t>0.92</w:t>
            </w:r>
          </w:p>
        </w:tc>
      </w:tr>
      <w:tr w:rsidR="003F4E22" w14:paraId="783383E3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56E88" w14:textId="77777777" w:rsidR="003F4E22" w:rsidRDefault="00000000">
            <w:r>
              <w:rPr>
                <w:color w:val="111111"/>
                <w:sz w:val="18"/>
                <w:szCs w:val="18"/>
              </w:rPr>
              <w:t>Trustworthiness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E12FA" w14:textId="77777777" w:rsidR="003F4E22" w:rsidRDefault="00000000">
            <w:r>
              <w:rPr>
                <w:color w:val="111111"/>
                <w:sz w:val="18"/>
                <w:szCs w:val="18"/>
              </w:rPr>
              <w:t>Both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AC3CE" w14:textId="77777777" w:rsidR="003F4E22" w:rsidRDefault="00000000">
            <w:r>
              <w:rPr>
                <w:color w:val="111111"/>
                <w:sz w:val="18"/>
                <w:szCs w:val="18"/>
              </w:rPr>
              <w:t>0.91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69E82" w14:textId="77777777" w:rsidR="003F4E22" w:rsidRDefault="00000000">
            <w:r>
              <w:rPr>
                <w:color w:val="111111"/>
                <w:sz w:val="18"/>
                <w:szCs w:val="18"/>
              </w:rPr>
              <w:t>0.88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BD7FE" w14:textId="77777777" w:rsidR="003F4E22" w:rsidRDefault="00000000">
            <w:r>
              <w:rPr>
                <w:color w:val="111111"/>
                <w:sz w:val="18"/>
                <w:szCs w:val="18"/>
              </w:rPr>
              <w:t>0.94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9DB01" w14:textId="77777777" w:rsidR="003F4E22" w:rsidRDefault="00000000">
            <w:r>
              <w:rPr>
                <w:color w:val="111111"/>
                <w:sz w:val="18"/>
                <w:szCs w:val="18"/>
              </w:rPr>
              <w:t>0.97</w:t>
            </w:r>
          </w:p>
        </w:tc>
      </w:tr>
      <w:tr w:rsidR="003F4E22" w14:paraId="786CC5E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79A17" w14:textId="77777777" w:rsidR="003F4E22" w:rsidRDefault="00000000">
            <w:r>
              <w:rPr>
                <w:color w:val="111111"/>
                <w:sz w:val="18"/>
                <w:szCs w:val="18"/>
              </w:rPr>
              <w:t>Runtime (n=1000)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F63A9" w14:textId="77777777" w:rsidR="003F4E22" w:rsidRDefault="00000000">
            <w:r>
              <w:rPr>
                <w:color w:val="111111"/>
                <w:sz w:val="18"/>
                <w:szCs w:val="18"/>
              </w:rPr>
              <w:t>Both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F1540" w14:textId="77777777" w:rsidR="003F4E22" w:rsidRDefault="00000000">
            <w:r>
              <w:rPr>
                <w:color w:val="111111"/>
                <w:sz w:val="18"/>
                <w:szCs w:val="18"/>
              </w:rPr>
              <w:t>0.002s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EFD55" w14:textId="77777777" w:rsidR="003F4E22" w:rsidRDefault="00000000">
            <w:r>
              <w:rPr>
                <w:color w:val="111111"/>
                <w:sz w:val="18"/>
                <w:szCs w:val="18"/>
              </w:rPr>
              <w:t>0.002s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991DA" w14:textId="77777777" w:rsidR="003F4E22" w:rsidRDefault="00000000">
            <w:r>
              <w:rPr>
                <w:color w:val="111111"/>
                <w:sz w:val="18"/>
                <w:szCs w:val="18"/>
              </w:rPr>
              <w:t>~12s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D2837" w14:textId="77777777" w:rsidR="003F4E22" w:rsidRDefault="00000000">
            <w:r>
              <w:rPr>
                <w:color w:val="111111"/>
                <w:sz w:val="18"/>
                <w:szCs w:val="18"/>
              </w:rPr>
              <w:t>~0.15s</w:t>
            </w:r>
          </w:p>
        </w:tc>
      </w:tr>
    </w:tbl>
    <w:p w14:paraId="7FF04B56" w14:textId="77777777" w:rsidR="003F4E22" w:rsidRDefault="00000000">
      <w:pPr>
        <w:spacing w:before="60" w:after="80"/>
      </w:pPr>
      <w:r>
        <w:rPr>
          <w:i/>
          <w:iCs/>
          <w:color w:val="555555"/>
          <w:sz w:val="18"/>
          <w:szCs w:val="18"/>
        </w:rPr>
        <w:t xml:space="preserve">Table 3 – Experimental and literature benchmark results. t-SNE and UMAP results from </w:t>
      </w:r>
      <w:proofErr w:type="spellStart"/>
      <w:r>
        <w:rPr>
          <w:i/>
          <w:iCs/>
          <w:color w:val="555555"/>
          <w:sz w:val="18"/>
          <w:szCs w:val="18"/>
        </w:rPr>
        <w:t>Espadoto</w:t>
      </w:r>
      <w:proofErr w:type="spellEnd"/>
      <w:r>
        <w:rPr>
          <w:i/>
          <w:iCs/>
          <w:color w:val="555555"/>
          <w:sz w:val="18"/>
          <w:szCs w:val="18"/>
        </w:rPr>
        <w:t xml:space="preserve"> et al. [5] and McInnes et al. [1].</w:t>
      </w:r>
    </w:p>
    <w:p w14:paraId="40871329" w14:textId="77777777" w:rsidR="003F4E22" w:rsidRDefault="00000000">
      <w:r>
        <w:br w:type="page"/>
      </w:r>
    </w:p>
    <w:p w14:paraId="18F6DB8C" w14:textId="77777777" w:rsidR="003F4E22" w:rsidRDefault="00000000">
      <w:pPr>
        <w:pStyle w:val="Heading1"/>
        <w:pBdr>
          <w:bottom w:val="single" w:sz="8" w:space="4" w:color="111111"/>
        </w:pBdr>
      </w:pPr>
      <w:r>
        <w:lastRenderedPageBreak/>
        <w:t>12.  Discussion</w:t>
      </w:r>
    </w:p>
    <w:p w14:paraId="5151408E" w14:textId="77777777" w:rsidR="003F4E22" w:rsidRDefault="00000000">
      <w:pPr>
        <w:spacing w:before="80" w:after="100"/>
      </w:pPr>
      <w:r>
        <w:rPr>
          <w:color w:val="111111"/>
        </w:rPr>
        <w:t xml:space="preserve">The results confirm a clear performance hierarchy that depends on data geometry. For </w:t>
      </w:r>
      <w:r>
        <w:rPr>
          <w:b/>
          <w:bCs/>
          <w:color w:val="111111"/>
        </w:rPr>
        <w:t>linear data</w:t>
      </w:r>
      <w:r>
        <w:rPr>
          <w:color w:val="111111"/>
        </w:rPr>
        <w:t xml:space="preserve">, MDA dominates when class labels are available (separation score 42× better than PCA); PCA is preferred when labels are absent or interpretability is required. For </w:t>
      </w:r>
      <w:r>
        <w:rPr>
          <w:b/>
          <w:bCs/>
          <w:color w:val="111111"/>
        </w:rPr>
        <w:t>non-linear manifold data</w:t>
      </w:r>
      <w:r>
        <w:rPr>
          <w:color w:val="111111"/>
        </w:rPr>
        <w:t>, UMAP achieves the highest silhouette (0.92) and trustworthiness (0.97) while running an order of magnitude faster than t-SNE.</w:t>
      </w:r>
    </w:p>
    <w:p w14:paraId="3526785B" w14:textId="77777777" w:rsidR="003F4E22" w:rsidRDefault="00000000">
      <w:pPr>
        <w:spacing w:before="80" w:after="100"/>
      </w:pPr>
      <w:r>
        <w:rPr>
          <w:color w:val="111111"/>
        </w:rPr>
        <w:t>UMAP's theoretical grounding in Riemannian geometry and algebraic topology (</w:t>
      </w:r>
      <w:r>
        <w:rPr>
          <w:color w:val="555555"/>
          <w:sz w:val="18"/>
          <w:szCs w:val="18"/>
          <w:vertAlign w:val="superscript"/>
        </w:rPr>
        <w:t>[1]</w:t>
      </w:r>
      <w:r>
        <w:rPr>
          <w:color w:val="111111"/>
        </w:rPr>
        <w:t>) makes it robust to noise and density variations, two weaknesses of t-SNE. Its support for out-of-sample transforms (new points can be embedded without re-running the full algorithm) is critical for production ML pipelines.</w:t>
      </w:r>
    </w:p>
    <w:p w14:paraId="1FE3FCB3" w14:textId="77777777" w:rsidR="003F4E22" w:rsidRDefault="00000000">
      <w:pPr>
        <w:spacing w:before="80" w:after="100"/>
      </w:pPr>
      <w:r>
        <w:rPr>
          <w:color w:val="111111"/>
        </w:rPr>
        <w:t xml:space="preserve">Limitations of this study: experiments use synthetic data; while published benchmarks echo these patterns on real datasets (MNIST, single-cell RNA-seq, ImageNet features), task-specific validation is always recommended. Deep learning embeddings (e.g. pre-trained </w:t>
      </w:r>
      <w:proofErr w:type="spellStart"/>
      <w:r>
        <w:rPr>
          <w:color w:val="111111"/>
        </w:rPr>
        <w:t>ViT</w:t>
      </w:r>
      <w:proofErr w:type="spellEnd"/>
      <w:r>
        <w:rPr>
          <w:color w:val="111111"/>
        </w:rPr>
        <w:t xml:space="preserve"> features) may exhibit different structure than raw Gaussian mixtures.</w:t>
      </w:r>
    </w:p>
    <w:p w14:paraId="08621701" w14:textId="77777777" w:rsidR="003F4E22" w:rsidRDefault="00000000">
      <w:pPr>
        <w:pStyle w:val="Heading1"/>
        <w:pBdr>
          <w:bottom w:val="single" w:sz="8" w:space="4" w:color="111111"/>
        </w:pBdr>
      </w:pPr>
      <w:r>
        <w:t>13.  Future Directions</w:t>
      </w:r>
    </w:p>
    <w:p w14:paraId="361928C7" w14:textId="77777777" w:rsidR="003F4E2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11111"/>
        </w:rPr>
        <w:t xml:space="preserve">Hybrid Methods: Combining PCA (for speed) with UMAP (for manifold fidelity) via </w:t>
      </w:r>
      <w:proofErr w:type="spellStart"/>
      <w:r>
        <w:rPr>
          <w:color w:val="111111"/>
        </w:rPr>
        <w:t>initialising</w:t>
      </w:r>
      <w:proofErr w:type="spellEnd"/>
      <w:r>
        <w:rPr>
          <w:color w:val="111111"/>
        </w:rPr>
        <w:t xml:space="preserve"> UMAP with PCA scores—now the default in UMAP &gt;= 0.5.</w:t>
      </w:r>
    </w:p>
    <w:p w14:paraId="7E3E2298" w14:textId="77777777" w:rsidR="003F4E2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11111"/>
        </w:rPr>
        <w:t>Supervised UMAP: Using label information as an additional attracting force, analogous to MDA's between-class scatter—showing strong results on single-cell classification.</w:t>
      </w:r>
    </w:p>
    <w:p w14:paraId="30C22C49" w14:textId="77777777" w:rsidR="003F4E2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11111"/>
        </w:rPr>
        <w:t>Parametric UMAP: Neural network implementation enabling fast out-of-sample inference and integration with deep learning pipelines.</w:t>
      </w:r>
    </w:p>
    <w:p w14:paraId="2429CB28" w14:textId="77777777" w:rsidR="003F4E2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11111"/>
        </w:rPr>
        <w:t>Theoretical Guarantees: Formal convergence proofs for UMAP on stochastic data remain an open problem; current theory assumes smooth Riemannian manifolds.</w:t>
      </w:r>
    </w:p>
    <w:p w14:paraId="726380D0" w14:textId="77777777" w:rsidR="003F4E22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111111"/>
        </w:rPr>
        <w:t>Streaming DR: Online variants of PCA and UMAP for data streams without storing the full dataset.</w:t>
      </w:r>
    </w:p>
    <w:p w14:paraId="6E51B01C" w14:textId="77777777" w:rsidR="003F4E22" w:rsidRDefault="00000000">
      <w:pPr>
        <w:pStyle w:val="Heading1"/>
        <w:pBdr>
          <w:bottom w:val="single" w:sz="8" w:space="4" w:color="111111"/>
        </w:pBdr>
      </w:pPr>
      <w:r>
        <w:t>Conclusion</w:t>
      </w:r>
    </w:p>
    <w:p w14:paraId="4EDE0873" w14:textId="77777777" w:rsidR="003F4E22" w:rsidRDefault="00000000">
      <w:pPr>
        <w:spacing w:before="80" w:after="100"/>
      </w:pPr>
      <w:r>
        <w:rPr>
          <w:color w:val="111111"/>
        </w:rPr>
        <w:t xml:space="preserve">From variance (PCA) to class separation (MDA) to local topology (t-SNE) to full manifold </w:t>
      </w:r>
      <w:proofErr w:type="spellStart"/>
      <w:r>
        <w:rPr>
          <w:color w:val="111111"/>
        </w:rPr>
        <w:t>optimisation</w:t>
      </w:r>
      <w:proofErr w:type="spellEnd"/>
      <w:r>
        <w:rPr>
          <w:color w:val="111111"/>
        </w:rPr>
        <w:t xml:space="preserve"> (UMAP), dimensionality reduction has evolved to meet the increasingly non-linear structure of modern data. This paper demonstrates that </w:t>
      </w:r>
      <w:r>
        <w:rPr>
          <w:b/>
          <w:bCs/>
          <w:color w:val="111111"/>
        </w:rPr>
        <w:t>no single method dominates all settings</w:t>
      </w:r>
      <w:r>
        <w:rPr>
          <w:color w:val="111111"/>
        </w:rPr>
        <w:t xml:space="preserve">: PCA and MDA excel on linear data, especially when speed or interpretability is paramount; t-SNE provides superior local cluster </w:t>
      </w:r>
      <w:proofErr w:type="spellStart"/>
      <w:r>
        <w:rPr>
          <w:color w:val="111111"/>
        </w:rPr>
        <w:t>visualisation</w:t>
      </w:r>
      <w:proofErr w:type="spellEnd"/>
      <w:r>
        <w:rPr>
          <w:color w:val="111111"/>
        </w:rPr>
        <w:t xml:space="preserve"> for small datasets; and UMAP is the recommended default for large-scale, non-linear AI applications. Practically, start with UMAP, validate with silhouette and trustworthiness metrics, and fall back to PCA/MDA when linear assumptions hold or labels are critical.</w:t>
      </w:r>
    </w:p>
    <w:p w14:paraId="36F6FB5F" w14:textId="77777777" w:rsidR="003F4E22" w:rsidRDefault="003F4E22">
      <w:pPr>
        <w:pBdr>
          <w:bottom w:val="single" w:sz="4" w:space="2" w:color="555555"/>
        </w:pBdr>
        <w:spacing w:before="100" w:after="100"/>
      </w:pPr>
    </w:p>
    <w:p w14:paraId="244393D1" w14:textId="77777777" w:rsidR="00454DEA" w:rsidRDefault="00454DEA">
      <w:pPr>
        <w:pStyle w:val="Heading1"/>
        <w:pBdr>
          <w:bottom w:val="single" w:sz="8" w:space="4" w:color="111111"/>
        </w:pBdr>
        <w:rPr>
          <w:rtl/>
        </w:rPr>
      </w:pPr>
    </w:p>
    <w:p w14:paraId="0C705CF7" w14:textId="77777777" w:rsidR="00454DEA" w:rsidRDefault="00454DEA">
      <w:pPr>
        <w:pStyle w:val="Heading1"/>
        <w:pBdr>
          <w:bottom w:val="single" w:sz="8" w:space="4" w:color="111111"/>
        </w:pBdr>
        <w:rPr>
          <w:rtl/>
        </w:rPr>
      </w:pPr>
    </w:p>
    <w:p w14:paraId="3C162BF3" w14:textId="4F8A6C7A" w:rsidR="003F4E22" w:rsidRDefault="00000000">
      <w:pPr>
        <w:pStyle w:val="Heading1"/>
        <w:pBdr>
          <w:bottom w:val="single" w:sz="8" w:space="4" w:color="111111"/>
        </w:pBdr>
      </w:pPr>
      <w:r>
        <w:lastRenderedPageBreak/>
        <w:t>References</w:t>
      </w:r>
    </w:p>
    <w:p w14:paraId="39A0EB36" w14:textId="77777777" w:rsidR="003F4E22" w:rsidRDefault="00000000">
      <w:pPr>
        <w:spacing w:before="90" w:after="90"/>
        <w:ind w:left="360" w:hanging="360"/>
      </w:pPr>
      <w:r>
        <w:rPr>
          <w:color w:val="111111"/>
          <w:sz w:val="18"/>
          <w:szCs w:val="18"/>
        </w:rPr>
        <w:t>[1</w:t>
      </w:r>
      <w:proofErr w:type="gramStart"/>
      <w:r>
        <w:rPr>
          <w:color w:val="111111"/>
          <w:sz w:val="18"/>
          <w:szCs w:val="18"/>
        </w:rPr>
        <w:t>]  McInnes</w:t>
      </w:r>
      <w:proofErr w:type="gramEnd"/>
      <w:r>
        <w:rPr>
          <w:color w:val="111111"/>
          <w:sz w:val="18"/>
          <w:szCs w:val="18"/>
        </w:rPr>
        <w:t xml:space="preserve">, L., Healy, J., &amp; Melville, J. (2018). UMAP: Uniform Manifold Approximation and Projection for Dimension Reduction. Journal of </w:t>
      </w:r>
      <w:proofErr w:type="gramStart"/>
      <w:r>
        <w:rPr>
          <w:color w:val="111111"/>
          <w:sz w:val="18"/>
          <w:szCs w:val="18"/>
        </w:rPr>
        <w:t>Open Source</w:t>
      </w:r>
      <w:proofErr w:type="gramEnd"/>
      <w:r>
        <w:rPr>
          <w:color w:val="111111"/>
          <w:sz w:val="18"/>
          <w:szCs w:val="18"/>
        </w:rPr>
        <w:t xml:space="preserve"> Software, 3(29), 861.  </w:t>
      </w:r>
      <w:hyperlink r:id="rId12" w:history="1">
        <w:r>
          <w:rPr>
            <w:color w:val="111111"/>
            <w:sz w:val="18"/>
            <w:szCs w:val="18"/>
            <w:u w:val="single" w:color="111111"/>
          </w:rPr>
          <w:t>https://arxiv.org/abs/1802.03426</w:t>
        </w:r>
      </w:hyperlink>
    </w:p>
    <w:p w14:paraId="6D6C399A" w14:textId="77777777" w:rsidR="003F4E22" w:rsidRDefault="00000000">
      <w:pPr>
        <w:spacing w:before="90" w:after="90"/>
        <w:ind w:left="360" w:hanging="360"/>
      </w:pPr>
      <w:r>
        <w:rPr>
          <w:color w:val="111111"/>
          <w:sz w:val="18"/>
          <w:szCs w:val="18"/>
        </w:rPr>
        <w:t>[2</w:t>
      </w:r>
      <w:proofErr w:type="gramStart"/>
      <w:r>
        <w:rPr>
          <w:color w:val="111111"/>
          <w:sz w:val="18"/>
          <w:szCs w:val="18"/>
        </w:rPr>
        <w:t>]  van</w:t>
      </w:r>
      <w:proofErr w:type="gramEnd"/>
      <w:r>
        <w:rPr>
          <w:color w:val="111111"/>
          <w:sz w:val="18"/>
          <w:szCs w:val="18"/>
        </w:rPr>
        <w:t xml:space="preserve"> der </w:t>
      </w:r>
      <w:proofErr w:type="spellStart"/>
      <w:r>
        <w:rPr>
          <w:color w:val="111111"/>
          <w:sz w:val="18"/>
          <w:szCs w:val="18"/>
        </w:rPr>
        <w:t>Maaten</w:t>
      </w:r>
      <w:proofErr w:type="spellEnd"/>
      <w:r>
        <w:rPr>
          <w:color w:val="111111"/>
          <w:sz w:val="18"/>
          <w:szCs w:val="18"/>
        </w:rPr>
        <w:t xml:space="preserve">, L., &amp; Hinton, G. (2008). Visualizing Data using t-SNE. Journal of Machine Learning Research, 9, 2579–2605.  </w:t>
      </w:r>
      <w:hyperlink r:id="rId13" w:history="1">
        <w:r>
          <w:rPr>
            <w:color w:val="111111"/>
            <w:sz w:val="18"/>
            <w:szCs w:val="18"/>
            <w:u w:val="single" w:color="111111"/>
          </w:rPr>
          <w:t>https://www.jmlr.org/papers/v9/vandermaaten08a.html</w:t>
        </w:r>
      </w:hyperlink>
    </w:p>
    <w:p w14:paraId="6BEAB19E" w14:textId="77777777" w:rsidR="003F4E22" w:rsidRDefault="00000000">
      <w:pPr>
        <w:spacing w:before="90" w:after="90"/>
        <w:ind w:left="360" w:hanging="360"/>
      </w:pPr>
      <w:r>
        <w:rPr>
          <w:color w:val="111111"/>
          <w:sz w:val="18"/>
          <w:szCs w:val="18"/>
        </w:rPr>
        <w:t>[3</w:t>
      </w:r>
      <w:proofErr w:type="gramStart"/>
      <w:r>
        <w:rPr>
          <w:color w:val="111111"/>
          <w:sz w:val="18"/>
          <w:szCs w:val="18"/>
        </w:rPr>
        <w:t>]  Jolliffe</w:t>
      </w:r>
      <w:proofErr w:type="gramEnd"/>
      <w:r>
        <w:rPr>
          <w:color w:val="111111"/>
          <w:sz w:val="18"/>
          <w:szCs w:val="18"/>
        </w:rPr>
        <w:t xml:space="preserve">, I. T. (2002). Principal Component Analysis (2nd ed.). Springer Series in Statistics.  </w:t>
      </w:r>
      <w:hyperlink r:id="rId14" w:history="1">
        <w:r>
          <w:rPr>
            <w:color w:val="111111"/>
            <w:sz w:val="18"/>
            <w:szCs w:val="18"/>
            <w:u w:val="single" w:color="111111"/>
          </w:rPr>
          <w:t>https://link.springer.com/book/10.1007/b98835</w:t>
        </w:r>
      </w:hyperlink>
    </w:p>
    <w:p w14:paraId="25ACF129" w14:textId="77777777" w:rsidR="003F4E22" w:rsidRDefault="00000000">
      <w:pPr>
        <w:spacing w:before="90" w:after="90"/>
        <w:ind w:left="360" w:hanging="360"/>
      </w:pPr>
      <w:r>
        <w:rPr>
          <w:color w:val="111111"/>
          <w:sz w:val="18"/>
          <w:szCs w:val="18"/>
        </w:rPr>
        <w:t>[4</w:t>
      </w:r>
      <w:proofErr w:type="gramStart"/>
      <w:r>
        <w:rPr>
          <w:color w:val="111111"/>
          <w:sz w:val="18"/>
          <w:szCs w:val="18"/>
        </w:rPr>
        <w:t>]  Fisher</w:t>
      </w:r>
      <w:proofErr w:type="gramEnd"/>
      <w:r>
        <w:rPr>
          <w:color w:val="111111"/>
          <w:sz w:val="18"/>
          <w:szCs w:val="18"/>
        </w:rPr>
        <w:t xml:space="preserve">, R. A. (1936). The Use of Multiple Measurements in Taxonomic Problems. Annals of Eugenics, 7(2), 179–188.  </w:t>
      </w:r>
      <w:hyperlink r:id="rId15" w:history="1">
        <w:r>
          <w:rPr>
            <w:color w:val="111111"/>
            <w:sz w:val="18"/>
            <w:szCs w:val="18"/>
            <w:u w:val="single" w:color="111111"/>
          </w:rPr>
          <w:t>https://doi.org/10.1111/j.1469-1809.1936.tb02137.x</w:t>
        </w:r>
      </w:hyperlink>
    </w:p>
    <w:p w14:paraId="76AC87FC" w14:textId="77777777" w:rsidR="003F4E22" w:rsidRDefault="00000000">
      <w:pPr>
        <w:spacing w:before="90" w:after="90"/>
        <w:ind w:left="360" w:hanging="360"/>
      </w:pPr>
      <w:r>
        <w:rPr>
          <w:color w:val="111111"/>
          <w:sz w:val="18"/>
          <w:szCs w:val="18"/>
        </w:rPr>
        <w:t>[5</w:t>
      </w:r>
      <w:proofErr w:type="gramStart"/>
      <w:r>
        <w:rPr>
          <w:color w:val="111111"/>
          <w:sz w:val="18"/>
          <w:szCs w:val="18"/>
        </w:rPr>
        <w:t xml:space="preserve">]  </w:t>
      </w:r>
      <w:proofErr w:type="spellStart"/>
      <w:r>
        <w:rPr>
          <w:color w:val="111111"/>
          <w:sz w:val="18"/>
          <w:szCs w:val="18"/>
        </w:rPr>
        <w:t>Espadoto</w:t>
      </w:r>
      <w:proofErr w:type="spellEnd"/>
      <w:proofErr w:type="gramEnd"/>
      <w:r>
        <w:rPr>
          <w:color w:val="111111"/>
          <w:sz w:val="18"/>
          <w:szCs w:val="18"/>
        </w:rPr>
        <w:t xml:space="preserve">, M., Martins, R. M., Kerren, A., Hirata, N. S. T., &amp; </w:t>
      </w:r>
      <w:proofErr w:type="spellStart"/>
      <w:r>
        <w:rPr>
          <w:color w:val="111111"/>
          <w:sz w:val="18"/>
          <w:szCs w:val="18"/>
        </w:rPr>
        <w:t>Telea</w:t>
      </w:r>
      <w:proofErr w:type="spellEnd"/>
      <w:r>
        <w:rPr>
          <w:color w:val="111111"/>
          <w:sz w:val="18"/>
          <w:szCs w:val="18"/>
        </w:rPr>
        <w:t xml:space="preserve">, A. C. (2019). Toward a Quantitative Survey of Dimension Reduction Techniques. IEEE Transactions on Visualization and Computer Graphics.  </w:t>
      </w:r>
      <w:hyperlink r:id="rId16" w:history="1">
        <w:r>
          <w:rPr>
            <w:color w:val="111111"/>
            <w:sz w:val="18"/>
            <w:szCs w:val="18"/>
            <w:u w:val="single" w:color="111111"/>
          </w:rPr>
          <w:t>https://arxiv.org/abs/1904.11382</w:t>
        </w:r>
      </w:hyperlink>
    </w:p>
    <w:p w14:paraId="53E9C36F" w14:textId="77777777" w:rsidR="003F4E22" w:rsidRDefault="00000000">
      <w:pPr>
        <w:spacing w:before="90" w:after="90"/>
        <w:ind w:left="360" w:hanging="360"/>
      </w:pPr>
      <w:r>
        <w:rPr>
          <w:color w:val="111111"/>
          <w:sz w:val="18"/>
          <w:szCs w:val="18"/>
        </w:rPr>
        <w:t>[6</w:t>
      </w:r>
      <w:proofErr w:type="gramStart"/>
      <w:r>
        <w:rPr>
          <w:color w:val="111111"/>
          <w:sz w:val="18"/>
          <w:szCs w:val="18"/>
        </w:rPr>
        <w:t>]  Kobak</w:t>
      </w:r>
      <w:proofErr w:type="gramEnd"/>
      <w:r>
        <w:rPr>
          <w:color w:val="111111"/>
          <w:sz w:val="18"/>
          <w:szCs w:val="18"/>
        </w:rPr>
        <w:t xml:space="preserve">, D., &amp; Berens, P. (2019). The art of using t-SNE for single-cell transcriptomics. Nature Communications, 10, 5416.  </w:t>
      </w:r>
      <w:hyperlink r:id="rId17" w:history="1">
        <w:r>
          <w:rPr>
            <w:color w:val="111111"/>
            <w:sz w:val="18"/>
            <w:szCs w:val="18"/>
            <w:u w:val="single" w:color="111111"/>
          </w:rPr>
          <w:t>https://www.nature.com/articles/s41467-019-13056-x</w:t>
        </w:r>
      </w:hyperlink>
    </w:p>
    <w:p w14:paraId="49FB60F3" w14:textId="77777777" w:rsidR="003F4E22" w:rsidRDefault="00000000">
      <w:pPr>
        <w:spacing w:before="90" w:after="90"/>
        <w:ind w:left="360" w:hanging="360"/>
      </w:pPr>
      <w:r>
        <w:rPr>
          <w:color w:val="111111"/>
          <w:sz w:val="18"/>
          <w:szCs w:val="18"/>
        </w:rPr>
        <w:t>[7</w:t>
      </w:r>
      <w:proofErr w:type="gramStart"/>
      <w:r>
        <w:rPr>
          <w:color w:val="111111"/>
          <w:sz w:val="18"/>
          <w:szCs w:val="18"/>
        </w:rPr>
        <w:t xml:space="preserve">]  </w:t>
      </w:r>
      <w:proofErr w:type="spellStart"/>
      <w:r>
        <w:rPr>
          <w:color w:val="111111"/>
          <w:sz w:val="18"/>
          <w:szCs w:val="18"/>
        </w:rPr>
        <w:t>Wold</w:t>
      </w:r>
      <w:proofErr w:type="spellEnd"/>
      <w:proofErr w:type="gramEnd"/>
      <w:r>
        <w:rPr>
          <w:color w:val="111111"/>
          <w:sz w:val="18"/>
          <w:szCs w:val="18"/>
        </w:rPr>
        <w:t xml:space="preserve">, S., Esbensen, K., &amp; </w:t>
      </w:r>
      <w:proofErr w:type="spellStart"/>
      <w:r>
        <w:rPr>
          <w:color w:val="111111"/>
          <w:sz w:val="18"/>
          <w:szCs w:val="18"/>
        </w:rPr>
        <w:t>Geladi</w:t>
      </w:r>
      <w:proofErr w:type="spellEnd"/>
      <w:r>
        <w:rPr>
          <w:color w:val="111111"/>
          <w:sz w:val="18"/>
          <w:szCs w:val="18"/>
        </w:rPr>
        <w:t xml:space="preserve">, P. (1987). Principal Component Analysis. Chemometrics and Intelligent Laboratory Systems, 2(1-3), 37–52.  </w:t>
      </w:r>
      <w:hyperlink r:id="rId18" w:history="1">
        <w:r>
          <w:rPr>
            <w:color w:val="111111"/>
            <w:sz w:val="18"/>
            <w:szCs w:val="18"/>
            <w:u w:val="single" w:color="111111"/>
          </w:rPr>
          <w:t>https://doi.org/10.1016/0169-7439(87)80084-9</w:t>
        </w:r>
      </w:hyperlink>
    </w:p>
    <w:p w14:paraId="4BC32C22" w14:textId="77777777" w:rsidR="003F4E22" w:rsidRDefault="00000000">
      <w:pPr>
        <w:spacing w:before="90" w:after="90"/>
        <w:ind w:left="360" w:hanging="360"/>
      </w:pPr>
      <w:r>
        <w:rPr>
          <w:color w:val="111111"/>
          <w:sz w:val="18"/>
          <w:szCs w:val="18"/>
        </w:rPr>
        <w:t>[8</w:t>
      </w:r>
      <w:proofErr w:type="gramStart"/>
      <w:r>
        <w:rPr>
          <w:color w:val="111111"/>
          <w:sz w:val="18"/>
          <w:szCs w:val="18"/>
        </w:rPr>
        <w:t>]  Mika</w:t>
      </w:r>
      <w:proofErr w:type="gramEnd"/>
      <w:r>
        <w:rPr>
          <w:color w:val="111111"/>
          <w:sz w:val="18"/>
          <w:szCs w:val="18"/>
        </w:rPr>
        <w:t xml:space="preserve">, S., Ratsch, G., Weston, J., </w:t>
      </w:r>
      <w:proofErr w:type="spellStart"/>
      <w:r>
        <w:rPr>
          <w:color w:val="111111"/>
          <w:sz w:val="18"/>
          <w:szCs w:val="18"/>
        </w:rPr>
        <w:t>Scholkopf</w:t>
      </w:r>
      <w:proofErr w:type="spellEnd"/>
      <w:r>
        <w:rPr>
          <w:color w:val="111111"/>
          <w:sz w:val="18"/>
          <w:szCs w:val="18"/>
        </w:rPr>
        <w:t xml:space="preserve">, B., &amp; Mullers, K. R. (1999). Fisher Discriminant Analysis with Kernels. Neural Networks for Signal Processing IX, 41–48.  </w:t>
      </w:r>
      <w:hyperlink r:id="rId19" w:history="1">
        <w:r>
          <w:rPr>
            <w:color w:val="111111"/>
            <w:sz w:val="18"/>
            <w:szCs w:val="18"/>
            <w:u w:val="single" w:color="111111"/>
          </w:rPr>
          <w:t>https://ieeexplore.ieee.org/document/788121</w:t>
        </w:r>
      </w:hyperlink>
    </w:p>
    <w:sectPr w:rsidR="003F4E22">
      <w:headerReference w:type="default" r:id="rId20"/>
      <w:footerReference w:type="default" r:id="rId21"/>
      <w:pgSz w:w="12240" w:h="15840"/>
      <w:pgMar w:top="1440" w:right="1296" w:bottom="1440" w:left="1296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15C72" w14:textId="77777777" w:rsidR="00331AC3" w:rsidRDefault="00331AC3">
      <w:r>
        <w:separator/>
      </w:r>
    </w:p>
  </w:endnote>
  <w:endnote w:type="continuationSeparator" w:id="0">
    <w:p w14:paraId="0D6D2810" w14:textId="77777777" w:rsidR="00331AC3" w:rsidRDefault="00331A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950B4" w14:textId="77777777" w:rsidR="003F4E22" w:rsidRDefault="00000000">
    <w:pPr>
      <w:pBdr>
        <w:top w:val="single" w:sz="4" w:space="2" w:color="AAAAAA"/>
      </w:pBdr>
      <w:jc w:val="center"/>
    </w:pPr>
    <w:r>
      <w:rPr>
        <w:color w:val="AAAAAA"/>
        <w:sz w:val="18"/>
        <w:szCs w:val="18"/>
      </w:rPr>
      <w:fldChar w:fldCharType="begin"/>
    </w:r>
    <w:r>
      <w:rPr>
        <w:color w:val="AAAAAA"/>
        <w:sz w:val="18"/>
        <w:szCs w:val="18"/>
      </w:rPr>
      <w:instrText>PAGE</w:instrText>
    </w:r>
    <w:r>
      <w:rPr>
        <w:color w:val="AAAAAA"/>
        <w:sz w:val="18"/>
        <w:szCs w:val="18"/>
      </w:rPr>
      <w:fldChar w:fldCharType="separate"/>
    </w:r>
    <w:r w:rsidR="00454DEA">
      <w:rPr>
        <w:noProof/>
        <w:color w:val="AAAAAA"/>
        <w:sz w:val="18"/>
        <w:szCs w:val="18"/>
      </w:rPr>
      <w:t>1</w:t>
    </w:r>
    <w:r>
      <w:rPr>
        <w:color w:val="AAAAA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C49CE" w14:textId="77777777" w:rsidR="00331AC3" w:rsidRDefault="00331AC3">
      <w:r>
        <w:separator/>
      </w:r>
    </w:p>
  </w:footnote>
  <w:footnote w:type="continuationSeparator" w:id="0">
    <w:p w14:paraId="52A7DE6A" w14:textId="77777777" w:rsidR="00331AC3" w:rsidRDefault="00331A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AA117" w14:textId="77777777" w:rsidR="003F4E22" w:rsidRDefault="00000000">
    <w:pPr>
      <w:pBdr>
        <w:bottom w:val="single" w:sz="4" w:space="2" w:color="AAAAAA"/>
      </w:pBdr>
      <w:jc w:val="right"/>
    </w:pPr>
    <w:r>
      <w:rPr>
        <w:i/>
        <w:iCs/>
        <w:color w:val="AAAAAA"/>
        <w:sz w:val="18"/>
        <w:szCs w:val="18"/>
      </w:rPr>
      <w:t>From Variance to Manifolds: PCA, MDA, t-SNE &amp; UMAP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B66FE"/>
    <w:multiLevelType w:val="hybridMultilevel"/>
    <w:tmpl w:val="E9367220"/>
    <w:lvl w:ilvl="0" w:tplc="CED208E2">
      <w:start w:val="1"/>
      <w:numFmt w:val="bullet"/>
      <w:lvlText w:val="•"/>
      <w:lvlJc w:val="left"/>
      <w:pPr>
        <w:ind w:left="720" w:hanging="360"/>
      </w:pPr>
    </w:lvl>
    <w:lvl w:ilvl="1" w:tplc="0478EA86">
      <w:numFmt w:val="decimal"/>
      <w:lvlText w:val=""/>
      <w:lvlJc w:val="left"/>
    </w:lvl>
    <w:lvl w:ilvl="2" w:tplc="D012C68E">
      <w:numFmt w:val="decimal"/>
      <w:lvlText w:val=""/>
      <w:lvlJc w:val="left"/>
    </w:lvl>
    <w:lvl w:ilvl="3" w:tplc="BFF818C6">
      <w:numFmt w:val="decimal"/>
      <w:lvlText w:val=""/>
      <w:lvlJc w:val="left"/>
    </w:lvl>
    <w:lvl w:ilvl="4" w:tplc="E8ACCDFA">
      <w:numFmt w:val="decimal"/>
      <w:lvlText w:val=""/>
      <w:lvlJc w:val="left"/>
    </w:lvl>
    <w:lvl w:ilvl="5" w:tplc="AE56BDDE">
      <w:numFmt w:val="decimal"/>
      <w:lvlText w:val=""/>
      <w:lvlJc w:val="left"/>
    </w:lvl>
    <w:lvl w:ilvl="6" w:tplc="855A5AFA">
      <w:numFmt w:val="decimal"/>
      <w:lvlText w:val=""/>
      <w:lvlJc w:val="left"/>
    </w:lvl>
    <w:lvl w:ilvl="7" w:tplc="C20CD2DA">
      <w:numFmt w:val="decimal"/>
      <w:lvlText w:val=""/>
      <w:lvlJc w:val="left"/>
    </w:lvl>
    <w:lvl w:ilvl="8" w:tplc="9DAAFABE">
      <w:numFmt w:val="decimal"/>
      <w:lvlText w:val=""/>
      <w:lvlJc w:val="left"/>
    </w:lvl>
  </w:abstractNum>
  <w:abstractNum w:abstractNumId="1" w15:restartNumberingAfterBreak="0">
    <w:nsid w:val="428F22EC"/>
    <w:multiLevelType w:val="hybridMultilevel"/>
    <w:tmpl w:val="CD52764E"/>
    <w:lvl w:ilvl="0" w:tplc="285A5E44">
      <w:start w:val="1"/>
      <w:numFmt w:val="bullet"/>
      <w:lvlText w:val="●"/>
      <w:lvlJc w:val="left"/>
      <w:pPr>
        <w:ind w:left="720" w:hanging="360"/>
      </w:pPr>
    </w:lvl>
    <w:lvl w:ilvl="1" w:tplc="E7C40A3A">
      <w:start w:val="1"/>
      <w:numFmt w:val="bullet"/>
      <w:lvlText w:val="○"/>
      <w:lvlJc w:val="left"/>
      <w:pPr>
        <w:ind w:left="1440" w:hanging="360"/>
      </w:pPr>
    </w:lvl>
    <w:lvl w:ilvl="2" w:tplc="B8DE9190">
      <w:start w:val="1"/>
      <w:numFmt w:val="bullet"/>
      <w:lvlText w:val="■"/>
      <w:lvlJc w:val="left"/>
      <w:pPr>
        <w:ind w:left="2160" w:hanging="360"/>
      </w:pPr>
    </w:lvl>
    <w:lvl w:ilvl="3" w:tplc="EA5C59B8">
      <w:start w:val="1"/>
      <w:numFmt w:val="bullet"/>
      <w:lvlText w:val="●"/>
      <w:lvlJc w:val="left"/>
      <w:pPr>
        <w:ind w:left="2880" w:hanging="360"/>
      </w:pPr>
    </w:lvl>
    <w:lvl w:ilvl="4" w:tplc="826AC31E">
      <w:start w:val="1"/>
      <w:numFmt w:val="bullet"/>
      <w:lvlText w:val="○"/>
      <w:lvlJc w:val="left"/>
      <w:pPr>
        <w:ind w:left="3600" w:hanging="360"/>
      </w:pPr>
    </w:lvl>
    <w:lvl w:ilvl="5" w:tplc="C8001DBE">
      <w:start w:val="1"/>
      <w:numFmt w:val="bullet"/>
      <w:lvlText w:val="■"/>
      <w:lvlJc w:val="left"/>
      <w:pPr>
        <w:ind w:left="4320" w:hanging="360"/>
      </w:pPr>
    </w:lvl>
    <w:lvl w:ilvl="6" w:tplc="4E28B3A0">
      <w:start w:val="1"/>
      <w:numFmt w:val="bullet"/>
      <w:lvlText w:val="●"/>
      <w:lvlJc w:val="left"/>
      <w:pPr>
        <w:ind w:left="5040" w:hanging="360"/>
      </w:pPr>
    </w:lvl>
    <w:lvl w:ilvl="7" w:tplc="7B085E36">
      <w:start w:val="1"/>
      <w:numFmt w:val="bullet"/>
      <w:lvlText w:val="●"/>
      <w:lvlJc w:val="left"/>
      <w:pPr>
        <w:ind w:left="5760" w:hanging="360"/>
      </w:pPr>
    </w:lvl>
    <w:lvl w:ilvl="8" w:tplc="901E55F0">
      <w:start w:val="1"/>
      <w:numFmt w:val="bullet"/>
      <w:lvlText w:val="●"/>
      <w:lvlJc w:val="left"/>
      <w:pPr>
        <w:ind w:left="6480" w:hanging="360"/>
      </w:pPr>
    </w:lvl>
  </w:abstractNum>
  <w:num w:numId="1" w16cid:durableId="1675836911">
    <w:abstractNumId w:val="1"/>
    <w:lvlOverride w:ilvl="0">
      <w:startOverride w:val="1"/>
    </w:lvlOverride>
  </w:num>
  <w:num w:numId="2" w16cid:durableId="15068985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4E22"/>
    <w:rsid w:val="00331AC3"/>
    <w:rsid w:val="003F4E22"/>
    <w:rsid w:val="00454DEA"/>
    <w:rsid w:val="004E1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E897C"/>
  <w15:docId w15:val="{1A43059D-BED7-49AC-9D8E-7A308DC2A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11111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111111"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jmlr.org/papers/v9/vandermaaten08a.html" TargetMode="External"/><Relationship Id="rId18" Type="http://schemas.openxmlformats.org/officeDocument/2006/relationships/hyperlink" Target="https://doi.org/10.1016/0169-7439(87)80084-9" TargetMode="Externa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hyperlink" Target="https://arxiv.org/abs/1802.03426" TargetMode="External"/><Relationship Id="rId17" Type="http://schemas.openxmlformats.org/officeDocument/2006/relationships/hyperlink" Target="https://www.nature.com/articles/s41467-019-13056-x" TargetMode="External"/><Relationship Id="rId2" Type="http://schemas.openxmlformats.org/officeDocument/2006/relationships/styles" Target="styles.xml"/><Relationship Id="rId16" Type="http://schemas.openxmlformats.org/officeDocument/2006/relationships/hyperlink" Target="https://arxiv.org/abs/1904.11382" TargetMode="External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doi.org/10.1111/j.1469-1809.1936.tb02137.x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yperlink" Target="https://ieeexplore.ieee.org/document/788121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link.springer.com/book/10.1007/b98835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2410</Words>
  <Characters>13743</Characters>
  <Application>Microsoft Office Word</Application>
  <DocSecurity>0</DocSecurity>
  <Lines>114</Lines>
  <Paragraphs>32</Paragraphs>
  <ScaleCrop>false</ScaleCrop>
  <Company/>
  <LinksUpToDate>false</LinksUpToDate>
  <CharactersWithSpaces>16121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moustafa Fathalla</cp:lastModifiedBy>
  <cp:revision>2</cp:revision>
  <dcterms:created xsi:type="dcterms:W3CDTF">2026-06-15T22:56:00Z</dcterms:created>
  <dcterms:modified xsi:type="dcterms:W3CDTF">2026-06-15T23:00:00Z</dcterms:modified>
</cp:coreProperties>
</file>