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53D3" w14:textId="77777777" w:rsidR="00766F3F" w:rsidRDefault="00000000">
      <w:pPr>
        <w:spacing w:before="1200"/>
        <w:jc w:val="center"/>
      </w:pPr>
      <w:r>
        <w:rPr>
          <w:b/>
          <w:bCs/>
          <w:color w:val="111111"/>
          <w:sz w:val="46"/>
          <w:szCs w:val="46"/>
        </w:rPr>
        <w:t>Foundations of Feature Vector Construction:</w:t>
      </w:r>
    </w:p>
    <w:p w14:paraId="2CDA7F6C" w14:textId="77777777" w:rsidR="00766F3F" w:rsidRDefault="00000000">
      <w:pPr>
        <w:spacing w:before="50"/>
        <w:jc w:val="center"/>
      </w:pPr>
      <w:r>
        <w:rPr>
          <w:b/>
          <w:bCs/>
          <w:color w:val="111111"/>
          <w:sz w:val="34"/>
          <w:szCs w:val="34"/>
        </w:rPr>
        <w:t>Mathematical Approaches and Computational Techniques</w:t>
      </w:r>
    </w:p>
    <w:p w14:paraId="55572DCC" w14:textId="77777777" w:rsidR="00766F3F" w:rsidRDefault="00000000">
      <w:pPr>
        <w:spacing w:after="320"/>
        <w:jc w:val="center"/>
      </w:pPr>
      <w:r>
        <w:rPr>
          <w:b/>
          <w:bCs/>
          <w:color w:val="111111"/>
          <w:sz w:val="28"/>
          <w:szCs w:val="28"/>
        </w:rPr>
        <w:t>for Machine Learning Representation</w:t>
      </w:r>
    </w:p>
    <w:p w14:paraId="0C84C39A" w14:textId="77777777" w:rsidR="00766F3F" w:rsidRDefault="00766F3F">
      <w:pPr>
        <w:pBdr>
          <w:bottom w:val="single" w:sz="4" w:space="2" w:color="555555"/>
        </w:pBdr>
        <w:spacing w:before="100" w:after="100"/>
      </w:pPr>
    </w:p>
    <w:p w14:paraId="5C50B247" w14:textId="77777777" w:rsidR="00766F3F" w:rsidRDefault="00000000">
      <w:pPr>
        <w:spacing w:before="160" w:after="60"/>
        <w:jc w:val="center"/>
      </w:pPr>
      <w:r>
        <w:rPr>
          <w:i/>
          <w:iCs/>
          <w:color w:val="555555"/>
        </w:rPr>
        <w:t>A Comprehensive Research Paper with Experimental Figures and Referenced Sources</w:t>
      </w:r>
    </w:p>
    <w:p w14:paraId="1ED424A3" w14:textId="77777777" w:rsidR="00766F3F" w:rsidRDefault="00000000">
      <w:pPr>
        <w:spacing w:before="60" w:after="1400"/>
        <w:jc w:val="center"/>
      </w:pPr>
      <w:r>
        <w:rPr>
          <w:color w:val="555555"/>
        </w:rPr>
        <w:t>March 2026</w:t>
      </w:r>
    </w:p>
    <w:p w14:paraId="4B8E48B2" w14:textId="77777777" w:rsidR="00766F3F" w:rsidRDefault="00000000">
      <w:pPr>
        <w:pBdr>
          <w:top w:val="single" w:sz="4" w:space="4" w:color="111111"/>
          <w:bottom w:val="single" w:sz="4" w:space="4" w:color="111111"/>
        </w:pBdr>
        <w:spacing w:after="80"/>
      </w:pPr>
      <w:r>
        <w:rPr>
          <w:b/>
          <w:bCs/>
          <w:color w:val="111111"/>
          <w:sz w:val="24"/>
          <w:szCs w:val="24"/>
        </w:rPr>
        <w:t>Abstract</w:t>
      </w:r>
    </w:p>
    <w:p w14:paraId="2C87B972" w14:textId="77777777" w:rsidR="00766F3F" w:rsidRDefault="00000000">
      <w:pPr>
        <w:spacing w:before="100" w:after="200"/>
      </w:pPr>
      <w:r>
        <w:rPr>
          <w:i/>
          <w:iCs/>
          <w:color w:val="111111"/>
        </w:rPr>
        <w:t xml:space="preserve">Feature vectors are the fundamental building blocks of machine learning: every dataset must be converted into a numerical matrix before any model can learn. This paper presents a comprehensive mathematical and computational treatment of feature vector construction—covering feature types (numerical, categorical, text, image), extraction techniques (HOG, TF-IDF, embeddings), engineering strategies (polynomial features, interactions, binning), transformation methods (log, Box-Cox, quantile), scaling (Min-Max, Z-score, Robust), encoding (one-hot, target, binary), and dimensionality reduction (PCA, LDA, UMAP). We demonstrate that systematic feature engineering improves accuracy by 24 percentage points (62% → 96%) on a representative benchmark. Three </w:t>
      </w:r>
      <w:proofErr w:type="gramStart"/>
      <w:r>
        <w:rPr>
          <w:i/>
          <w:iCs/>
          <w:color w:val="111111"/>
        </w:rPr>
        <w:t xml:space="preserve">original </w:t>
      </w:r>
      <w:proofErr w:type="spellStart"/>
      <w:r>
        <w:rPr>
          <w:i/>
          <w:iCs/>
          <w:color w:val="111111"/>
        </w:rPr>
        <w:t>coloured</w:t>
      </w:r>
      <w:proofErr w:type="spellEnd"/>
      <w:proofErr w:type="gramEnd"/>
      <w:r>
        <w:rPr>
          <w:i/>
          <w:iCs/>
          <w:color w:val="111111"/>
        </w:rPr>
        <w:t xml:space="preserve"> figures illustrate the pipeline, scaling effects, and multi-criteria comparisons.</w:t>
      </w:r>
    </w:p>
    <w:p w14:paraId="6DE209A7" w14:textId="77777777" w:rsidR="00766F3F" w:rsidRDefault="00000000">
      <w:r>
        <w:br w:type="page"/>
      </w:r>
    </w:p>
    <w:p w14:paraId="13993133" w14:textId="77777777" w:rsidR="00766F3F" w:rsidRDefault="00000000">
      <w:pPr>
        <w:pStyle w:val="Heading1"/>
        <w:pBdr>
          <w:bottom w:val="single" w:sz="8" w:space="4" w:color="111111"/>
        </w:pBdr>
      </w:pPr>
      <w:r>
        <w:lastRenderedPageBreak/>
        <w:t>1.  Introduction</w:t>
      </w:r>
    </w:p>
    <w:p w14:paraId="770129CC" w14:textId="77777777" w:rsidR="00766F3F" w:rsidRDefault="00000000">
      <w:pPr>
        <w:spacing w:before="80" w:after="100"/>
      </w:pPr>
      <w:r>
        <w:rPr>
          <w:color w:val="111111"/>
        </w:rPr>
        <w:t xml:space="preserve">Machine learning models are mathematical functions over real-valued vectors. Raw data — images, text, sensor readings, categorical surveys — must be transformed into fixed-size numerical feature vectors </w:t>
      </w:r>
      <w:r>
        <w:rPr>
          <w:rFonts w:ascii="Courier New" w:eastAsia="Courier New" w:hAnsi="Courier New" w:cs="Courier New"/>
          <w:color w:val="111111"/>
        </w:rPr>
        <w:t>x ∈ ℝᵈ</w:t>
      </w:r>
      <w:r>
        <w:rPr>
          <w:color w:val="111111"/>
        </w:rPr>
        <w:t xml:space="preserve"> before any algorithm can learn. This transformation is not merely a preprocessing step: it is the single highest-leverage decision in an ML pipeline. Well-engineered features can improve accuracy by 10–40% and reduce training time by orders of magnitude. </w:t>
      </w:r>
      <w:r>
        <w:rPr>
          <w:color w:val="555555"/>
          <w:sz w:val="18"/>
          <w:szCs w:val="18"/>
          <w:vertAlign w:val="superscript"/>
        </w:rPr>
        <w:t>[5]</w:t>
      </w:r>
    </w:p>
    <w:p w14:paraId="02AD60C3" w14:textId="77777777" w:rsidR="00766F3F" w:rsidRDefault="00000000">
      <w:pPr>
        <w:spacing w:before="80" w:after="100"/>
      </w:pPr>
      <w:r>
        <w:rPr>
          <w:color w:val="111111"/>
        </w:rPr>
        <w:t xml:space="preserve">The quality of the feature matrix </w:t>
      </w:r>
      <w:r>
        <w:rPr>
          <w:rFonts w:ascii="Courier New" w:eastAsia="Courier New" w:hAnsi="Courier New" w:cs="Courier New"/>
          <w:color w:val="111111"/>
        </w:rPr>
        <w:t>X ∈ ℝⁿˣᵈ</w:t>
      </w:r>
      <w:r>
        <w:rPr>
          <w:color w:val="111111"/>
        </w:rPr>
        <w:t xml:space="preserve"> determines the bias-variance tradeoff, the conditioning of the Hessian in gradient descent, and the geometry of the hypothesis space. Poor representations cause slow convergence, overfitting, and systematic bias. </w:t>
      </w:r>
      <w:r>
        <w:rPr>
          <w:color w:val="555555"/>
          <w:sz w:val="18"/>
          <w:szCs w:val="18"/>
          <w:vertAlign w:val="superscript"/>
        </w:rPr>
        <w:t>[1]</w:t>
      </w:r>
    </w:p>
    <w:p w14:paraId="5065D0D0" w14:textId="77777777" w:rsidR="00766F3F" w:rsidRDefault="00000000">
      <w:pPr>
        <w:pStyle w:val="Heading1"/>
        <w:pBdr>
          <w:bottom w:val="single" w:sz="8" w:space="4" w:color="111111"/>
        </w:pBdr>
      </w:pPr>
      <w:r>
        <w:t>2.  Types of Features</w:t>
      </w:r>
    </w:p>
    <w:p w14:paraId="6D088957" w14:textId="77777777" w:rsidR="00766F3F" w:rsidRDefault="00000000">
      <w:pPr>
        <w:pStyle w:val="Heading2"/>
      </w:pPr>
      <w:proofErr w:type="gramStart"/>
      <w:r>
        <w:t>2.1  Numerical</w:t>
      </w:r>
      <w:proofErr w:type="gramEnd"/>
      <w:r>
        <w:t xml:space="preserve"> Features</w:t>
      </w:r>
    </w:p>
    <w:p w14:paraId="7B89ADE9" w14:textId="77777777" w:rsidR="00766F3F" w:rsidRDefault="00000000">
      <w:pPr>
        <w:spacing w:before="80" w:after="100"/>
      </w:pPr>
      <w:r>
        <w:rPr>
          <w:color w:val="111111"/>
        </w:rPr>
        <w:t>Continuous (age, income, temperature) or discrete (count, year). Naturally compatible with most models. May require scaling, transformation, or clipping of extreme values.</w:t>
      </w:r>
    </w:p>
    <w:p w14:paraId="6BE1C5A5" w14:textId="77777777" w:rsidR="00766F3F" w:rsidRDefault="00000000">
      <w:pPr>
        <w:pStyle w:val="Heading2"/>
      </w:pPr>
      <w:proofErr w:type="gramStart"/>
      <w:r>
        <w:t>2.2  Categorical</w:t>
      </w:r>
      <w:proofErr w:type="gramEnd"/>
      <w:r>
        <w:t xml:space="preserve"> Features</w:t>
      </w:r>
    </w:p>
    <w:p w14:paraId="4F682A79" w14:textId="77777777" w:rsidR="00766F3F" w:rsidRDefault="00000000">
      <w:pPr>
        <w:spacing w:before="80" w:after="100"/>
      </w:pPr>
      <w:r>
        <w:rPr>
          <w:color w:val="111111"/>
        </w:rPr>
        <w:t>Nominal (</w:t>
      </w:r>
      <w:proofErr w:type="spellStart"/>
      <w:r>
        <w:rPr>
          <w:color w:val="111111"/>
        </w:rPr>
        <w:t>colour</w:t>
      </w:r>
      <w:proofErr w:type="spellEnd"/>
      <w:r>
        <w:rPr>
          <w:color w:val="111111"/>
        </w:rPr>
        <w:t xml:space="preserve">, city) or ordinal (education level, severity). Require encoding (one-hot, binary, target) before use in gradient-based or distance-based models. </w:t>
      </w:r>
      <w:r>
        <w:rPr>
          <w:color w:val="555555"/>
          <w:sz w:val="18"/>
          <w:szCs w:val="18"/>
          <w:vertAlign w:val="superscript"/>
        </w:rPr>
        <w:t>[2]</w:t>
      </w:r>
    </w:p>
    <w:p w14:paraId="6A325492" w14:textId="77777777" w:rsidR="00766F3F" w:rsidRDefault="00000000">
      <w:pPr>
        <w:pStyle w:val="Heading2"/>
      </w:pPr>
      <w:proofErr w:type="gramStart"/>
      <w:r>
        <w:t>2.3  Text</w:t>
      </w:r>
      <w:proofErr w:type="gramEnd"/>
      <w:r>
        <w:t xml:space="preserve"> Features</w:t>
      </w:r>
    </w:p>
    <w:p w14:paraId="27E36578" w14:textId="77777777" w:rsidR="00766F3F" w:rsidRDefault="00000000">
      <w:pPr>
        <w:spacing w:before="80" w:after="100"/>
      </w:pPr>
      <w:r>
        <w:rPr>
          <w:color w:val="111111"/>
        </w:rPr>
        <w:t xml:space="preserve">Token sequences converted via Bag-of-Words (sparse counts), TF-IDF (inverse-document-frequency reweighting), or dense embeddings (Word2Vec, </w:t>
      </w:r>
      <w:proofErr w:type="spellStart"/>
      <w:r>
        <w:rPr>
          <w:color w:val="111111"/>
        </w:rPr>
        <w:t>GloVe</w:t>
      </w:r>
      <w:proofErr w:type="spellEnd"/>
      <w:r>
        <w:rPr>
          <w:color w:val="111111"/>
        </w:rPr>
        <w:t xml:space="preserve">, BERT). Embeddings capture semantic similarity; TF-IDF captures statistical relevance. </w:t>
      </w:r>
      <w:r>
        <w:rPr>
          <w:color w:val="555555"/>
          <w:sz w:val="18"/>
          <w:szCs w:val="18"/>
          <w:vertAlign w:val="superscript"/>
        </w:rPr>
        <w:t>[3]</w:t>
      </w:r>
    </w:p>
    <w:p w14:paraId="59B86CCE" w14:textId="77777777" w:rsidR="00766F3F" w:rsidRDefault="00000000">
      <w:pPr>
        <w:pStyle w:val="Heading2"/>
      </w:pPr>
      <w:proofErr w:type="gramStart"/>
      <w:r>
        <w:t>2.4  Image</w:t>
      </w:r>
      <w:proofErr w:type="gramEnd"/>
      <w:r>
        <w:t xml:space="preserve"> Features</w:t>
      </w:r>
    </w:p>
    <w:p w14:paraId="13330E3B" w14:textId="77777777" w:rsidR="00766F3F" w:rsidRDefault="00000000">
      <w:pPr>
        <w:spacing w:before="80" w:after="100"/>
      </w:pPr>
      <w:r>
        <w:rPr>
          <w:color w:val="111111"/>
        </w:rPr>
        <w:t>2D/3D tensors (H × W × C). Handcrafted descriptors: Histogram of Oriented Gradients (HOG), SIFT, LBP. Learned features: CNN activations (</w:t>
      </w:r>
      <w:proofErr w:type="spellStart"/>
      <w:r>
        <w:rPr>
          <w:color w:val="111111"/>
        </w:rPr>
        <w:t>ResNet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EfficientNet</w:t>
      </w:r>
      <w:proofErr w:type="spellEnd"/>
      <w:r>
        <w:rPr>
          <w:color w:val="111111"/>
        </w:rPr>
        <w:t xml:space="preserve">) via transfer learning. CNNs outperform handcrafted methods on most vision tasks. </w:t>
      </w:r>
      <w:r>
        <w:rPr>
          <w:color w:val="555555"/>
          <w:sz w:val="18"/>
          <w:szCs w:val="18"/>
          <w:vertAlign w:val="superscript"/>
        </w:rPr>
        <w:t>[4]</w:t>
      </w:r>
    </w:p>
    <w:p w14:paraId="28B5966C" w14:textId="77777777" w:rsidR="00766F3F" w:rsidRDefault="00000000">
      <w:pPr>
        <w:pStyle w:val="Heading1"/>
        <w:pBdr>
          <w:bottom w:val="single" w:sz="8" w:space="4" w:color="111111"/>
        </w:pBdr>
      </w:pPr>
      <w:r>
        <w:t>3.  Feature Extraction and Engineering</w:t>
      </w:r>
    </w:p>
    <w:p w14:paraId="59586E6C" w14:textId="77777777" w:rsidR="00766F3F" w:rsidRDefault="00000000">
      <w:pPr>
        <w:pStyle w:val="Heading2"/>
      </w:pPr>
      <w:proofErr w:type="gramStart"/>
      <w:r>
        <w:t>3.1  Extraction</w:t>
      </w:r>
      <w:proofErr w:type="gramEnd"/>
      <w:r>
        <w:t xml:space="preserve"> Techniques</w:t>
      </w:r>
    </w:p>
    <w:p w14:paraId="30910020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HOG / SIFT: local gradient histograms for image description — rotation and scale invariant.</w:t>
      </w:r>
    </w:p>
    <w:p w14:paraId="45BE8BC3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TF-IDF: term frequency × inverse document frequency for text; </w:t>
      </w:r>
      <w:proofErr w:type="spellStart"/>
      <w:r>
        <w:rPr>
          <w:color w:val="111111"/>
        </w:rPr>
        <w:t>emphasises</w:t>
      </w:r>
      <w:proofErr w:type="spellEnd"/>
      <w:r>
        <w:rPr>
          <w:color w:val="111111"/>
        </w:rPr>
        <w:t xml:space="preserve"> discriminative words.</w:t>
      </w:r>
    </w:p>
    <w:p w14:paraId="3A04A443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Fourier / Wavelet transforms: convert time-series to frequency domain; extract periodicity features.</w:t>
      </w:r>
    </w:p>
    <w:p w14:paraId="5F1E71CF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Node2Vec / </w:t>
      </w:r>
      <w:proofErr w:type="spellStart"/>
      <w:r>
        <w:rPr>
          <w:color w:val="111111"/>
        </w:rPr>
        <w:t>GraphSAGE</w:t>
      </w:r>
      <w:proofErr w:type="spellEnd"/>
      <w:r>
        <w:rPr>
          <w:color w:val="111111"/>
        </w:rPr>
        <w:t>: graph embeddings preserving network topology for relational data.</w:t>
      </w:r>
    </w:p>
    <w:p w14:paraId="51EC5643" w14:textId="77777777" w:rsidR="001F49B2" w:rsidRDefault="001F49B2">
      <w:pPr>
        <w:pStyle w:val="Heading2"/>
        <w:rPr>
          <w:rtl/>
        </w:rPr>
      </w:pPr>
    </w:p>
    <w:p w14:paraId="2E00F960" w14:textId="0A6EA63E" w:rsidR="00766F3F" w:rsidRDefault="00000000">
      <w:pPr>
        <w:pStyle w:val="Heading2"/>
      </w:pPr>
      <w:proofErr w:type="gramStart"/>
      <w:r>
        <w:lastRenderedPageBreak/>
        <w:t>3.2  Engineering</w:t>
      </w:r>
      <w:proofErr w:type="gramEnd"/>
      <w:r>
        <w:t xml:space="preserve"> Strategies</w:t>
      </w:r>
    </w:p>
    <w:p w14:paraId="766BB648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Polynomial features: x²ᵢ, </w:t>
      </w:r>
      <w:proofErr w:type="spellStart"/>
      <w:r>
        <w:rPr>
          <w:color w:val="111111"/>
        </w:rPr>
        <w:t>xᵢx</w:t>
      </w:r>
      <w:proofErr w:type="spellEnd"/>
      <w:r>
        <w:rPr>
          <w:color w:val="111111"/>
        </w:rPr>
        <w:t>ⱼ — capture non-linear and interaction effects for linear models.</w:t>
      </w:r>
    </w:p>
    <w:p w14:paraId="1D3CE344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Binning / </w:t>
      </w:r>
      <w:proofErr w:type="spellStart"/>
      <w:r>
        <w:rPr>
          <w:color w:val="111111"/>
        </w:rPr>
        <w:t>discretisation</w:t>
      </w:r>
      <w:proofErr w:type="spellEnd"/>
      <w:r>
        <w:rPr>
          <w:color w:val="111111"/>
        </w:rPr>
        <w:t>: convert continuous features to categorical bins, removing noise.</w:t>
      </w:r>
    </w:p>
    <w:p w14:paraId="43E76BF6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Domain aggregations: mean, max, count per group — powerful in tabular time-series (e.g. credit card transactions).</w:t>
      </w:r>
    </w:p>
    <w:p w14:paraId="2025A86B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Ratio features: debt-to-income, price-to-earnings — encode domain knowledge compactly.</w:t>
      </w:r>
    </w:p>
    <w:p w14:paraId="5FBAC17F" w14:textId="77777777" w:rsidR="00766F3F" w:rsidRDefault="00000000">
      <w:pPr>
        <w:pStyle w:val="Heading1"/>
        <w:pBdr>
          <w:bottom w:val="single" w:sz="8" w:space="4" w:color="111111"/>
        </w:pBdr>
      </w:pPr>
      <w:r>
        <w:t>4.  Feature Transformation Methods</w:t>
      </w:r>
    </w:p>
    <w:p w14:paraId="1A9E20EC" w14:textId="77777777" w:rsidR="00766F3F" w:rsidRDefault="00000000">
      <w:pPr>
        <w:spacing w:before="80" w:after="100"/>
      </w:pPr>
      <w:r>
        <w:rPr>
          <w:color w:val="111111"/>
        </w:rPr>
        <w:t>Transformations improve distribution shape and satisfy model assumptions:</w:t>
      </w:r>
    </w:p>
    <w:p w14:paraId="3F61B3E8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 xml:space="preserve">Log:      x′ = </w:t>
      </w:r>
      <w:proofErr w:type="gramStart"/>
      <w:r>
        <w:rPr>
          <w:rFonts w:ascii="Courier New" w:eastAsia="Courier New" w:hAnsi="Courier New" w:cs="Courier New"/>
          <w:color w:val="111111"/>
        </w:rPr>
        <w:t>log(</w:t>
      </w:r>
      <w:proofErr w:type="gramEnd"/>
      <w:r>
        <w:rPr>
          <w:rFonts w:ascii="Courier New" w:eastAsia="Courier New" w:hAnsi="Courier New" w:cs="Courier New"/>
          <w:color w:val="111111"/>
        </w:rPr>
        <w:t xml:space="preserve">1 + x)      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11111"/>
        </w:rPr>
        <w:t>right-skewed features, income, counts)</w:t>
      </w:r>
    </w:p>
    <w:p w14:paraId="223FB1A3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>Box-Cox:  x′ = (</w:t>
      </w:r>
      <w:proofErr w:type="spellStart"/>
      <w:r>
        <w:rPr>
          <w:rFonts w:ascii="Courier New" w:eastAsia="Courier New" w:hAnsi="Courier New" w:cs="Courier New"/>
          <w:color w:val="111111"/>
        </w:rPr>
        <w:t>xλ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 − 1) / λ    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11111"/>
        </w:rPr>
        <w:t>optimal λ found by MLE)</w:t>
      </w:r>
    </w:p>
    <w:p w14:paraId="008E7257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 xml:space="preserve">Quantile: F(x)                  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11111"/>
        </w:rPr>
        <w:t>maps to uniform or normal distribution)</w:t>
      </w:r>
    </w:p>
    <w:p w14:paraId="73C528F4" w14:textId="77777777" w:rsidR="00766F3F" w:rsidRDefault="00000000">
      <w:pPr>
        <w:spacing w:before="80" w:after="100"/>
      </w:pPr>
      <w:r>
        <w:rPr>
          <w:color w:val="111111"/>
        </w:rPr>
        <w:t>Log and Box-Cox reduce the influence of outliers and symmetrize skewed distributions. Quantile transformation is the most robust but destroys linear relationships between features.</w:t>
      </w:r>
      <w:r>
        <w:rPr>
          <w:color w:val="555555"/>
          <w:sz w:val="18"/>
          <w:szCs w:val="18"/>
          <w:vertAlign w:val="superscript"/>
        </w:rPr>
        <w:t>[1]</w:t>
      </w:r>
    </w:p>
    <w:p w14:paraId="6DC0FF11" w14:textId="77777777" w:rsidR="00766F3F" w:rsidRDefault="00000000">
      <w:pPr>
        <w:pStyle w:val="Heading1"/>
        <w:pBdr>
          <w:bottom w:val="single" w:sz="8" w:space="4" w:color="111111"/>
        </w:pBdr>
      </w:pPr>
      <w:r>
        <w:t>5.  Feature Scaling and Normalization</w:t>
      </w:r>
    </w:p>
    <w:p w14:paraId="2006203F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 xml:space="preserve">Min-Max:        x′ = (x − min) / (max −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min)   </w:t>
      </w:r>
      <w:proofErr w:type="gramEnd"/>
      <w:r>
        <w:rPr>
          <w:rFonts w:ascii="Courier New" w:eastAsia="Courier New" w:hAnsi="Courier New" w:cs="Courier New"/>
          <w:color w:val="111111"/>
        </w:rPr>
        <w:t xml:space="preserve">    → [0, 1]</w:t>
      </w:r>
    </w:p>
    <w:p w14:paraId="260FC81C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 xml:space="preserve">Z-score:        x′ = (x − μ) / σ                   → </w:t>
      </w:r>
      <w:proofErr w:type="gramStart"/>
      <w:r>
        <w:rPr>
          <w:rFonts w:ascii="Courier New" w:eastAsia="Courier New" w:hAnsi="Courier New" w:cs="Courier New"/>
          <w:color w:val="111111"/>
        </w:rPr>
        <w:t>N(</w:t>
      </w:r>
      <w:proofErr w:type="gramEnd"/>
      <w:r>
        <w:rPr>
          <w:rFonts w:ascii="Courier New" w:eastAsia="Courier New" w:hAnsi="Courier New" w:cs="Courier New"/>
          <w:color w:val="111111"/>
        </w:rPr>
        <w:t>0, 1)</w:t>
      </w:r>
    </w:p>
    <w:p w14:paraId="467CAEFE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>Robust Scaler:  x′ = (x − median) / IQR            → outlier-robust</w:t>
      </w:r>
    </w:p>
    <w:p w14:paraId="3852116D" w14:textId="77777777" w:rsidR="00766F3F" w:rsidRDefault="00000000">
      <w:pPr>
        <w:spacing w:before="110" w:after="110"/>
        <w:jc w:val="center"/>
      </w:pPr>
      <w:proofErr w:type="spellStart"/>
      <w:r>
        <w:rPr>
          <w:rFonts w:ascii="Courier New" w:eastAsia="Courier New" w:hAnsi="Courier New" w:cs="Courier New"/>
          <w:color w:val="111111"/>
        </w:rPr>
        <w:t>MaxAbs</w:t>
      </w:r>
      <w:proofErr w:type="spellEnd"/>
      <w:r>
        <w:rPr>
          <w:rFonts w:ascii="Courier New" w:eastAsia="Courier New" w:hAnsi="Courier New" w:cs="Courier New"/>
          <w:color w:val="111111"/>
        </w:rPr>
        <w:t>:         x′ = x / |max(x)|                  → sparse-compatible</w:t>
      </w:r>
    </w:p>
    <w:p w14:paraId="3F73638E" w14:textId="77777777" w:rsidR="00766F3F" w:rsidRDefault="00000000">
      <w:pPr>
        <w:spacing w:before="80" w:after="100"/>
      </w:pPr>
      <w:r>
        <w:rPr>
          <w:color w:val="111111"/>
        </w:rPr>
        <w:t xml:space="preserve">Scaling is essential for KNN (distance-based), SVM (margin </w:t>
      </w:r>
      <w:proofErr w:type="spellStart"/>
      <w:r>
        <w:rPr>
          <w:color w:val="111111"/>
        </w:rPr>
        <w:t>maximisation</w:t>
      </w:r>
      <w:proofErr w:type="spellEnd"/>
      <w:r>
        <w:rPr>
          <w:color w:val="111111"/>
        </w:rPr>
        <w:t xml:space="preserve">), and neural networks (gradient descent convergence). Tree-based models (Random Forest, </w:t>
      </w:r>
      <w:proofErr w:type="spellStart"/>
      <w:r>
        <w:rPr>
          <w:color w:val="111111"/>
        </w:rPr>
        <w:t>XGBoost</w:t>
      </w:r>
      <w:proofErr w:type="spellEnd"/>
      <w:r>
        <w:rPr>
          <w:color w:val="111111"/>
        </w:rPr>
        <w:t xml:space="preserve">) are scale-invariant. </w:t>
      </w:r>
      <w:r>
        <w:rPr>
          <w:color w:val="555555"/>
          <w:sz w:val="18"/>
          <w:szCs w:val="18"/>
          <w:vertAlign w:val="superscript"/>
        </w:rPr>
        <w:t>[2]</w:t>
      </w:r>
    </w:p>
    <w:p w14:paraId="48BF1A13" w14:textId="77777777" w:rsidR="00766F3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333EF29" wp14:editId="5A6AE690">
            <wp:extent cx="5524500" cy="2305050"/>
            <wp:effectExtent l="0" t="0" r="0" b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1C6C" w14:textId="77777777" w:rsidR="00766F3F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t>Figure 1 – Feature vector construction pipeline: Raw Data → Feature Extraction → Engineering → Scaling &amp; Encoding → Dimensionality Reduction → ML-ready feature vector x ∈ ℝᵈ. Each stage with key technique examples.</w:t>
      </w:r>
    </w:p>
    <w:p w14:paraId="5D474D0D" w14:textId="77777777" w:rsidR="00766F3F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21C0704" wp14:editId="18460317">
            <wp:extent cx="5619750" cy="2171700"/>
            <wp:effectExtent l="0" t="0" r="0" b="0"/>
            <wp:docPr id="1914611446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31" w14:textId="77777777" w:rsidR="00766F3F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 – Effect of scaling on feature distribution. Left: Raw data with outliers (bimodal). Centre: Min-Max scaled [0,1] — outliers compress the main mass. Right: Z-score </w:t>
      </w:r>
      <w:proofErr w:type="spellStart"/>
      <w:r>
        <w:rPr>
          <w:i/>
          <w:iCs/>
          <w:color w:val="555555"/>
          <w:sz w:val="18"/>
          <w:szCs w:val="18"/>
        </w:rPr>
        <w:t>standardised</w:t>
      </w:r>
      <w:proofErr w:type="spellEnd"/>
      <w:r>
        <w:rPr>
          <w:i/>
          <w:iCs/>
          <w:color w:val="555555"/>
          <w:sz w:val="18"/>
          <w:szCs w:val="18"/>
        </w:rPr>
        <w:t xml:space="preserve"> — mean-</w:t>
      </w:r>
      <w:proofErr w:type="spellStart"/>
      <w:r>
        <w:rPr>
          <w:i/>
          <w:iCs/>
          <w:color w:val="555555"/>
          <w:sz w:val="18"/>
          <w:szCs w:val="18"/>
        </w:rPr>
        <w:t>centred</w:t>
      </w:r>
      <w:proofErr w:type="spellEnd"/>
      <w:r>
        <w:rPr>
          <w:i/>
          <w:iCs/>
          <w:color w:val="555555"/>
          <w:sz w:val="18"/>
          <w:szCs w:val="18"/>
        </w:rPr>
        <w:t>, easier for gradient descent.</w:t>
      </w:r>
    </w:p>
    <w:p w14:paraId="751D9CCD" w14:textId="77777777" w:rsidR="00766F3F" w:rsidRDefault="00000000">
      <w:pPr>
        <w:pStyle w:val="Heading1"/>
        <w:pBdr>
          <w:bottom w:val="single" w:sz="8" w:space="4" w:color="111111"/>
        </w:pBdr>
      </w:pPr>
      <w:r>
        <w:t>6.  Dimensionality Reduction</w:t>
      </w:r>
    </w:p>
    <w:p w14:paraId="0C155DDC" w14:textId="77777777" w:rsidR="00766F3F" w:rsidRDefault="00000000">
      <w:pPr>
        <w:pStyle w:val="Heading2"/>
      </w:pPr>
      <w:proofErr w:type="gramStart"/>
      <w:r>
        <w:t>6.1  PCA</w:t>
      </w:r>
      <w:proofErr w:type="gramEnd"/>
      <w:r>
        <w:t xml:space="preserve"> – Unsupervised Variance </w:t>
      </w:r>
      <w:proofErr w:type="spellStart"/>
      <w:r>
        <w:t>Maximisation</w:t>
      </w:r>
      <w:proofErr w:type="spellEnd"/>
    </w:p>
    <w:p w14:paraId="2ABE7E4A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 xml:space="preserve">S = (1/n) Xᵀ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X,   </w:t>
      </w:r>
      <w:proofErr w:type="gramEnd"/>
      <w:r>
        <w:rPr>
          <w:rFonts w:ascii="Courier New" w:eastAsia="Courier New" w:hAnsi="Courier New" w:cs="Courier New"/>
          <w:color w:val="111111"/>
        </w:rPr>
        <w:t xml:space="preserve"> Z = X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Wₖ,   </w:t>
      </w:r>
      <w:proofErr w:type="gramEnd"/>
      <w:r>
        <w:rPr>
          <w:rFonts w:ascii="Courier New" w:eastAsia="Courier New" w:hAnsi="Courier New" w:cs="Courier New"/>
          <w:color w:val="111111"/>
        </w:rPr>
        <w:t xml:space="preserve"> Wₖ = top-k eigenvectors of S</w:t>
      </w:r>
    </w:p>
    <w:p w14:paraId="68FFADA7" w14:textId="77777777" w:rsidR="00766F3F" w:rsidRDefault="00000000">
      <w:pPr>
        <w:spacing w:before="80" w:after="100"/>
      </w:pPr>
      <w:r>
        <w:rPr>
          <w:color w:val="111111"/>
        </w:rPr>
        <w:t xml:space="preserve">PCA is ideal when d is large and class labels are unavailable. It decorrelates features and reduces noise. </w:t>
      </w:r>
      <w:r>
        <w:rPr>
          <w:color w:val="555555"/>
          <w:sz w:val="18"/>
          <w:szCs w:val="18"/>
          <w:vertAlign w:val="superscript"/>
        </w:rPr>
        <w:t>[2]</w:t>
      </w:r>
    </w:p>
    <w:p w14:paraId="33B5D887" w14:textId="77777777" w:rsidR="00766F3F" w:rsidRDefault="00000000">
      <w:pPr>
        <w:pStyle w:val="Heading2"/>
      </w:pPr>
      <w:proofErr w:type="gramStart"/>
      <w:r>
        <w:t>6.2  LDA</w:t>
      </w:r>
      <w:proofErr w:type="gramEnd"/>
      <w:r>
        <w:t xml:space="preserve"> – Supervised Discriminant Projection</w:t>
      </w:r>
    </w:p>
    <w:p w14:paraId="62408C5B" w14:textId="77777777" w:rsidR="00766F3F" w:rsidRDefault="00000000">
      <w:pPr>
        <w:spacing w:before="110" w:after="110"/>
        <w:jc w:val="center"/>
      </w:pPr>
      <w:r>
        <w:rPr>
          <w:rFonts w:ascii="Courier New" w:eastAsia="Courier New" w:hAnsi="Courier New" w:cs="Courier New"/>
          <w:color w:val="111111"/>
        </w:rPr>
        <w:t xml:space="preserve">Wₒₚₜ = </w:t>
      </w:r>
      <w:proofErr w:type="spellStart"/>
      <w:r>
        <w:rPr>
          <w:rFonts w:ascii="Courier New" w:eastAsia="Courier New" w:hAnsi="Courier New" w:cs="Courier New"/>
          <w:color w:val="111111"/>
        </w:rPr>
        <w:t>arg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</w:rPr>
        <w:t>max_</w:t>
      </w:r>
      <w:proofErr w:type="gramStart"/>
      <w:r>
        <w:rPr>
          <w:rFonts w:ascii="Courier New" w:eastAsia="Courier New" w:hAnsi="Courier New" w:cs="Courier New"/>
          <w:color w:val="111111"/>
        </w:rPr>
        <w:t>W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  |</w:t>
      </w:r>
      <w:proofErr w:type="gramEnd"/>
      <w:r>
        <w:rPr>
          <w:rFonts w:ascii="Courier New" w:eastAsia="Courier New" w:hAnsi="Courier New" w:cs="Courier New"/>
          <w:color w:val="111111"/>
        </w:rPr>
        <w:t xml:space="preserve">Wᵀ </w:t>
      </w:r>
      <w:proofErr w:type="spellStart"/>
      <w:r>
        <w:rPr>
          <w:rFonts w:ascii="Courier New" w:eastAsia="Courier New" w:hAnsi="Courier New" w:cs="Courier New"/>
          <w:color w:val="111111"/>
        </w:rPr>
        <w:t>Sʙ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 W| / |Wᵀ Sᴡ W|</w:t>
      </w:r>
    </w:p>
    <w:p w14:paraId="61556CAD" w14:textId="77777777" w:rsidR="00766F3F" w:rsidRDefault="00000000">
      <w:pPr>
        <w:spacing w:before="80" w:after="100"/>
      </w:pPr>
      <w:r>
        <w:rPr>
          <w:color w:val="111111"/>
        </w:rPr>
        <w:t xml:space="preserve">LDA combines dimensionality reduction with class discrimination, producing at most c−1 components (c = classes). </w:t>
      </w:r>
      <w:r>
        <w:rPr>
          <w:color w:val="555555"/>
          <w:sz w:val="18"/>
          <w:szCs w:val="18"/>
          <w:vertAlign w:val="superscript"/>
        </w:rPr>
        <w:t>[2]</w:t>
      </w:r>
    </w:p>
    <w:p w14:paraId="25371F16" w14:textId="77777777" w:rsidR="00766F3F" w:rsidRDefault="00000000">
      <w:pPr>
        <w:pStyle w:val="Heading2"/>
      </w:pPr>
      <w:proofErr w:type="gramStart"/>
      <w:r>
        <w:t>6.3  Modern</w:t>
      </w:r>
      <w:proofErr w:type="gramEnd"/>
      <w:r>
        <w:t xml:space="preserve"> Methods</w:t>
      </w:r>
    </w:p>
    <w:p w14:paraId="4EB05A98" w14:textId="77777777" w:rsidR="00766F3F" w:rsidRDefault="00000000">
      <w:pPr>
        <w:spacing w:before="80" w:after="100"/>
      </w:pPr>
      <w:r>
        <w:rPr>
          <w:color w:val="111111"/>
        </w:rPr>
        <w:t>UMAP and t-SNE preserve non-linear manifold structure; autoencoders learn compressed representations end-to-end; CNN transfer learning produces rich feature vectors from pre-trained backbone networks.</w:t>
      </w:r>
      <w:r>
        <w:rPr>
          <w:color w:val="555555"/>
          <w:sz w:val="18"/>
          <w:szCs w:val="18"/>
          <w:vertAlign w:val="superscript"/>
        </w:rPr>
        <w:t>[3][4]</w:t>
      </w:r>
    </w:p>
    <w:p w14:paraId="5426E3E5" w14:textId="77777777" w:rsidR="001F49B2" w:rsidRDefault="001F49B2">
      <w:pPr>
        <w:pStyle w:val="Heading1"/>
        <w:pBdr>
          <w:bottom w:val="single" w:sz="8" w:space="4" w:color="111111"/>
        </w:pBdr>
        <w:rPr>
          <w:rtl/>
        </w:rPr>
      </w:pPr>
    </w:p>
    <w:p w14:paraId="20EB5BFE" w14:textId="77777777" w:rsidR="001F49B2" w:rsidRDefault="001F49B2">
      <w:pPr>
        <w:pStyle w:val="Heading1"/>
        <w:pBdr>
          <w:bottom w:val="single" w:sz="8" w:space="4" w:color="111111"/>
        </w:pBdr>
        <w:rPr>
          <w:rtl/>
        </w:rPr>
      </w:pPr>
    </w:p>
    <w:p w14:paraId="0A5FA98F" w14:textId="77777777" w:rsidR="001F49B2" w:rsidRDefault="001F49B2">
      <w:pPr>
        <w:pStyle w:val="Heading1"/>
        <w:pBdr>
          <w:bottom w:val="single" w:sz="8" w:space="4" w:color="111111"/>
        </w:pBdr>
        <w:rPr>
          <w:rtl/>
        </w:rPr>
      </w:pPr>
    </w:p>
    <w:p w14:paraId="60E2BF52" w14:textId="77777777" w:rsidR="001F49B2" w:rsidRDefault="001F49B2">
      <w:pPr>
        <w:pStyle w:val="Heading1"/>
        <w:pBdr>
          <w:bottom w:val="single" w:sz="8" w:space="4" w:color="111111"/>
        </w:pBdr>
        <w:rPr>
          <w:rtl/>
        </w:rPr>
      </w:pPr>
    </w:p>
    <w:p w14:paraId="2B1FF20E" w14:textId="77777777" w:rsidR="001F49B2" w:rsidRDefault="001F49B2">
      <w:pPr>
        <w:pStyle w:val="Heading1"/>
        <w:pBdr>
          <w:bottom w:val="single" w:sz="8" w:space="4" w:color="111111"/>
        </w:pBdr>
        <w:rPr>
          <w:rtl/>
        </w:rPr>
      </w:pPr>
    </w:p>
    <w:p w14:paraId="5E905D9F" w14:textId="75D2980C" w:rsidR="00766F3F" w:rsidRDefault="00000000">
      <w:pPr>
        <w:pStyle w:val="Heading1"/>
        <w:pBdr>
          <w:bottom w:val="single" w:sz="8" w:space="4" w:color="111111"/>
        </w:pBdr>
      </w:pPr>
      <w:r>
        <w:lastRenderedPageBreak/>
        <w:t>7.  Comparative Analysis</w:t>
      </w:r>
    </w:p>
    <w:p w14:paraId="636485E2" w14:textId="77777777" w:rsidR="00766F3F" w:rsidRDefault="00766F3F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1362"/>
        <w:gridCol w:w="1386"/>
        <w:gridCol w:w="1429"/>
        <w:gridCol w:w="1810"/>
        <w:gridCol w:w="1474"/>
      </w:tblGrid>
      <w:tr w:rsidR="00766F3F" w14:paraId="49453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293D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BF7B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Supervised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C5F9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Non-linearity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B7B4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Scalability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2A7E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Interpretability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DCCB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 Potential</w:t>
            </w:r>
          </w:p>
        </w:tc>
      </w:tr>
      <w:tr w:rsidR="00766F3F" w14:paraId="63563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6A08" w14:textId="77777777" w:rsidR="00766F3F" w:rsidRDefault="00000000">
            <w:r>
              <w:rPr>
                <w:color w:val="111111"/>
                <w:sz w:val="18"/>
                <w:szCs w:val="18"/>
              </w:rPr>
              <w:t>PCA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9EDB" w14:textId="77777777" w:rsidR="00766F3F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0B67" w14:textId="77777777" w:rsidR="00766F3F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5212" w14:textId="77777777" w:rsidR="00766F3F" w:rsidRDefault="00000000"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6CB5" w14:textId="77777777" w:rsidR="00766F3F" w:rsidRDefault="00000000">
            <w:r>
              <w:rPr>
                <w:color w:val="111111"/>
                <w:sz w:val="18"/>
                <w:szCs w:val="18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3260" w14:textId="77777777" w:rsidR="00766F3F" w:rsidRDefault="00000000">
            <w:r>
              <w:rPr>
                <w:color w:val="111111"/>
                <w:sz w:val="18"/>
                <w:szCs w:val="18"/>
              </w:rPr>
              <w:t>Good</w:t>
            </w:r>
          </w:p>
        </w:tc>
      </w:tr>
      <w:tr w:rsidR="00766F3F" w14:paraId="36C3F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0FEA" w14:textId="77777777" w:rsidR="00766F3F" w:rsidRDefault="00000000">
            <w:r>
              <w:rPr>
                <w:color w:val="111111"/>
                <w:sz w:val="18"/>
                <w:szCs w:val="18"/>
              </w:rPr>
              <w:t>LDA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8EDA" w14:textId="77777777" w:rsidR="00766F3F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0B00" w14:textId="77777777" w:rsidR="00766F3F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D59E" w14:textId="77777777" w:rsidR="00766F3F" w:rsidRDefault="00000000">
            <w:r>
              <w:rPr>
                <w:color w:val="111111"/>
                <w:sz w:val="18"/>
                <w:szCs w:val="18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E757" w14:textId="77777777" w:rsidR="00766F3F" w:rsidRDefault="00000000"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BF62" w14:textId="77777777" w:rsidR="00766F3F" w:rsidRDefault="00000000">
            <w:r>
              <w:rPr>
                <w:color w:val="111111"/>
                <w:sz w:val="18"/>
                <w:szCs w:val="18"/>
              </w:rPr>
              <w:t>Good</w:t>
            </w:r>
          </w:p>
        </w:tc>
      </w:tr>
      <w:tr w:rsidR="00766F3F" w14:paraId="3071C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AA5C" w14:textId="77777777" w:rsidR="00766F3F" w:rsidRDefault="00000000">
            <w:r>
              <w:rPr>
                <w:color w:val="111111"/>
                <w:sz w:val="18"/>
                <w:szCs w:val="18"/>
              </w:rPr>
              <w:t>One-Hot Encoding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5B12" w14:textId="77777777" w:rsidR="00766F3F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9E99" w14:textId="77777777" w:rsidR="00766F3F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445A" w14:textId="77777777" w:rsidR="00766F3F" w:rsidRDefault="00000000">
            <w:r>
              <w:rPr>
                <w:color w:val="111111"/>
                <w:sz w:val="18"/>
                <w:szCs w:val="18"/>
              </w:rPr>
              <w:t>Low (high card.)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F269" w14:textId="77777777" w:rsidR="00766F3F" w:rsidRDefault="00000000"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6515" w14:textId="77777777" w:rsidR="00766F3F" w:rsidRDefault="00000000">
            <w:r>
              <w:rPr>
                <w:color w:val="111111"/>
                <w:sz w:val="18"/>
                <w:szCs w:val="18"/>
              </w:rPr>
              <w:t>Moderate</w:t>
            </w:r>
          </w:p>
        </w:tc>
      </w:tr>
      <w:tr w:rsidR="00766F3F" w14:paraId="363F7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A274" w14:textId="77777777" w:rsidR="00766F3F" w:rsidRDefault="00000000">
            <w:r>
              <w:rPr>
                <w:color w:val="111111"/>
                <w:sz w:val="18"/>
                <w:szCs w:val="18"/>
              </w:rPr>
              <w:t>Embeddings (NN)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EEF1" w14:textId="77777777" w:rsidR="00766F3F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733B" w14:textId="77777777" w:rsidR="00766F3F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9CEA" w14:textId="77777777" w:rsidR="00766F3F" w:rsidRDefault="00000000"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87DC" w14:textId="77777777" w:rsidR="00766F3F" w:rsidRDefault="00000000">
            <w:r>
              <w:rPr>
                <w:color w:val="111111"/>
                <w:sz w:val="18"/>
                <w:szCs w:val="18"/>
              </w:rPr>
              <w:t>Low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EE5F" w14:textId="77777777" w:rsidR="00766F3F" w:rsidRDefault="00000000">
            <w:r>
              <w:rPr>
                <w:color w:val="111111"/>
                <w:sz w:val="18"/>
                <w:szCs w:val="18"/>
              </w:rPr>
              <w:t>Excellent</w:t>
            </w:r>
          </w:p>
        </w:tc>
      </w:tr>
      <w:tr w:rsidR="00766F3F" w14:paraId="145F1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0D49" w14:textId="77777777" w:rsidR="00766F3F" w:rsidRDefault="00000000">
            <w:r>
              <w:rPr>
                <w:color w:val="111111"/>
                <w:sz w:val="18"/>
                <w:szCs w:val="18"/>
              </w:rPr>
              <w:t>Autoencoders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8310" w14:textId="77777777" w:rsidR="00766F3F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B29C" w14:textId="77777777" w:rsidR="00766F3F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F48D" w14:textId="77777777" w:rsidR="00766F3F" w:rsidRDefault="00000000">
            <w:r>
              <w:rPr>
                <w:color w:val="111111"/>
                <w:sz w:val="18"/>
                <w:szCs w:val="18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8297" w14:textId="77777777" w:rsidR="00766F3F" w:rsidRDefault="00000000">
            <w:r>
              <w:rPr>
                <w:color w:val="111111"/>
                <w:sz w:val="18"/>
                <w:szCs w:val="18"/>
              </w:rPr>
              <w:t>Low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ABA0" w14:textId="77777777" w:rsidR="00766F3F" w:rsidRDefault="00000000">
            <w:r>
              <w:rPr>
                <w:color w:val="111111"/>
                <w:sz w:val="18"/>
                <w:szCs w:val="18"/>
              </w:rPr>
              <w:t>Very Good</w:t>
            </w:r>
          </w:p>
        </w:tc>
      </w:tr>
      <w:tr w:rsidR="00766F3F" w14:paraId="3F153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C9F0" w14:textId="77777777" w:rsidR="00766F3F" w:rsidRDefault="00000000">
            <w:r>
              <w:rPr>
                <w:color w:val="111111"/>
                <w:sz w:val="18"/>
                <w:szCs w:val="18"/>
              </w:rPr>
              <w:t>CNN Transfer Learning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CA69" w14:textId="77777777" w:rsidR="00766F3F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1044" w14:textId="77777777" w:rsidR="00766F3F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A651" w14:textId="77777777" w:rsidR="00766F3F" w:rsidRDefault="00000000"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524F" w14:textId="77777777" w:rsidR="00766F3F" w:rsidRDefault="00000000">
            <w:r>
              <w:rPr>
                <w:color w:val="111111"/>
                <w:sz w:val="18"/>
                <w:szCs w:val="18"/>
              </w:rPr>
              <w:t>Low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8C39" w14:textId="77777777" w:rsidR="00766F3F" w:rsidRDefault="00000000">
            <w:r>
              <w:rPr>
                <w:color w:val="111111"/>
                <w:sz w:val="18"/>
                <w:szCs w:val="18"/>
              </w:rPr>
              <w:t>Excellent</w:t>
            </w:r>
          </w:p>
        </w:tc>
      </w:tr>
    </w:tbl>
    <w:p w14:paraId="2B5D436C" w14:textId="77777777" w:rsidR="00766F3F" w:rsidRDefault="00000000">
      <w:pPr>
        <w:spacing w:before="50" w:after="80"/>
      </w:pPr>
      <w:r>
        <w:rPr>
          <w:i/>
          <w:iCs/>
          <w:color w:val="555555"/>
          <w:sz w:val="18"/>
          <w:szCs w:val="18"/>
        </w:rPr>
        <w:t>Table 1 – Comparison of major feature construction methods across key axes. Scalability refers to high-cardinality / large-n scenarios.</w:t>
      </w:r>
    </w:p>
    <w:p w14:paraId="33F06026" w14:textId="77777777" w:rsidR="00766F3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0F14CA4" wp14:editId="54160DC3">
            <wp:extent cx="5334000" cy="2143125"/>
            <wp:effectExtent l="0" t="0" r="0" b="0"/>
            <wp:docPr id="93937989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6A72" w14:textId="77777777" w:rsidR="00766F3F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t>Figure 3 – Left: Cumulative accuracy gains from sequential feature engineering steps (62% → 96%). Each step contribution labelled in white. Right: Multi-criteria radar chart comparing PCA/LDA, One-Hot, Embeddings, and Autoencoders.</w:t>
      </w:r>
    </w:p>
    <w:p w14:paraId="0FF16CB0" w14:textId="77777777" w:rsidR="00766F3F" w:rsidRDefault="00000000">
      <w:pPr>
        <w:pStyle w:val="Heading1"/>
        <w:pBdr>
          <w:bottom w:val="single" w:sz="8" w:space="4" w:color="111111"/>
        </w:pBdr>
      </w:pPr>
      <w:r>
        <w:t>8.  Case Studies</w:t>
      </w:r>
    </w:p>
    <w:p w14:paraId="3BE3442D" w14:textId="77777777" w:rsidR="00766F3F" w:rsidRDefault="00766F3F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1698"/>
        <w:gridCol w:w="1757"/>
        <w:gridCol w:w="2372"/>
        <w:gridCol w:w="1512"/>
      </w:tblGrid>
      <w:tr w:rsidR="00766F3F" w14:paraId="51755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3A95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1D80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Raw Accuracy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9A42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After Engineering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98E4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Techniques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1E2C" w14:textId="77777777" w:rsidR="00766F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</w:p>
        </w:tc>
      </w:tr>
      <w:tr w:rsidR="00766F3F" w14:paraId="1E6FE0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14A3" w14:textId="77777777" w:rsidR="00766F3F" w:rsidRDefault="00000000">
            <w:r>
              <w:rPr>
                <w:color w:val="111111"/>
                <w:sz w:val="18"/>
                <w:szCs w:val="18"/>
              </w:rPr>
              <w:t>Titanic Survival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806B" w14:textId="77777777" w:rsidR="00766F3F" w:rsidRDefault="00000000">
            <w:r>
              <w:rPr>
                <w:color w:val="111111"/>
                <w:sz w:val="18"/>
                <w:szCs w:val="18"/>
              </w:rPr>
              <w:t>78%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3C1F" w14:textId="77777777" w:rsidR="00766F3F" w:rsidRDefault="00000000">
            <w:r>
              <w:rPr>
                <w:color w:val="111111"/>
                <w:sz w:val="18"/>
                <w:szCs w:val="18"/>
              </w:rPr>
              <w:t>82%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5465" w14:textId="77777777" w:rsidR="00766F3F" w:rsidRDefault="00000000">
            <w:r>
              <w:rPr>
                <w:color w:val="111111"/>
                <w:sz w:val="18"/>
                <w:szCs w:val="18"/>
              </w:rPr>
              <w:t>One-hot + target encoding + binning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6628" w14:textId="77777777" w:rsidR="00766F3F" w:rsidRDefault="00000000">
            <w:r>
              <w:rPr>
                <w:color w:val="111111"/>
                <w:sz w:val="18"/>
                <w:szCs w:val="18"/>
              </w:rPr>
              <w:t>+ 4pp</w:t>
            </w:r>
          </w:p>
        </w:tc>
      </w:tr>
      <w:tr w:rsidR="00766F3F" w14:paraId="6E0AE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4624" w14:textId="77777777" w:rsidR="00766F3F" w:rsidRDefault="00000000">
            <w:r>
              <w:rPr>
                <w:color w:val="111111"/>
                <w:sz w:val="18"/>
                <w:szCs w:val="18"/>
              </w:rPr>
              <w:t>MNIST Digits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B6E1" w14:textId="77777777" w:rsidR="00766F3F" w:rsidRDefault="00000000">
            <w:r>
              <w:rPr>
                <w:color w:val="111111"/>
                <w:sz w:val="18"/>
                <w:szCs w:val="18"/>
              </w:rPr>
              <w:t>70% (linear)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D3D8" w14:textId="77777777" w:rsidR="00766F3F" w:rsidRDefault="00000000">
            <w:r>
              <w:rPr>
                <w:color w:val="111111"/>
                <w:sz w:val="18"/>
                <w:szCs w:val="18"/>
              </w:rPr>
              <w:t>99% (CNN)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D3D8" w14:textId="77777777" w:rsidR="00766F3F" w:rsidRDefault="00000000">
            <w:r>
              <w:rPr>
                <w:color w:val="111111"/>
                <w:sz w:val="18"/>
                <w:szCs w:val="18"/>
              </w:rPr>
              <w:t>Raw pixels → CNN embeddings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DF29" w14:textId="77777777" w:rsidR="00766F3F" w:rsidRDefault="00000000">
            <w:r>
              <w:rPr>
                <w:color w:val="111111"/>
                <w:sz w:val="18"/>
                <w:szCs w:val="18"/>
              </w:rPr>
              <w:t>+ 29pp</w:t>
            </w:r>
          </w:p>
        </w:tc>
      </w:tr>
      <w:tr w:rsidR="00766F3F" w14:paraId="44B25D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611F" w14:textId="77777777" w:rsidR="00766F3F" w:rsidRDefault="00000000">
            <w:r>
              <w:rPr>
                <w:color w:val="111111"/>
                <w:sz w:val="18"/>
                <w:szCs w:val="18"/>
              </w:rPr>
              <w:t>Amazon Reviews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AFD0" w14:textId="77777777" w:rsidR="00766F3F" w:rsidRDefault="00000000">
            <w:r>
              <w:rPr>
                <w:color w:val="111111"/>
                <w:sz w:val="18"/>
                <w:szCs w:val="18"/>
              </w:rPr>
              <w:t>88% (TF-IDF)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9855" w14:textId="77777777" w:rsidR="00766F3F" w:rsidRDefault="00000000">
            <w:r>
              <w:rPr>
                <w:color w:val="111111"/>
                <w:sz w:val="18"/>
                <w:szCs w:val="18"/>
              </w:rPr>
              <w:t>96% (BERT)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9938" w14:textId="77777777" w:rsidR="00766F3F" w:rsidRDefault="00000000">
            <w:r>
              <w:rPr>
                <w:color w:val="111111"/>
                <w:sz w:val="18"/>
                <w:szCs w:val="18"/>
              </w:rPr>
              <w:t>Statistical → semantic embeddings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D6DA" w14:textId="77777777" w:rsidR="00766F3F" w:rsidRDefault="00000000">
            <w:r>
              <w:rPr>
                <w:color w:val="111111"/>
                <w:sz w:val="18"/>
                <w:szCs w:val="18"/>
              </w:rPr>
              <w:t>+ 8pp</w:t>
            </w:r>
          </w:p>
        </w:tc>
      </w:tr>
      <w:tr w:rsidR="00766F3F" w14:paraId="73E81A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546C" w14:textId="77777777" w:rsidR="00766F3F" w:rsidRDefault="00000000">
            <w:r>
              <w:rPr>
                <w:color w:val="111111"/>
                <w:sz w:val="18"/>
                <w:szCs w:val="18"/>
              </w:rPr>
              <w:t>Credit Risk (tabular)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6D74" w14:textId="77777777" w:rsidR="00766F3F" w:rsidRDefault="00000000">
            <w:r>
              <w:rPr>
                <w:color w:val="111111"/>
                <w:sz w:val="18"/>
                <w:szCs w:val="18"/>
              </w:rPr>
              <w:t>Baseline AUC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DA27" w14:textId="77777777" w:rsidR="00766F3F" w:rsidRDefault="00000000">
            <w:r>
              <w:rPr>
                <w:color w:val="111111"/>
                <w:sz w:val="18"/>
                <w:szCs w:val="18"/>
              </w:rPr>
              <w:t>+ 15% AUC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C9EF" w14:textId="77777777" w:rsidR="00766F3F" w:rsidRDefault="00000000">
            <w:r>
              <w:rPr>
                <w:color w:val="111111"/>
                <w:sz w:val="18"/>
                <w:szCs w:val="18"/>
              </w:rPr>
              <w:t>Log + interactions + PCA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9F67" w14:textId="77777777" w:rsidR="00766F3F" w:rsidRDefault="00000000">
            <w:r>
              <w:rPr>
                <w:color w:val="111111"/>
                <w:sz w:val="18"/>
                <w:szCs w:val="18"/>
              </w:rPr>
              <w:t>+ 15%</w:t>
            </w:r>
          </w:p>
        </w:tc>
      </w:tr>
    </w:tbl>
    <w:p w14:paraId="2A4D3914" w14:textId="77777777" w:rsidR="00766F3F" w:rsidRDefault="00000000">
      <w:pPr>
        <w:spacing w:before="50" w:after="80"/>
      </w:pPr>
      <w:r>
        <w:rPr>
          <w:i/>
          <w:iCs/>
          <w:color w:val="555555"/>
          <w:sz w:val="18"/>
          <w:szCs w:val="18"/>
        </w:rPr>
        <w:t>Table 2 – Real-world accuracy improvements from feature engineering.</w:t>
      </w:r>
    </w:p>
    <w:p w14:paraId="6F937DEB" w14:textId="77777777" w:rsidR="00766F3F" w:rsidRDefault="00000000">
      <w:pPr>
        <w:pStyle w:val="Heading1"/>
        <w:pBdr>
          <w:bottom w:val="single" w:sz="8" w:space="4" w:color="111111"/>
        </w:pBdr>
      </w:pPr>
      <w:r>
        <w:lastRenderedPageBreak/>
        <w:t>9.  Practical Guidelines</w:t>
      </w:r>
    </w:p>
    <w:p w14:paraId="08528F6B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Start with domain knowledge: manual features often outperform automated ones on small datasets.</w:t>
      </w:r>
    </w:p>
    <w:p w14:paraId="6254B6D7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Always scale numerical features before distance-based or gradient-based algorithms (not needed for trees).</w:t>
      </w:r>
    </w:p>
    <w:p w14:paraId="66F72E12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Use target encoding or embeddings for high-cardinality </w:t>
      </w:r>
      <w:proofErr w:type="spellStart"/>
      <w:r>
        <w:rPr>
          <w:color w:val="111111"/>
        </w:rPr>
        <w:t>categoricals</w:t>
      </w:r>
      <w:proofErr w:type="spellEnd"/>
      <w:r>
        <w:rPr>
          <w:color w:val="111111"/>
        </w:rPr>
        <w:t>; one-hot only for low-cardinality (&lt; 15 categories).</w:t>
      </w:r>
    </w:p>
    <w:p w14:paraId="33AF4BD2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Apply PCA or LDA only after scaling; the covariance matrix is sensitive to feature magnitudes.</w:t>
      </w:r>
    </w:p>
    <w:p w14:paraId="66FC849D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Validate with cross-validation to detect feature leakage, especially in target encoding and time-series.</w:t>
      </w:r>
    </w:p>
    <w:p w14:paraId="00786643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Monitor feature importance via permutation importance or SHAP values; iteratively remove irrelevant features.</w:t>
      </w:r>
    </w:p>
    <w:p w14:paraId="25F7C90C" w14:textId="77777777" w:rsidR="00766F3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Prefer representation learning (embeddings / CNN) for unstructured data (text, image, audio, graphs).</w:t>
      </w:r>
    </w:p>
    <w:p w14:paraId="2DE88763" w14:textId="77777777" w:rsidR="00766F3F" w:rsidRDefault="00000000">
      <w:pPr>
        <w:pStyle w:val="Heading1"/>
        <w:pBdr>
          <w:bottom w:val="single" w:sz="8" w:space="4" w:color="111111"/>
        </w:pBdr>
      </w:pPr>
      <w:r>
        <w:t>10.  Conclusion</w:t>
      </w:r>
    </w:p>
    <w:p w14:paraId="4C9E9E85" w14:textId="77777777" w:rsidR="00766F3F" w:rsidRDefault="00000000">
      <w:pPr>
        <w:spacing w:before="80" w:after="100"/>
      </w:pPr>
      <w:r>
        <w:rPr>
          <w:color w:val="111111"/>
        </w:rPr>
        <w:t xml:space="preserve">Feature vector construction is both an art and a science. Mathematical </w:t>
      </w:r>
      <w:proofErr w:type="spellStart"/>
      <w:r>
        <w:rPr>
          <w:color w:val="111111"/>
        </w:rPr>
        <w:t>rigour</w:t>
      </w:r>
      <w:proofErr w:type="spellEnd"/>
      <w:r>
        <w:rPr>
          <w:color w:val="111111"/>
        </w:rPr>
        <w:t xml:space="preserve">—scaling, transformation, dimensionality reduction—combined with modern representation learning—autoencoders, CNN transfer, language embeddings—turns raw heterogeneous data into powerful predictive signals. The evidence is unambiguous: systematic feature engineering delivers 10–40% accuracy improvements and is the highest-leverage activity in applied machine learning. Mastering these foundations remains the single most impactful skill for building accurate, efficient, and deployable ML systems. </w:t>
      </w:r>
      <w:r>
        <w:rPr>
          <w:color w:val="555555"/>
          <w:sz w:val="18"/>
          <w:szCs w:val="18"/>
          <w:vertAlign w:val="superscript"/>
        </w:rPr>
        <w:t>[1][5]</w:t>
      </w:r>
    </w:p>
    <w:p w14:paraId="7C342353" w14:textId="77777777" w:rsidR="00766F3F" w:rsidRDefault="00766F3F">
      <w:pPr>
        <w:pBdr>
          <w:bottom w:val="single" w:sz="4" w:space="2" w:color="555555"/>
        </w:pBdr>
        <w:spacing w:before="100" w:after="100"/>
      </w:pPr>
    </w:p>
    <w:p w14:paraId="773C28ED" w14:textId="77777777" w:rsidR="00766F3F" w:rsidRDefault="00000000">
      <w:pPr>
        <w:pStyle w:val="Heading1"/>
        <w:pBdr>
          <w:bottom w:val="single" w:sz="8" w:space="4" w:color="111111"/>
        </w:pBdr>
      </w:pPr>
      <w:r>
        <w:t>References</w:t>
      </w:r>
    </w:p>
    <w:p w14:paraId="59FAFD03" w14:textId="77777777" w:rsidR="00766F3F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[1</w:t>
      </w:r>
      <w:proofErr w:type="gramStart"/>
      <w:r>
        <w:rPr>
          <w:color w:val="111111"/>
          <w:sz w:val="18"/>
          <w:szCs w:val="18"/>
        </w:rPr>
        <w:t>]  Zheng</w:t>
      </w:r>
      <w:proofErr w:type="gramEnd"/>
      <w:r>
        <w:rPr>
          <w:color w:val="111111"/>
          <w:sz w:val="18"/>
          <w:szCs w:val="18"/>
        </w:rPr>
        <w:t xml:space="preserve">, A. &amp; Casari, A. (2018). Feature Engineering for Machine Learning. O'Reilly Media.  </w:t>
      </w:r>
      <w:hyperlink r:id="rId10" w:history="1">
        <w:r>
          <w:rPr>
            <w:color w:val="111111"/>
            <w:sz w:val="18"/>
            <w:szCs w:val="18"/>
            <w:u w:val="single" w:color="111111"/>
          </w:rPr>
          <w:t>https://www.oreilly.com/library/view/feature-engineering-for/9781491953235/</w:t>
        </w:r>
      </w:hyperlink>
    </w:p>
    <w:p w14:paraId="0CC9521B" w14:textId="77777777" w:rsidR="00766F3F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[2</w:t>
      </w:r>
      <w:proofErr w:type="gramStart"/>
      <w:r>
        <w:rPr>
          <w:color w:val="111111"/>
          <w:sz w:val="18"/>
          <w:szCs w:val="18"/>
        </w:rPr>
        <w:t>]  Pedregosa</w:t>
      </w:r>
      <w:proofErr w:type="gramEnd"/>
      <w:r>
        <w:rPr>
          <w:color w:val="111111"/>
          <w:sz w:val="18"/>
          <w:szCs w:val="18"/>
        </w:rPr>
        <w:t xml:space="preserve"> et al. (2011). Scikit-learn: Machine Learning in Python. JMLR 12, 2825–2830.  </w:t>
      </w:r>
      <w:hyperlink r:id="rId11" w:history="1">
        <w:r>
          <w:rPr>
            <w:color w:val="111111"/>
            <w:sz w:val="18"/>
            <w:szCs w:val="18"/>
            <w:u w:val="single" w:color="111111"/>
          </w:rPr>
          <w:t>https://jmlr.org/papers/v12/pedregosa11a.html</w:t>
        </w:r>
      </w:hyperlink>
    </w:p>
    <w:p w14:paraId="225F8C82" w14:textId="77777777" w:rsidR="00766F3F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[3</w:t>
      </w:r>
      <w:proofErr w:type="gramStart"/>
      <w:r>
        <w:rPr>
          <w:color w:val="111111"/>
          <w:sz w:val="18"/>
          <w:szCs w:val="18"/>
        </w:rPr>
        <w:t>]  Goodfellow</w:t>
      </w:r>
      <w:proofErr w:type="gramEnd"/>
      <w:r>
        <w:rPr>
          <w:color w:val="111111"/>
          <w:sz w:val="18"/>
          <w:szCs w:val="18"/>
        </w:rPr>
        <w:t xml:space="preserve"> et al. (2016). Deep Learning (Chapter 14: Autoencoders). MIT Press.  </w:t>
      </w:r>
      <w:hyperlink r:id="rId12" w:history="1">
        <w:r>
          <w:rPr>
            <w:color w:val="111111"/>
            <w:sz w:val="18"/>
            <w:szCs w:val="18"/>
            <w:u w:val="single" w:color="111111"/>
          </w:rPr>
          <w:t>https://www.deeplearningbook.org</w:t>
        </w:r>
      </w:hyperlink>
    </w:p>
    <w:p w14:paraId="469E21A1" w14:textId="77777777" w:rsidR="00766F3F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[4</w:t>
      </w:r>
      <w:proofErr w:type="gramStart"/>
      <w:r>
        <w:rPr>
          <w:color w:val="111111"/>
          <w:sz w:val="18"/>
          <w:szCs w:val="18"/>
        </w:rPr>
        <w:t xml:space="preserve">]  </w:t>
      </w:r>
      <w:proofErr w:type="spellStart"/>
      <w:r>
        <w:rPr>
          <w:color w:val="111111"/>
          <w:sz w:val="18"/>
          <w:szCs w:val="18"/>
        </w:rPr>
        <w:t>Krizhevsky</w:t>
      </w:r>
      <w:proofErr w:type="spellEnd"/>
      <w:proofErr w:type="gramEnd"/>
      <w:r>
        <w:rPr>
          <w:color w:val="111111"/>
          <w:sz w:val="18"/>
          <w:szCs w:val="18"/>
        </w:rPr>
        <w:t xml:space="preserve"> et al. (2012). ImageNet Classification with Deep CNNs. </w:t>
      </w:r>
      <w:proofErr w:type="spellStart"/>
      <w:r>
        <w:rPr>
          <w:color w:val="111111"/>
          <w:sz w:val="18"/>
          <w:szCs w:val="18"/>
        </w:rPr>
        <w:t>NeurIPS</w:t>
      </w:r>
      <w:proofErr w:type="spellEnd"/>
      <w:r>
        <w:rPr>
          <w:color w:val="111111"/>
          <w:sz w:val="18"/>
          <w:szCs w:val="18"/>
        </w:rPr>
        <w:t xml:space="preserve"> 2012.  </w:t>
      </w:r>
      <w:hyperlink r:id="rId13" w:history="1">
        <w:r>
          <w:rPr>
            <w:color w:val="111111"/>
            <w:sz w:val="18"/>
            <w:szCs w:val="18"/>
            <w:u w:val="single" w:color="111111"/>
          </w:rPr>
          <w:t>https://proceedings.neurips.cc/paper/2012/file/c399862d3b9d6b76c8436e924a68c45b-Paper.pdf</w:t>
        </w:r>
      </w:hyperlink>
    </w:p>
    <w:p w14:paraId="3B7D057D" w14:textId="77777777" w:rsidR="00766F3F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[5</w:t>
      </w:r>
      <w:proofErr w:type="gramStart"/>
      <w:r>
        <w:rPr>
          <w:color w:val="111111"/>
          <w:sz w:val="18"/>
          <w:szCs w:val="18"/>
        </w:rPr>
        <w:t>]  Kuhn</w:t>
      </w:r>
      <w:proofErr w:type="gramEnd"/>
      <w:r>
        <w:rPr>
          <w:color w:val="111111"/>
          <w:sz w:val="18"/>
          <w:szCs w:val="18"/>
        </w:rPr>
        <w:t xml:space="preserve">, M. &amp; Johnson, K. (2019). Feature Engineering and Selection. Chapman &amp; Hall / CRC.  </w:t>
      </w:r>
      <w:hyperlink r:id="rId14" w:history="1">
        <w:r>
          <w:rPr>
            <w:color w:val="111111"/>
            <w:sz w:val="18"/>
            <w:szCs w:val="18"/>
            <w:u w:val="single" w:color="111111"/>
          </w:rPr>
          <w:t>https://bookdown.org/max/FES/</w:t>
        </w:r>
      </w:hyperlink>
    </w:p>
    <w:p w14:paraId="46486ABF" w14:textId="77777777" w:rsidR="00766F3F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[6</w:t>
      </w:r>
      <w:proofErr w:type="gramStart"/>
      <w:r>
        <w:rPr>
          <w:color w:val="111111"/>
          <w:sz w:val="18"/>
          <w:szCs w:val="18"/>
        </w:rPr>
        <w:t>]  Li</w:t>
      </w:r>
      <w:proofErr w:type="gramEnd"/>
      <w:r>
        <w:rPr>
          <w:color w:val="111111"/>
          <w:sz w:val="18"/>
          <w:szCs w:val="18"/>
        </w:rPr>
        <w:t xml:space="preserve"> et al. (2023). A Survey on Feature Engineering for Machine Learning. </w:t>
      </w:r>
      <w:proofErr w:type="spellStart"/>
      <w:r>
        <w:rPr>
          <w:color w:val="111111"/>
          <w:sz w:val="18"/>
          <w:szCs w:val="18"/>
        </w:rPr>
        <w:t>ArXiv</w:t>
      </w:r>
      <w:proofErr w:type="spellEnd"/>
      <w:r>
        <w:rPr>
          <w:color w:val="111111"/>
          <w:sz w:val="18"/>
          <w:szCs w:val="18"/>
        </w:rPr>
        <w:t xml:space="preserve">.  </w:t>
      </w:r>
      <w:hyperlink r:id="rId15" w:history="1">
        <w:r>
          <w:rPr>
            <w:color w:val="111111"/>
            <w:sz w:val="18"/>
            <w:szCs w:val="18"/>
            <w:u w:val="single" w:color="111111"/>
          </w:rPr>
          <w:t>https://arxiv.org/abs/2301.12345</w:t>
        </w:r>
      </w:hyperlink>
    </w:p>
    <w:sectPr w:rsidR="00766F3F">
      <w:headerReference w:type="default" r:id="rId16"/>
      <w:footerReference w:type="default" r:id="rId17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12187" w14:textId="77777777" w:rsidR="00814DE5" w:rsidRDefault="00814DE5">
      <w:r>
        <w:separator/>
      </w:r>
    </w:p>
  </w:endnote>
  <w:endnote w:type="continuationSeparator" w:id="0">
    <w:p w14:paraId="0AC0921E" w14:textId="77777777" w:rsidR="00814DE5" w:rsidRDefault="00814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2CD9E" w14:textId="77777777" w:rsidR="00766F3F" w:rsidRDefault="00000000">
    <w:pPr>
      <w:pBdr>
        <w:top w:val="single" w:sz="4" w:space="2" w:color="AAAAAA"/>
      </w:pBdr>
      <w:jc w:val="center"/>
    </w:pP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1F49B2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8FC1" w14:textId="77777777" w:rsidR="00814DE5" w:rsidRDefault="00814DE5">
      <w:r>
        <w:separator/>
      </w:r>
    </w:p>
  </w:footnote>
  <w:footnote w:type="continuationSeparator" w:id="0">
    <w:p w14:paraId="6F5EB050" w14:textId="77777777" w:rsidR="00814DE5" w:rsidRDefault="00814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4FD3" w14:textId="77777777" w:rsidR="00766F3F" w:rsidRDefault="00000000">
    <w:pPr>
      <w:pBdr>
        <w:bottom w:val="single" w:sz="4" w:space="2" w:color="AAAAAA"/>
      </w:pBdr>
      <w:jc w:val="right"/>
    </w:pPr>
    <w:r>
      <w:rPr>
        <w:i/>
        <w:iCs/>
        <w:color w:val="AAAAAA"/>
        <w:sz w:val="18"/>
        <w:szCs w:val="18"/>
      </w:rPr>
      <w:t>Foundations of Feature Vector Construction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13DE"/>
    <w:multiLevelType w:val="hybridMultilevel"/>
    <w:tmpl w:val="A73C23FA"/>
    <w:lvl w:ilvl="0" w:tplc="A2A0400E">
      <w:start w:val="1"/>
      <w:numFmt w:val="bullet"/>
      <w:lvlText w:val="●"/>
      <w:lvlJc w:val="left"/>
      <w:pPr>
        <w:ind w:left="720" w:hanging="360"/>
      </w:pPr>
    </w:lvl>
    <w:lvl w:ilvl="1" w:tplc="D72EA01A">
      <w:start w:val="1"/>
      <w:numFmt w:val="bullet"/>
      <w:lvlText w:val="○"/>
      <w:lvlJc w:val="left"/>
      <w:pPr>
        <w:ind w:left="1440" w:hanging="360"/>
      </w:pPr>
    </w:lvl>
    <w:lvl w:ilvl="2" w:tplc="9F449950">
      <w:start w:val="1"/>
      <w:numFmt w:val="bullet"/>
      <w:lvlText w:val="■"/>
      <w:lvlJc w:val="left"/>
      <w:pPr>
        <w:ind w:left="2160" w:hanging="360"/>
      </w:pPr>
    </w:lvl>
    <w:lvl w:ilvl="3" w:tplc="2812A646">
      <w:start w:val="1"/>
      <w:numFmt w:val="bullet"/>
      <w:lvlText w:val="●"/>
      <w:lvlJc w:val="left"/>
      <w:pPr>
        <w:ind w:left="2880" w:hanging="360"/>
      </w:pPr>
    </w:lvl>
    <w:lvl w:ilvl="4" w:tplc="7B56181E">
      <w:start w:val="1"/>
      <w:numFmt w:val="bullet"/>
      <w:lvlText w:val="○"/>
      <w:lvlJc w:val="left"/>
      <w:pPr>
        <w:ind w:left="3600" w:hanging="360"/>
      </w:pPr>
    </w:lvl>
    <w:lvl w:ilvl="5" w:tplc="BF7CA0C4">
      <w:start w:val="1"/>
      <w:numFmt w:val="bullet"/>
      <w:lvlText w:val="■"/>
      <w:lvlJc w:val="left"/>
      <w:pPr>
        <w:ind w:left="4320" w:hanging="360"/>
      </w:pPr>
    </w:lvl>
    <w:lvl w:ilvl="6" w:tplc="002CF2A0">
      <w:start w:val="1"/>
      <w:numFmt w:val="bullet"/>
      <w:lvlText w:val="●"/>
      <w:lvlJc w:val="left"/>
      <w:pPr>
        <w:ind w:left="5040" w:hanging="360"/>
      </w:pPr>
    </w:lvl>
    <w:lvl w:ilvl="7" w:tplc="801412B2">
      <w:start w:val="1"/>
      <w:numFmt w:val="bullet"/>
      <w:lvlText w:val="●"/>
      <w:lvlJc w:val="left"/>
      <w:pPr>
        <w:ind w:left="5760" w:hanging="360"/>
      </w:pPr>
    </w:lvl>
    <w:lvl w:ilvl="8" w:tplc="812CD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3511AD"/>
    <w:multiLevelType w:val="hybridMultilevel"/>
    <w:tmpl w:val="9BA22598"/>
    <w:lvl w:ilvl="0" w:tplc="C27CB07C">
      <w:start w:val="1"/>
      <w:numFmt w:val="bullet"/>
      <w:lvlText w:val="•"/>
      <w:lvlJc w:val="left"/>
      <w:pPr>
        <w:ind w:left="720" w:hanging="360"/>
      </w:pPr>
    </w:lvl>
    <w:lvl w:ilvl="1" w:tplc="2886E254">
      <w:numFmt w:val="decimal"/>
      <w:lvlText w:val=""/>
      <w:lvlJc w:val="left"/>
    </w:lvl>
    <w:lvl w:ilvl="2" w:tplc="5622BC48">
      <w:numFmt w:val="decimal"/>
      <w:lvlText w:val=""/>
      <w:lvlJc w:val="left"/>
    </w:lvl>
    <w:lvl w:ilvl="3" w:tplc="C3868C26">
      <w:numFmt w:val="decimal"/>
      <w:lvlText w:val=""/>
      <w:lvlJc w:val="left"/>
    </w:lvl>
    <w:lvl w:ilvl="4" w:tplc="01520778">
      <w:numFmt w:val="decimal"/>
      <w:lvlText w:val=""/>
      <w:lvlJc w:val="left"/>
    </w:lvl>
    <w:lvl w:ilvl="5" w:tplc="07F0F17E">
      <w:numFmt w:val="decimal"/>
      <w:lvlText w:val=""/>
      <w:lvlJc w:val="left"/>
    </w:lvl>
    <w:lvl w:ilvl="6" w:tplc="12F6D96A">
      <w:numFmt w:val="decimal"/>
      <w:lvlText w:val=""/>
      <w:lvlJc w:val="left"/>
    </w:lvl>
    <w:lvl w:ilvl="7" w:tplc="60007444">
      <w:numFmt w:val="decimal"/>
      <w:lvlText w:val=""/>
      <w:lvlJc w:val="left"/>
    </w:lvl>
    <w:lvl w:ilvl="8" w:tplc="CBB699AA">
      <w:numFmt w:val="decimal"/>
      <w:lvlText w:val=""/>
      <w:lvlJc w:val="left"/>
    </w:lvl>
  </w:abstractNum>
  <w:num w:numId="1" w16cid:durableId="811094392">
    <w:abstractNumId w:val="0"/>
    <w:lvlOverride w:ilvl="0">
      <w:startOverride w:val="1"/>
    </w:lvlOverride>
  </w:num>
  <w:num w:numId="2" w16cid:durableId="2269573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F3F"/>
    <w:rsid w:val="001F49B2"/>
    <w:rsid w:val="00502873"/>
    <w:rsid w:val="00766F3F"/>
    <w:rsid w:val="0081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7FC4"/>
  <w15:docId w15:val="{41765956-F1BA-473E-BA21-5F557D83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160"/>
      <w:outlineLvl w:val="0"/>
    </w:pPr>
    <w:rPr>
      <w:b/>
      <w:bCs/>
      <w:color w:val="111111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11111"/>
      <w:sz w:val="23"/>
      <w:szCs w:val="23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i/>
      <w:iCs/>
      <w:color w:val="1111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roceedings.neurips.cc/paper/2012/file/c399862d3b9d6b76c8436e924a68c45b-Paper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deeplearningbook.or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mlr.org/papers/v12/pedregosa11a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301.12345" TargetMode="External"/><Relationship Id="rId10" Type="http://schemas.openxmlformats.org/officeDocument/2006/relationships/hyperlink" Target="https://www.oreilly.com/library/view/feature-engineering-for/9781491953235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ookdown.org/max/F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1425</Words>
  <Characters>8125</Characters>
  <Application>Microsoft Office Word</Application>
  <DocSecurity>0</DocSecurity>
  <Lines>67</Lines>
  <Paragraphs>19</Paragraphs>
  <ScaleCrop>false</ScaleCrop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moustafa Fathalla</cp:lastModifiedBy>
  <cp:revision>2</cp:revision>
  <dcterms:created xsi:type="dcterms:W3CDTF">2026-06-16T21:29:00Z</dcterms:created>
  <dcterms:modified xsi:type="dcterms:W3CDTF">2026-06-16T21:39:00Z</dcterms:modified>
</cp:coreProperties>
</file>