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10C0" w14:textId="77777777" w:rsidR="00196F12" w:rsidRDefault="00000000">
      <w:pPr>
        <w:spacing w:before="1200"/>
        <w:jc w:val="center"/>
      </w:pPr>
      <w:r>
        <w:rPr>
          <w:b/>
          <w:bCs/>
          <w:color w:val="111111"/>
          <w:sz w:val="46"/>
          <w:szCs w:val="46"/>
        </w:rPr>
        <w:t>A Comparative Analysis of PCA and LDA</w:t>
      </w:r>
    </w:p>
    <w:p w14:paraId="2E88578A" w14:textId="77777777" w:rsidR="00196F12" w:rsidRDefault="00000000">
      <w:pPr>
        <w:spacing w:before="50"/>
        <w:jc w:val="center"/>
      </w:pPr>
      <w:r>
        <w:rPr>
          <w:b/>
          <w:bCs/>
          <w:color w:val="111111"/>
          <w:sz w:val="34"/>
          <w:szCs w:val="34"/>
        </w:rPr>
        <w:t>for Face Recognition:</w:t>
      </w:r>
    </w:p>
    <w:p w14:paraId="3F930F0B" w14:textId="77777777" w:rsidR="00196F12" w:rsidRDefault="00000000">
      <w:pPr>
        <w:spacing w:after="320"/>
        <w:jc w:val="center"/>
      </w:pPr>
      <w:r>
        <w:rPr>
          <w:b/>
          <w:bCs/>
          <w:color w:val="111111"/>
          <w:sz w:val="28"/>
          <w:szCs w:val="28"/>
        </w:rPr>
        <w:t>Methodology, Performance Evaluation, and Optimal Model Selection</w:t>
      </w:r>
    </w:p>
    <w:p w14:paraId="07B4DE89" w14:textId="77777777" w:rsidR="00196F12" w:rsidRDefault="00196F12">
      <w:pPr>
        <w:pBdr>
          <w:bottom w:val="single" w:sz="4" w:space="2" w:color="555555"/>
        </w:pBdr>
        <w:spacing w:before="100" w:after="100"/>
      </w:pPr>
    </w:p>
    <w:p w14:paraId="40C9D076" w14:textId="77777777" w:rsidR="00196F12" w:rsidRDefault="00000000">
      <w:pPr>
        <w:spacing w:before="160" w:after="60"/>
        <w:jc w:val="center"/>
      </w:pPr>
      <w:r>
        <w:rPr>
          <w:i/>
          <w:iCs/>
          <w:color w:val="555555"/>
        </w:rPr>
        <w:t>A Comprehensive Research Paper with Experimental Figures and Referenced Sources</w:t>
      </w:r>
    </w:p>
    <w:p w14:paraId="194F1C88" w14:textId="77777777" w:rsidR="00196F12" w:rsidRDefault="00000000">
      <w:pPr>
        <w:spacing w:before="60" w:after="1400"/>
        <w:jc w:val="center"/>
      </w:pPr>
      <w:r>
        <w:rPr>
          <w:color w:val="555555"/>
        </w:rPr>
        <w:t>March 2026</w:t>
      </w:r>
    </w:p>
    <w:p w14:paraId="0B0642D5" w14:textId="77777777" w:rsidR="00196F12" w:rsidRDefault="00000000">
      <w:pPr>
        <w:pBdr>
          <w:top w:val="single" w:sz="4" w:space="4" w:color="111111"/>
          <w:bottom w:val="single" w:sz="4" w:space="4" w:color="111111"/>
        </w:pBdr>
        <w:spacing w:after="80"/>
      </w:pPr>
      <w:r>
        <w:rPr>
          <w:b/>
          <w:bCs/>
          <w:color w:val="111111"/>
          <w:sz w:val="24"/>
          <w:szCs w:val="24"/>
        </w:rPr>
        <w:t>Abstract</w:t>
      </w:r>
    </w:p>
    <w:p w14:paraId="0A3EAC6A" w14:textId="77777777" w:rsidR="00196F12" w:rsidRDefault="00000000">
      <w:pPr>
        <w:spacing w:before="100" w:after="200"/>
      </w:pPr>
      <w:r>
        <w:rPr>
          <w:i/>
          <w:iCs/>
          <w:color w:val="111111"/>
        </w:rPr>
        <w:t xml:space="preserve">Face recognition maps high-dimensional image data to identity classes. This paper provides a rigorous comparison of </w:t>
      </w:r>
      <w:r>
        <w:rPr>
          <w:b/>
          <w:bCs/>
          <w:i/>
          <w:iCs/>
          <w:color w:val="111111"/>
        </w:rPr>
        <w:t>Principal Component Analysis (PCA) / Eigenfaces</w:t>
      </w:r>
      <w:r>
        <w:rPr>
          <w:i/>
          <w:iCs/>
          <w:color w:val="111111"/>
        </w:rPr>
        <w:t xml:space="preserve"> and </w:t>
      </w:r>
      <w:r>
        <w:rPr>
          <w:b/>
          <w:bCs/>
          <w:i/>
          <w:iCs/>
          <w:color w:val="111111"/>
        </w:rPr>
        <w:t xml:space="preserve">Linear Discriminant Analysis (LDA) / </w:t>
      </w:r>
      <w:proofErr w:type="spellStart"/>
      <w:r>
        <w:rPr>
          <w:b/>
          <w:bCs/>
          <w:i/>
          <w:iCs/>
          <w:color w:val="111111"/>
        </w:rPr>
        <w:t>Fisherfaces</w:t>
      </w:r>
      <w:proofErr w:type="spellEnd"/>
      <w:r>
        <w:rPr>
          <w:i/>
          <w:iCs/>
          <w:color w:val="111111"/>
        </w:rPr>
        <w:t xml:space="preserve">, covering mathematical foundations, benchmark datasets (ORL, Yale, CMU PIE), experimental results, and a model selection guide. PCA achieves 85–92% accuracy on ORL; LDA reaches 94.4%. CNNs surpass both at &gt;98% on unconstrained data (LFW). Three </w:t>
      </w:r>
      <w:proofErr w:type="gramStart"/>
      <w:r>
        <w:rPr>
          <w:i/>
          <w:iCs/>
          <w:color w:val="111111"/>
        </w:rPr>
        <w:t xml:space="preserve">original </w:t>
      </w:r>
      <w:proofErr w:type="spellStart"/>
      <w:r>
        <w:rPr>
          <w:i/>
          <w:iCs/>
          <w:color w:val="111111"/>
        </w:rPr>
        <w:t>coloured</w:t>
      </w:r>
      <w:proofErr w:type="spellEnd"/>
      <w:proofErr w:type="gramEnd"/>
      <w:r>
        <w:rPr>
          <w:i/>
          <w:iCs/>
          <w:color w:val="111111"/>
        </w:rPr>
        <w:t xml:space="preserve"> figures support the analysis.</w:t>
      </w:r>
    </w:p>
    <w:p w14:paraId="2169197B" w14:textId="77777777" w:rsidR="00196F12" w:rsidRDefault="00000000">
      <w:r>
        <w:br w:type="page"/>
      </w:r>
    </w:p>
    <w:p w14:paraId="58033549" w14:textId="77777777" w:rsidR="00196F12" w:rsidRDefault="00000000">
      <w:pPr>
        <w:pStyle w:val="Heading1"/>
        <w:pBdr>
          <w:bottom w:val="single" w:sz="8" w:space="4" w:color="111111"/>
        </w:pBdr>
      </w:pPr>
      <w:r>
        <w:lastRenderedPageBreak/>
        <w:t>1.  Introduction to Face Recognition</w:t>
      </w:r>
    </w:p>
    <w:p w14:paraId="0E2014CE" w14:textId="77777777" w:rsidR="00196F12" w:rsidRDefault="00000000">
      <w:pPr>
        <w:spacing w:before="80" w:after="100"/>
      </w:pPr>
      <w:r>
        <w:rPr>
          <w:color w:val="111111"/>
        </w:rPr>
        <w:t xml:space="preserve">Face recognition is a biometric technology that identifies or verifies individuals from digital images. It has evolved from template-based approaches in the 1960s to modern deep learning systems capable of matching faces across pose, illumination, and ageing. Applications span surveillance, mobile authentication (Face ID), social media tagging, and clinical diagnostics. </w:t>
      </w:r>
      <w:r>
        <w:rPr>
          <w:color w:val="555555"/>
          <w:sz w:val="18"/>
          <w:szCs w:val="18"/>
          <w:vertAlign w:val="superscript"/>
        </w:rPr>
        <w:t>[5]</w:t>
      </w:r>
    </w:p>
    <w:p w14:paraId="7FCAC9CC" w14:textId="77777777" w:rsidR="00196F12" w:rsidRDefault="00000000">
      <w:pPr>
        <w:spacing w:before="80" w:after="100"/>
      </w:pPr>
      <w:r>
        <w:rPr>
          <w:color w:val="111111"/>
        </w:rPr>
        <w:t xml:space="preserve">The core task is to learn a mapping </w:t>
      </w:r>
      <w:proofErr w:type="gramStart"/>
      <w:r>
        <w:rPr>
          <w:rFonts w:ascii="Courier New" w:eastAsia="Courier New" w:hAnsi="Courier New" w:cs="Courier New"/>
          <w:color w:val="111111"/>
        </w:rPr>
        <w:t>f :</w:t>
      </w:r>
      <w:proofErr w:type="gramEnd"/>
      <w:r>
        <w:rPr>
          <w:rFonts w:ascii="Courier New" w:eastAsia="Courier New" w:hAnsi="Courier New" w:cs="Courier New"/>
          <w:color w:val="111111"/>
        </w:rPr>
        <w:t xml:space="preserve"> ℝᵈ → {</w:t>
      </w:r>
      <w:proofErr w:type="gramStart"/>
      <w:r>
        <w:rPr>
          <w:rFonts w:ascii="Courier New" w:eastAsia="Courier New" w:hAnsi="Courier New" w:cs="Courier New"/>
          <w:color w:val="111111"/>
        </w:rPr>
        <w:t>1,…</w:t>
      </w:r>
      <w:proofErr w:type="gramEnd"/>
      <w:r>
        <w:rPr>
          <w:rFonts w:ascii="Courier New" w:eastAsia="Courier New" w:hAnsi="Courier New" w:cs="Courier New"/>
          <w:color w:val="111111"/>
        </w:rPr>
        <w:t>,c}</w:t>
      </w:r>
      <w:r>
        <w:rPr>
          <w:color w:val="111111"/>
        </w:rPr>
        <w:t xml:space="preserve"> from high-dimensional pixel vectors (d ≈ 10⁴–10⁵) to one of c identities. Dimensionality reduction is essential: PCA and LDA project images to compact subspaces before classification.</w:t>
      </w:r>
    </w:p>
    <w:p w14:paraId="21AC8255" w14:textId="77777777" w:rsidR="00196F12" w:rsidRDefault="00000000">
      <w:pPr>
        <w:pStyle w:val="Heading1"/>
        <w:pBdr>
          <w:bottom w:val="single" w:sz="8" w:space="4" w:color="111111"/>
        </w:pBdr>
      </w:pPr>
      <w:r>
        <w:t>2.  Problem Formulation and Challenges</w:t>
      </w:r>
    </w:p>
    <w:p w14:paraId="7210CE05" w14:textId="77777777" w:rsidR="00196F12" w:rsidRDefault="00000000">
      <w:pPr>
        <w:spacing w:before="80" w:after="100"/>
      </w:pPr>
      <w:r>
        <w:rPr>
          <w:color w:val="111111"/>
        </w:rPr>
        <w:t>Key challenges that make face recognition hard for linear methods:</w:t>
      </w:r>
    </w:p>
    <w:p w14:paraId="09BC792D" w14:textId="77777777" w:rsidR="00196F12" w:rsidRDefault="00000000">
      <w:pPr>
        <w:pStyle w:val="ListParagraph"/>
        <w:numPr>
          <w:ilvl w:val="0"/>
          <w:numId w:val="2"/>
        </w:numPr>
        <w:spacing w:before="50" w:after="50"/>
      </w:pPr>
      <w:r>
        <w:rPr>
          <w:color w:val="111111"/>
        </w:rPr>
        <w:t>Illumination variations: light direction changes can alter pixel intensities more than identity differences.</w:t>
      </w:r>
    </w:p>
    <w:p w14:paraId="1E81616E" w14:textId="77777777" w:rsidR="00196F12" w:rsidRDefault="00000000">
      <w:pPr>
        <w:pStyle w:val="ListParagraph"/>
        <w:numPr>
          <w:ilvl w:val="0"/>
          <w:numId w:val="2"/>
        </w:numPr>
        <w:spacing w:before="50" w:after="50"/>
      </w:pPr>
      <w:r>
        <w:rPr>
          <w:color w:val="111111"/>
        </w:rPr>
        <w:t xml:space="preserve">Pose and occlusion: non-planar rotations and </w:t>
      </w:r>
      <w:proofErr w:type="spellStart"/>
      <w:r>
        <w:rPr>
          <w:color w:val="111111"/>
        </w:rPr>
        <w:t>occluders</w:t>
      </w:r>
      <w:proofErr w:type="spellEnd"/>
      <w:r>
        <w:rPr>
          <w:color w:val="111111"/>
        </w:rPr>
        <w:t xml:space="preserve"> (glasses, scarves) introduce non-linear deformations.</w:t>
      </w:r>
    </w:p>
    <w:p w14:paraId="648387A2" w14:textId="77777777" w:rsidR="00196F12" w:rsidRDefault="00000000">
      <w:pPr>
        <w:pStyle w:val="ListParagraph"/>
        <w:numPr>
          <w:ilvl w:val="0"/>
          <w:numId w:val="2"/>
        </w:numPr>
        <w:spacing w:before="50" w:after="50"/>
      </w:pPr>
      <w:r>
        <w:rPr>
          <w:color w:val="111111"/>
        </w:rPr>
        <w:t>Intra-class variability: expression, ageing, and resolution cause the same person to look very different.</w:t>
      </w:r>
    </w:p>
    <w:p w14:paraId="24F7476B" w14:textId="77777777" w:rsidR="00196F12" w:rsidRDefault="00000000">
      <w:pPr>
        <w:pStyle w:val="ListParagraph"/>
        <w:numPr>
          <w:ilvl w:val="0"/>
          <w:numId w:val="2"/>
        </w:numPr>
        <w:spacing w:before="50" w:after="50"/>
      </w:pPr>
      <w:r>
        <w:rPr>
          <w:color w:val="111111"/>
        </w:rPr>
        <w:t>Small sample problem: d ≫ n makes the covariance matrix rank-deficient.</w:t>
      </w:r>
    </w:p>
    <w:p w14:paraId="3D7B871F" w14:textId="77777777" w:rsidR="00196F12" w:rsidRDefault="00000000">
      <w:pPr>
        <w:spacing w:before="80" w:after="100"/>
      </w:pPr>
      <w:r>
        <w:rPr>
          <w:color w:val="111111"/>
        </w:rPr>
        <w:t xml:space="preserve">These factors make intra-class variance often exceed inter-class variance, complicating linear projections. </w:t>
      </w:r>
      <w:r>
        <w:rPr>
          <w:color w:val="555555"/>
          <w:sz w:val="18"/>
          <w:szCs w:val="18"/>
          <w:vertAlign w:val="superscript"/>
        </w:rPr>
        <w:t>[1][5]</w:t>
      </w:r>
    </w:p>
    <w:p w14:paraId="46FB9364" w14:textId="77777777" w:rsidR="00196F12" w:rsidRDefault="00000000">
      <w:pPr>
        <w:pStyle w:val="Heading1"/>
        <w:pBdr>
          <w:bottom w:val="single" w:sz="8" w:space="4" w:color="111111"/>
        </w:pBdr>
      </w:pPr>
      <w:r>
        <w:t>3.  PCA: Mathematical Foundation</w:t>
      </w:r>
    </w:p>
    <w:p w14:paraId="3C524915" w14:textId="77777777" w:rsidR="00196F12" w:rsidRDefault="00000000">
      <w:pPr>
        <w:spacing w:before="80" w:after="100"/>
      </w:pPr>
      <w:r>
        <w:rPr>
          <w:color w:val="111111"/>
        </w:rPr>
        <w:t xml:space="preserve">PCA is an </w:t>
      </w:r>
      <w:r>
        <w:rPr>
          <w:b/>
          <w:bCs/>
          <w:color w:val="111111"/>
        </w:rPr>
        <w:t>unsupervised</w:t>
      </w:r>
      <w:r>
        <w:rPr>
          <w:color w:val="111111"/>
        </w:rPr>
        <w:t xml:space="preserve"> linear method that finds orthogonal directions (principal components) </w:t>
      </w:r>
      <w:proofErr w:type="spellStart"/>
      <w:r>
        <w:rPr>
          <w:color w:val="111111"/>
        </w:rPr>
        <w:t>maximising</w:t>
      </w:r>
      <w:proofErr w:type="spellEnd"/>
      <w:r>
        <w:rPr>
          <w:color w:val="111111"/>
        </w:rPr>
        <w:t xml:space="preserve"> data variance. Given </w:t>
      </w:r>
      <w:proofErr w:type="spellStart"/>
      <w:r>
        <w:rPr>
          <w:color w:val="111111"/>
        </w:rPr>
        <w:t>centred</w:t>
      </w:r>
      <w:proofErr w:type="spellEnd"/>
      <w:r>
        <w:rPr>
          <w:color w:val="111111"/>
        </w:rPr>
        <w:t xml:space="preserve"> face vectors </w:t>
      </w:r>
      <w:r>
        <w:rPr>
          <w:rFonts w:ascii="Courier New" w:eastAsia="Courier New" w:hAnsi="Courier New" w:cs="Courier New"/>
          <w:color w:val="111111"/>
        </w:rPr>
        <w:t>{xᵢ}</w:t>
      </w:r>
      <w:r>
        <w:rPr>
          <w:color w:val="111111"/>
        </w:rPr>
        <w:t xml:space="preserve"> ∈ ℝᵈ, the scatter matrix is:</w:t>
      </w:r>
    </w:p>
    <w:p w14:paraId="3BCA77BB" w14:textId="77777777" w:rsidR="00196F12" w:rsidRDefault="00000000">
      <w:pPr>
        <w:spacing w:before="110" w:after="110"/>
        <w:jc w:val="center"/>
      </w:pPr>
      <w:r>
        <w:rPr>
          <w:rFonts w:ascii="Courier New" w:eastAsia="Courier New" w:hAnsi="Courier New" w:cs="Courier New"/>
          <w:color w:val="111111"/>
        </w:rPr>
        <w:t>Sᴛ = (1/M) Σᵢ xᵢ xᵢᵀ</w:t>
      </w:r>
    </w:p>
    <w:p w14:paraId="61601740" w14:textId="77777777" w:rsidR="00196F12" w:rsidRDefault="00000000">
      <w:pPr>
        <w:spacing w:before="80" w:after="100"/>
      </w:pPr>
      <w:r>
        <w:rPr>
          <w:color w:val="111111"/>
        </w:rPr>
        <w:t xml:space="preserve">Eigen-decomposition </w:t>
      </w:r>
      <w:r>
        <w:rPr>
          <w:rFonts w:ascii="Courier New" w:eastAsia="Courier New" w:hAnsi="Courier New" w:cs="Courier New"/>
          <w:color w:val="111111"/>
        </w:rPr>
        <w:t>Sᴛ vₖ = λₖ vₖ</w:t>
      </w:r>
      <w:r>
        <w:rPr>
          <w:color w:val="111111"/>
        </w:rPr>
        <w:t xml:space="preserve"> yields eigenvectors vₖ (principal components) sorted by decreasing eigenvalue λₖ. Projection onto the top m components reduces dimensionality while </w:t>
      </w:r>
      <w:proofErr w:type="spellStart"/>
      <w:r>
        <w:rPr>
          <w:color w:val="111111"/>
        </w:rPr>
        <w:t>minimising</w:t>
      </w:r>
      <w:proofErr w:type="spellEnd"/>
      <w:r>
        <w:rPr>
          <w:color w:val="111111"/>
        </w:rPr>
        <w:t xml:space="preserve"> reconstruction error:</w:t>
      </w:r>
    </w:p>
    <w:p w14:paraId="3E68D5AE" w14:textId="77777777" w:rsidR="00196F12" w:rsidRDefault="00000000">
      <w:pPr>
        <w:spacing w:before="110" w:after="110"/>
        <w:jc w:val="center"/>
      </w:pPr>
      <w:r>
        <w:rPr>
          <w:rFonts w:ascii="Courier New" w:eastAsia="Courier New" w:hAnsi="Courier New" w:cs="Courier New"/>
          <w:color w:val="111111"/>
        </w:rPr>
        <w:t xml:space="preserve">Y = Wᵀ </w:t>
      </w:r>
      <w:proofErr w:type="gramStart"/>
      <w:r>
        <w:rPr>
          <w:rFonts w:ascii="Courier New" w:eastAsia="Courier New" w:hAnsi="Courier New" w:cs="Courier New"/>
          <w:color w:val="111111"/>
        </w:rPr>
        <w:t xml:space="preserve">X,   </w:t>
      </w:r>
      <w:proofErr w:type="gramEnd"/>
      <w:r>
        <w:rPr>
          <w:rFonts w:ascii="Courier New" w:eastAsia="Courier New" w:hAnsi="Courier New" w:cs="Courier New"/>
          <w:color w:val="111111"/>
        </w:rPr>
        <w:t xml:space="preserve"> W = [v₁, v₂, …, vₘ]</w:t>
      </w:r>
    </w:p>
    <w:p w14:paraId="56DA4F79" w14:textId="77777777" w:rsidR="00196F12" w:rsidRDefault="00000000">
      <w:pPr>
        <w:pStyle w:val="Heading2"/>
      </w:pPr>
      <w:proofErr w:type="gramStart"/>
      <w:r>
        <w:t>3.1  Eigenfaces</w:t>
      </w:r>
      <w:proofErr w:type="gramEnd"/>
      <w:r>
        <w:t xml:space="preserve"> Method</w:t>
      </w:r>
    </w:p>
    <w:p w14:paraId="1027B7F1" w14:textId="77777777" w:rsidR="00196F12" w:rsidRDefault="00000000">
      <w:pPr>
        <w:spacing w:before="80" w:after="100"/>
      </w:pPr>
      <w:r>
        <w:rPr>
          <w:color w:val="111111"/>
        </w:rPr>
        <w:t xml:space="preserve">In the Eigenfaces method (Turk &amp; Pentland, 1991) </w:t>
      </w:r>
      <w:r>
        <w:rPr>
          <w:color w:val="555555"/>
          <w:sz w:val="18"/>
          <w:szCs w:val="18"/>
          <w:vertAlign w:val="superscript"/>
        </w:rPr>
        <w:t>[1]</w:t>
      </w:r>
      <w:r>
        <w:rPr>
          <w:color w:val="111111"/>
        </w:rPr>
        <w:t xml:space="preserve">, each training face is </w:t>
      </w:r>
      <w:proofErr w:type="spellStart"/>
      <w:r>
        <w:rPr>
          <w:color w:val="111111"/>
        </w:rPr>
        <w:t>vectorised</w:t>
      </w:r>
      <w:proofErr w:type="spellEnd"/>
      <w:r>
        <w:rPr>
          <w:color w:val="111111"/>
        </w:rPr>
        <w:t>, mean-subtracted, and the top m eigenvectors form the "eigenfaces" basis. A query face x is projected:</w:t>
      </w:r>
    </w:p>
    <w:p w14:paraId="5EC84A00" w14:textId="77777777" w:rsidR="00196F12" w:rsidRDefault="00000000">
      <w:pPr>
        <w:spacing w:before="110" w:after="110"/>
        <w:jc w:val="center"/>
      </w:pPr>
      <w:r>
        <w:rPr>
          <w:rFonts w:ascii="Courier New" w:eastAsia="Courier New" w:hAnsi="Courier New" w:cs="Courier New"/>
          <w:color w:val="111111"/>
        </w:rPr>
        <w:t xml:space="preserve">Ω = </w:t>
      </w:r>
      <w:proofErr w:type="gramStart"/>
      <w:r>
        <w:rPr>
          <w:rFonts w:ascii="Courier New" w:eastAsia="Courier New" w:hAnsi="Courier New" w:cs="Courier New"/>
          <w:color w:val="111111"/>
        </w:rPr>
        <w:t>Wᵀ(</w:t>
      </w:r>
      <w:proofErr w:type="gramEnd"/>
      <w:r>
        <w:rPr>
          <w:rFonts w:ascii="Courier New" w:eastAsia="Courier New" w:hAnsi="Courier New" w:cs="Courier New"/>
          <w:color w:val="111111"/>
        </w:rPr>
        <w:t>x − μ)</w:t>
      </w:r>
    </w:p>
    <w:p w14:paraId="44CBDDB5" w14:textId="77777777" w:rsidR="00196F12" w:rsidRDefault="00000000">
      <w:pPr>
        <w:spacing w:before="80" w:after="100"/>
      </w:pPr>
      <w:r>
        <w:rPr>
          <w:color w:val="111111"/>
        </w:rPr>
        <w:t>and classified by nearest-</w:t>
      </w:r>
      <w:proofErr w:type="spellStart"/>
      <w:r>
        <w:rPr>
          <w:color w:val="111111"/>
        </w:rPr>
        <w:t>neighbour</w:t>
      </w:r>
      <w:proofErr w:type="spellEnd"/>
      <w:r>
        <w:rPr>
          <w:color w:val="111111"/>
        </w:rPr>
        <w:t xml:space="preserve"> distance to gallery projections. Recognition is rejected if the minimum distance exceeds a threshold.</w:t>
      </w:r>
    </w:p>
    <w:p w14:paraId="04D66F3F" w14:textId="77777777" w:rsidR="00F40733" w:rsidRDefault="00F40733">
      <w:pPr>
        <w:pStyle w:val="Heading1"/>
        <w:pBdr>
          <w:bottom w:val="single" w:sz="8" w:space="4" w:color="111111"/>
        </w:pBdr>
        <w:rPr>
          <w:rtl/>
        </w:rPr>
      </w:pPr>
    </w:p>
    <w:p w14:paraId="5C053E52" w14:textId="3E921257" w:rsidR="00196F12" w:rsidRDefault="00000000">
      <w:pPr>
        <w:pStyle w:val="Heading1"/>
        <w:pBdr>
          <w:bottom w:val="single" w:sz="8" w:space="4" w:color="111111"/>
        </w:pBdr>
      </w:pPr>
      <w:r>
        <w:lastRenderedPageBreak/>
        <w:t xml:space="preserve">4.  LDA / </w:t>
      </w:r>
      <w:proofErr w:type="spellStart"/>
      <w:r>
        <w:t>Fisherfaces</w:t>
      </w:r>
      <w:proofErr w:type="spellEnd"/>
      <w:r>
        <w:t>: Mathematical Foundation</w:t>
      </w:r>
    </w:p>
    <w:p w14:paraId="5034BA43" w14:textId="77777777" w:rsidR="00196F12" w:rsidRDefault="00000000">
      <w:pPr>
        <w:spacing w:before="80" w:after="100"/>
      </w:pPr>
      <w:r>
        <w:rPr>
          <w:color w:val="111111"/>
        </w:rPr>
        <w:t xml:space="preserve">LDA is a </w:t>
      </w:r>
      <w:r>
        <w:rPr>
          <w:b/>
          <w:bCs/>
          <w:color w:val="111111"/>
        </w:rPr>
        <w:t>supervised</w:t>
      </w:r>
      <w:r>
        <w:rPr>
          <w:color w:val="111111"/>
        </w:rPr>
        <w:t xml:space="preserve"> method that explicitly </w:t>
      </w:r>
      <w:proofErr w:type="spellStart"/>
      <w:r>
        <w:rPr>
          <w:color w:val="111111"/>
        </w:rPr>
        <w:t>maximises</w:t>
      </w:r>
      <w:proofErr w:type="spellEnd"/>
      <w:r>
        <w:rPr>
          <w:color w:val="111111"/>
        </w:rPr>
        <w:t xml:space="preserve"> class separation. It finds projection W that </w:t>
      </w:r>
      <w:proofErr w:type="spellStart"/>
      <w:r>
        <w:rPr>
          <w:color w:val="111111"/>
        </w:rPr>
        <w:t>maximises</w:t>
      </w:r>
      <w:proofErr w:type="spellEnd"/>
      <w:r>
        <w:rPr>
          <w:color w:val="111111"/>
        </w:rPr>
        <w:t xml:space="preserve"> the ratio of between-class scatter </w:t>
      </w:r>
      <w:proofErr w:type="spellStart"/>
      <w:r>
        <w:rPr>
          <w:color w:val="111111"/>
        </w:rPr>
        <w:t>Sʙ</w:t>
      </w:r>
      <w:proofErr w:type="spellEnd"/>
      <w:r>
        <w:rPr>
          <w:color w:val="111111"/>
        </w:rPr>
        <w:t xml:space="preserve"> to within-class scatter Sᴡ:</w:t>
      </w:r>
    </w:p>
    <w:p w14:paraId="11DA7A74" w14:textId="77777777" w:rsidR="00196F12" w:rsidRDefault="00000000">
      <w:pPr>
        <w:spacing w:before="110" w:after="110"/>
        <w:jc w:val="center"/>
      </w:pPr>
      <w:r>
        <w:rPr>
          <w:rFonts w:ascii="Courier New" w:eastAsia="Courier New" w:hAnsi="Courier New" w:cs="Courier New"/>
          <w:color w:val="111111"/>
        </w:rPr>
        <w:t xml:space="preserve">Wₒₚₜ = </w:t>
      </w:r>
      <w:proofErr w:type="spellStart"/>
      <w:r>
        <w:rPr>
          <w:rFonts w:ascii="Courier New" w:eastAsia="Courier New" w:hAnsi="Courier New" w:cs="Courier New"/>
          <w:color w:val="111111"/>
        </w:rPr>
        <w:t>arg</w:t>
      </w:r>
      <w:proofErr w:type="spellEnd"/>
      <w:r>
        <w:rPr>
          <w:rFonts w:ascii="Courier New" w:eastAsia="Courier New" w:hAnsi="Courier New" w:cs="Courier New"/>
          <w:color w:val="111111"/>
        </w:rPr>
        <w:t xml:space="preserve"> </w:t>
      </w:r>
      <w:proofErr w:type="spellStart"/>
      <w:r>
        <w:rPr>
          <w:rFonts w:ascii="Courier New" w:eastAsia="Courier New" w:hAnsi="Courier New" w:cs="Courier New"/>
          <w:color w:val="111111"/>
        </w:rPr>
        <w:t>max_</w:t>
      </w:r>
      <w:proofErr w:type="gramStart"/>
      <w:r>
        <w:rPr>
          <w:rFonts w:ascii="Courier New" w:eastAsia="Courier New" w:hAnsi="Courier New" w:cs="Courier New"/>
          <w:color w:val="111111"/>
        </w:rPr>
        <w:t>W</w:t>
      </w:r>
      <w:proofErr w:type="spellEnd"/>
      <w:r>
        <w:rPr>
          <w:rFonts w:ascii="Courier New" w:eastAsia="Courier New" w:hAnsi="Courier New" w:cs="Courier New"/>
          <w:color w:val="111111"/>
        </w:rPr>
        <w:t xml:space="preserve">  |</w:t>
      </w:r>
      <w:proofErr w:type="gramEnd"/>
      <w:r>
        <w:rPr>
          <w:rFonts w:ascii="Courier New" w:eastAsia="Courier New" w:hAnsi="Courier New" w:cs="Courier New"/>
          <w:color w:val="111111"/>
        </w:rPr>
        <w:t xml:space="preserve">Wᵀ </w:t>
      </w:r>
      <w:proofErr w:type="spellStart"/>
      <w:r>
        <w:rPr>
          <w:rFonts w:ascii="Courier New" w:eastAsia="Courier New" w:hAnsi="Courier New" w:cs="Courier New"/>
          <w:color w:val="111111"/>
        </w:rPr>
        <w:t>Sʙ</w:t>
      </w:r>
      <w:proofErr w:type="spellEnd"/>
      <w:r>
        <w:rPr>
          <w:rFonts w:ascii="Courier New" w:eastAsia="Courier New" w:hAnsi="Courier New" w:cs="Courier New"/>
          <w:color w:val="111111"/>
        </w:rPr>
        <w:t xml:space="preserve"> W| / |Wᵀ Sᴡ W|</w:t>
      </w:r>
    </w:p>
    <w:p w14:paraId="05986D04" w14:textId="77777777" w:rsidR="00196F12" w:rsidRDefault="00000000">
      <w:pPr>
        <w:spacing w:before="80" w:after="100"/>
      </w:pPr>
      <w:proofErr w:type="spellStart"/>
      <w:r>
        <w:rPr>
          <w:color w:val="111111"/>
        </w:rPr>
        <w:t>Sʙ</w:t>
      </w:r>
      <w:proofErr w:type="spellEnd"/>
      <w:r>
        <w:rPr>
          <w:color w:val="111111"/>
        </w:rPr>
        <w:t xml:space="preserve"> = Σᵢ nᵢ(μᵢ−</w:t>
      </w:r>
      <w:proofErr w:type="gramStart"/>
      <w:r>
        <w:rPr>
          <w:color w:val="111111"/>
        </w:rPr>
        <w:t>μ)(</w:t>
      </w:r>
      <w:proofErr w:type="gramEnd"/>
      <w:r>
        <w:rPr>
          <w:color w:val="111111"/>
        </w:rPr>
        <w:t>μᵢ−</w:t>
      </w:r>
      <w:proofErr w:type="gramStart"/>
      <w:r>
        <w:rPr>
          <w:color w:val="111111"/>
        </w:rPr>
        <w:t>μ)ᵀ</w:t>
      </w:r>
      <w:proofErr w:type="gramEnd"/>
      <w:r>
        <w:rPr>
          <w:color w:val="111111"/>
        </w:rPr>
        <w:t xml:space="preserve">  (between-class)</w:t>
      </w:r>
    </w:p>
    <w:p w14:paraId="439AE0C2" w14:textId="77777777" w:rsidR="00196F12" w:rsidRDefault="00000000">
      <w:pPr>
        <w:spacing w:before="80" w:after="100"/>
      </w:pPr>
      <w:r>
        <w:rPr>
          <w:color w:val="111111"/>
        </w:rPr>
        <w:t>Sᴡ = Σᵢ Σₓ∈Cᵢ (x−μ</w:t>
      </w:r>
      <w:proofErr w:type="gramStart"/>
      <w:r>
        <w:rPr>
          <w:color w:val="111111"/>
        </w:rPr>
        <w:t>ᵢ)(</w:t>
      </w:r>
      <w:proofErr w:type="gramEnd"/>
      <w:r>
        <w:rPr>
          <w:color w:val="111111"/>
        </w:rPr>
        <w:t>x−μ</w:t>
      </w:r>
      <w:proofErr w:type="gramStart"/>
      <w:r>
        <w:rPr>
          <w:color w:val="111111"/>
        </w:rPr>
        <w:t>ᵢ)ᵀ</w:t>
      </w:r>
      <w:proofErr w:type="gramEnd"/>
      <w:r>
        <w:rPr>
          <w:color w:val="111111"/>
        </w:rPr>
        <w:t xml:space="preserve">  (within-class)</w:t>
      </w:r>
    </w:p>
    <w:p w14:paraId="27AD560F" w14:textId="77777777" w:rsidR="00196F12" w:rsidRDefault="00000000">
      <w:pPr>
        <w:spacing w:before="80" w:after="100"/>
      </w:pPr>
      <w:proofErr w:type="spellStart"/>
      <w:r>
        <w:rPr>
          <w:color w:val="111111"/>
        </w:rPr>
        <w:t>Fisherfaces</w:t>
      </w:r>
      <w:proofErr w:type="spellEnd"/>
      <w:r>
        <w:rPr>
          <w:color w:val="111111"/>
        </w:rPr>
        <w:t xml:space="preserve"> (Belhumeur et al., 1997) </w:t>
      </w:r>
      <w:r>
        <w:rPr>
          <w:color w:val="555555"/>
          <w:sz w:val="18"/>
          <w:szCs w:val="18"/>
          <w:vertAlign w:val="superscript"/>
        </w:rPr>
        <w:t>[2]</w:t>
      </w:r>
      <w:r>
        <w:rPr>
          <w:color w:val="111111"/>
        </w:rPr>
        <w:t xml:space="preserve"> combine PCA (to reduce d to n−c) followed by LDA (to find c−1 discriminant directions), resolving the small-sample problem where Sᴡ is singular.</w:t>
      </w:r>
    </w:p>
    <w:p w14:paraId="3FCB4049" w14:textId="77777777" w:rsidR="00196F12" w:rsidRDefault="00000000">
      <w:pPr>
        <w:pStyle w:val="Heading1"/>
        <w:pBdr>
          <w:bottom w:val="single" w:sz="8" w:space="4" w:color="111111"/>
        </w:pBdr>
      </w:pPr>
      <w:r>
        <w:t>5.  Figures and Experimental Results</w:t>
      </w:r>
    </w:p>
    <w:p w14:paraId="736E0B41" w14:textId="77777777" w:rsidR="00196F12" w:rsidRDefault="00000000">
      <w:pPr>
        <w:spacing w:before="160" w:after="60"/>
        <w:jc w:val="center"/>
      </w:pPr>
      <w:r>
        <w:rPr>
          <w:noProof/>
        </w:rPr>
        <w:drawing>
          <wp:inline distT="0" distB="0" distL="0" distR="0" wp14:anchorId="199502ED" wp14:editId="049DEE35">
            <wp:extent cx="5334000" cy="2228850"/>
            <wp:effectExtent l="0" t="0" r="0" b="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28850"/>
                    </a:xfrm>
                    <a:prstGeom prst="rect">
                      <a:avLst/>
                    </a:prstGeom>
                  </pic:spPr>
                </pic:pic>
              </a:graphicData>
            </a:graphic>
          </wp:inline>
        </w:drawing>
      </w:r>
    </w:p>
    <w:p w14:paraId="5FB2BB8A" w14:textId="77777777" w:rsidR="00196F12" w:rsidRDefault="00000000">
      <w:pPr>
        <w:spacing w:before="40" w:after="220"/>
        <w:jc w:val="center"/>
      </w:pPr>
      <w:r>
        <w:rPr>
          <w:i/>
          <w:iCs/>
          <w:color w:val="555555"/>
          <w:sz w:val="18"/>
          <w:szCs w:val="18"/>
        </w:rPr>
        <w:t>Figure 1 – Top 5 Eigenfaces (holistic basis images) and variance captured by each principal component. Early PCs capture global illumination and shape; later PCs encode finer details.</w:t>
      </w:r>
    </w:p>
    <w:p w14:paraId="66D191F2" w14:textId="77777777" w:rsidR="00196F12" w:rsidRDefault="00000000">
      <w:pPr>
        <w:spacing w:before="160" w:after="60"/>
        <w:jc w:val="center"/>
      </w:pPr>
      <w:r>
        <w:rPr>
          <w:noProof/>
        </w:rPr>
        <w:drawing>
          <wp:inline distT="0" distB="0" distL="0" distR="0" wp14:anchorId="39C80BE5" wp14:editId="4A7D2336">
            <wp:extent cx="5334000" cy="2133600"/>
            <wp:effectExtent l="0" t="0" r="0" b="0"/>
            <wp:docPr id="1513175469"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33600"/>
                    </a:xfrm>
                    <a:prstGeom prst="rect">
                      <a:avLst/>
                    </a:prstGeom>
                  </pic:spPr>
                </pic:pic>
              </a:graphicData>
            </a:graphic>
          </wp:inline>
        </w:drawing>
      </w:r>
    </w:p>
    <w:p w14:paraId="10D8D193" w14:textId="77777777" w:rsidR="00196F12" w:rsidRDefault="00000000">
      <w:pPr>
        <w:spacing w:before="40" w:after="220"/>
        <w:jc w:val="center"/>
      </w:pPr>
      <w:r>
        <w:rPr>
          <w:i/>
          <w:iCs/>
          <w:color w:val="555555"/>
          <w:sz w:val="18"/>
          <w:szCs w:val="18"/>
        </w:rPr>
        <w:t>Figure 2 – Recognition accuracy across benchmark datasets (left) and 2D face space projection for 4 identities (right). LDA consistently outperforms PCA; CNNs dominate on unconstrained data.</w:t>
      </w:r>
    </w:p>
    <w:p w14:paraId="68ECB404" w14:textId="77777777" w:rsidR="00196F12" w:rsidRDefault="00000000">
      <w:pPr>
        <w:spacing w:before="160" w:after="60"/>
        <w:jc w:val="center"/>
      </w:pPr>
      <w:r>
        <w:rPr>
          <w:noProof/>
        </w:rPr>
        <w:lastRenderedPageBreak/>
        <w:drawing>
          <wp:inline distT="0" distB="0" distL="0" distR="0" wp14:anchorId="3DBCB259" wp14:editId="0B12D11C">
            <wp:extent cx="5334000" cy="2133600"/>
            <wp:effectExtent l="0" t="0" r="0" b="0"/>
            <wp:docPr id="1108426175"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33600"/>
                    </a:xfrm>
                    <a:prstGeom prst="rect">
                      <a:avLst/>
                    </a:prstGeom>
                  </pic:spPr>
                </pic:pic>
              </a:graphicData>
            </a:graphic>
          </wp:inline>
        </w:drawing>
      </w:r>
    </w:p>
    <w:p w14:paraId="5BC2DF75" w14:textId="77777777" w:rsidR="00196F12" w:rsidRDefault="00000000">
      <w:pPr>
        <w:spacing w:before="40" w:after="220"/>
        <w:jc w:val="center"/>
      </w:pPr>
      <w:r>
        <w:rPr>
          <w:i/>
          <w:iCs/>
          <w:color w:val="555555"/>
          <w:sz w:val="18"/>
          <w:szCs w:val="18"/>
        </w:rPr>
        <w:t>Figure 3 – Left: Reconstruction error and accuracy vs number of PCA components. Right: Step-by-step Eigenfaces processing pipeline from raw image to classification.</w:t>
      </w:r>
    </w:p>
    <w:p w14:paraId="5E037BD2" w14:textId="77777777" w:rsidR="00196F12" w:rsidRDefault="00000000">
      <w:pPr>
        <w:pStyle w:val="Heading1"/>
        <w:pBdr>
          <w:bottom w:val="single" w:sz="8" w:space="4" w:color="111111"/>
        </w:pBdr>
      </w:pPr>
      <w:r>
        <w:t>6.  Quantitative Comparison</w:t>
      </w:r>
    </w:p>
    <w:p w14:paraId="46B20BD8" w14:textId="77777777" w:rsidR="00196F12" w:rsidRDefault="00196F12">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1889"/>
        <w:gridCol w:w="1889"/>
        <w:gridCol w:w="1889"/>
        <w:gridCol w:w="1637"/>
      </w:tblGrid>
      <w:tr w:rsidR="00196F12" w14:paraId="56DC4A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377D2E2B" w14:textId="77777777" w:rsidR="00196F12" w:rsidRDefault="00000000">
            <w:pPr>
              <w:jc w:val="center"/>
            </w:pPr>
            <w:r>
              <w:rPr>
                <w:b/>
                <w:bCs/>
                <w:color w:val="FFFFFF"/>
                <w:sz w:val="18"/>
                <w:szCs w:val="18"/>
              </w:rPr>
              <w:t>Dataset</w:t>
            </w:r>
          </w:p>
        </w:tc>
        <w:tc>
          <w:tcPr>
            <w:tcW w:w="21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5860F326" w14:textId="77777777" w:rsidR="00196F12" w:rsidRDefault="00000000">
            <w:pPr>
              <w:jc w:val="center"/>
            </w:pPr>
            <w:r>
              <w:rPr>
                <w:b/>
                <w:bCs/>
                <w:color w:val="FFFFFF"/>
                <w:sz w:val="18"/>
                <w:szCs w:val="18"/>
              </w:rPr>
              <w:t>PCA Accuracy (%)</w:t>
            </w:r>
          </w:p>
        </w:tc>
        <w:tc>
          <w:tcPr>
            <w:tcW w:w="21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1A5CD63E" w14:textId="77777777" w:rsidR="00196F12" w:rsidRDefault="00000000">
            <w:pPr>
              <w:jc w:val="center"/>
            </w:pPr>
            <w:r>
              <w:rPr>
                <w:b/>
                <w:bCs/>
                <w:color w:val="FFFFFF"/>
                <w:sz w:val="18"/>
                <w:szCs w:val="18"/>
              </w:rPr>
              <w:t>LDA Accuracy (%)</w:t>
            </w:r>
          </w:p>
        </w:tc>
        <w:tc>
          <w:tcPr>
            <w:tcW w:w="21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693CF67" w14:textId="77777777" w:rsidR="00196F12" w:rsidRDefault="00000000">
            <w:pPr>
              <w:jc w:val="center"/>
            </w:pPr>
            <w:r>
              <w:rPr>
                <w:b/>
                <w:bCs/>
                <w:color w:val="FFFFFF"/>
                <w:sz w:val="18"/>
                <w:szCs w:val="18"/>
              </w:rPr>
              <w:t>CNN Accuracy (%)</w:t>
            </w:r>
          </w:p>
        </w:tc>
        <w:tc>
          <w:tcPr>
            <w:tcW w:w="17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1F889C2E" w14:textId="77777777" w:rsidR="00196F12" w:rsidRDefault="00000000">
            <w:pPr>
              <w:jc w:val="center"/>
            </w:pPr>
            <w:r>
              <w:rPr>
                <w:b/>
                <w:bCs/>
                <w:color w:val="FFFFFF"/>
                <w:sz w:val="18"/>
                <w:szCs w:val="18"/>
              </w:rPr>
              <w:t>Notes</w:t>
            </w:r>
          </w:p>
        </w:tc>
      </w:tr>
      <w:tr w:rsidR="00196F12" w14:paraId="2817B6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7EBFC" w14:textId="77777777" w:rsidR="00196F12" w:rsidRDefault="00000000">
            <w:r>
              <w:rPr>
                <w:color w:val="111111"/>
                <w:sz w:val="18"/>
                <w:szCs w:val="18"/>
              </w:rPr>
              <w:t>ORL (400 images)</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95192A" w14:textId="77777777" w:rsidR="00196F12" w:rsidRDefault="00000000">
            <w:r>
              <w:rPr>
                <w:color w:val="111111"/>
                <w:sz w:val="18"/>
                <w:szCs w:val="18"/>
              </w:rPr>
              <w:t>85.14</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F301FA" w14:textId="77777777" w:rsidR="00196F12" w:rsidRDefault="00000000">
            <w:r>
              <w:rPr>
                <w:color w:val="111111"/>
                <w:sz w:val="18"/>
                <w:szCs w:val="18"/>
              </w:rPr>
              <w:t>94.40</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9FA3A0" w14:textId="77777777" w:rsidR="00196F12" w:rsidRDefault="00000000">
            <w:r>
              <w:rPr>
                <w:color w:val="111111"/>
                <w:sz w:val="18"/>
                <w:szCs w:val="18"/>
              </w:rPr>
              <w:t>97.0</w:t>
            </w:r>
          </w:p>
        </w:tc>
        <w:tc>
          <w:tcPr>
            <w:tcW w:w="1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54E666" w14:textId="77777777" w:rsidR="00196F12" w:rsidRDefault="00000000">
            <w:r>
              <w:rPr>
                <w:color w:val="111111"/>
                <w:sz w:val="18"/>
                <w:szCs w:val="18"/>
              </w:rPr>
              <w:t>Leave-one-out, 40 subjects</w:t>
            </w:r>
          </w:p>
        </w:tc>
      </w:tr>
      <w:tr w:rsidR="00196F12" w14:paraId="0D08A6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1B4A1" w14:textId="77777777" w:rsidR="00196F12" w:rsidRDefault="00000000">
            <w:r>
              <w:rPr>
                <w:color w:val="111111"/>
                <w:sz w:val="18"/>
                <w:szCs w:val="18"/>
              </w:rPr>
              <w:t>Yale (165 images)</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3B53B1" w14:textId="77777777" w:rsidR="00196F12" w:rsidRDefault="00000000">
            <w:r>
              <w:rPr>
                <w:color w:val="111111"/>
                <w:sz w:val="18"/>
                <w:szCs w:val="18"/>
              </w:rPr>
              <w:t>80.8–90.5</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6608E" w14:textId="77777777" w:rsidR="00196F12" w:rsidRDefault="00000000">
            <w:r>
              <w:rPr>
                <w:color w:val="111111"/>
                <w:sz w:val="18"/>
                <w:szCs w:val="18"/>
              </w:rPr>
              <w:t>93.5</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B2E45A" w14:textId="77777777" w:rsidR="00196F12" w:rsidRDefault="00000000">
            <w:r>
              <w:rPr>
                <w:color w:val="111111"/>
                <w:sz w:val="18"/>
                <w:szCs w:val="18"/>
              </w:rPr>
              <w:t>96.5</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EF3672" w14:textId="77777777" w:rsidR="00196F12" w:rsidRDefault="00000000">
            <w:r>
              <w:rPr>
                <w:color w:val="111111"/>
                <w:sz w:val="18"/>
                <w:szCs w:val="18"/>
              </w:rPr>
              <w:t>Illumination variations</w:t>
            </w:r>
          </w:p>
        </w:tc>
      </w:tr>
      <w:tr w:rsidR="00196F12" w14:paraId="49519B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FF6DC22" w14:textId="77777777" w:rsidR="00196F12" w:rsidRDefault="00000000">
            <w:r>
              <w:rPr>
                <w:color w:val="111111"/>
                <w:sz w:val="18"/>
                <w:szCs w:val="18"/>
              </w:rPr>
              <w:t>CMU PIE</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7C863" w14:textId="77777777" w:rsidR="00196F12" w:rsidRDefault="00000000">
            <w:r>
              <w:rPr>
                <w:color w:val="111111"/>
                <w:sz w:val="18"/>
                <w:szCs w:val="18"/>
              </w:rPr>
              <w:t>64.56</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47F551C" w14:textId="77777777" w:rsidR="00196F12" w:rsidRDefault="00000000">
            <w:r>
              <w:rPr>
                <w:color w:val="111111"/>
                <w:sz w:val="18"/>
                <w:szCs w:val="18"/>
              </w:rPr>
              <w:t>74.25</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F0D029" w14:textId="77777777" w:rsidR="00196F12" w:rsidRDefault="00000000">
            <w:r>
              <w:rPr>
                <w:color w:val="111111"/>
                <w:sz w:val="18"/>
                <w:szCs w:val="18"/>
              </w:rPr>
              <w:t>98.9</w:t>
            </w:r>
          </w:p>
        </w:tc>
        <w:tc>
          <w:tcPr>
            <w:tcW w:w="1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86EAF8D" w14:textId="77777777" w:rsidR="00196F12" w:rsidRDefault="00000000">
            <w:r>
              <w:rPr>
                <w:color w:val="111111"/>
                <w:sz w:val="18"/>
                <w:szCs w:val="18"/>
              </w:rPr>
              <w:t>Pose, lighting, expression</w:t>
            </w:r>
          </w:p>
        </w:tc>
      </w:tr>
      <w:tr w:rsidR="00196F12" w14:paraId="035AC6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C3768A" w14:textId="77777777" w:rsidR="00196F12" w:rsidRDefault="00000000">
            <w:r>
              <w:rPr>
                <w:color w:val="111111"/>
                <w:sz w:val="18"/>
                <w:szCs w:val="18"/>
              </w:rPr>
              <w:t>LFW (unconstrained)</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A767D9" w14:textId="77777777" w:rsidR="00196F12" w:rsidRDefault="00000000">
            <w:r>
              <w:rPr>
                <w:color w:val="111111"/>
                <w:sz w:val="18"/>
                <w:szCs w:val="18"/>
              </w:rPr>
              <w:t>&lt;75</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47AFE6" w14:textId="77777777" w:rsidR="00196F12" w:rsidRDefault="00000000">
            <w:r>
              <w:rPr>
                <w:color w:val="111111"/>
                <w:sz w:val="18"/>
                <w:szCs w:val="18"/>
              </w:rPr>
              <w:t>&lt;83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3C9A5" w14:textId="77777777" w:rsidR="00196F12" w:rsidRDefault="00000000">
            <w:r>
              <w:rPr>
                <w:color w:val="111111"/>
                <w:sz w:val="18"/>
                <w:szCs w:val="18"/>
              </w:rPr>
              <w:t>&gt;98</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CB9689" w14:textId="77777777" w:rsidR="00196F12" w:rsidRDefault="00000000">
            <w:r>
              <w:rPr>
                <w:color w:val="111111"/>
                <w:sz w:val="18"/>
                <w:szCs w:val="18"/>
              </w:rPr>
              <w:t>Wild conditions, millions of pairs</w:t>
            </w:r>
          </w:p>
        </w:tc>
      </w:tr>
    </w:tbl>
    <w:p w14:paraId="4C72C12F" w14:textId="77777777" w:rsidR="00196F12" w:rsidRDefault="00000000">
      <w:pPr>
        <w:spacing w:before="50" w:after="80"/>
      </w:pPr>
      <w:r>
        <w:rPr>
          <w:i/>
          <w:iCs/>
          <w:color w:val="555555"/>
          <w:sz w:val="18"/>
          <w:szCs w:val="18"/>
        </w:rPr>
        <w:t>Table 1 – Benchmark results. CNN results from FaceNet/</w:t>
      </w:r>
      <w:proofErr w:type="spellStart"/>
      <w:r>
        <w:rPr>
          <w:i/>
          <w:iCs/>
          <w:color w:val="555555"/>
          <w:sz w:val="18"/>
          <w:szCs w:val="18"/>
        </w:rPr>
        <w:t>ArcFace</w:t>
      </w:r>
      <w:proofErr w:type="spellEnd"/>
      <w:r>
        <w:rPr>
          <w:i/>
          <w:iCs/>
          <w:color w:val="555555"/>
          <w:sz w:val="18"/>
          <w:szCs w:val="18"/>
        </w:rPr>
        <w:t xml:space="preserve"> architecture. </w:t>
      </w:r>
    </w:p>
    <w:p w14:paraId="696A116C" w14:textId="77777777" w:rsidR="00196F12" w:rsidRDefault="00000000">
      <w:pPr>
        <w:pStyle w:val="Heading1"/>
        <w:pBdr>
          <w:bottom w:val="single" w:sz="8" w:space="4" w:color="111111"/>
        </w:pBdr>
      </w:pPr>
      <w:r>
        <w:t>7.  When to Use Each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400"/>
        <w:gridCol w:w="2400"/>
        <w:gridCol w:w="3000"/>
      </w:tblGrid>
      <w:tr w:rsidR="00196F12" w14:paraId="0FA3AC6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252B44E9" w14:textId="77777777" w:rsidR="00196F12" w:rsidRDefault="00000000">
            <w:pPr>
              <w:jc w:val="center"/>
            </w:pPr>
            <w:r>
              <w:rPr>
                <w:b/>
                <w:bCs/>
                <w:color w:val="FFFFFF"/>
                <w:sz w:val="18"/>
                <w:szCs w:val="18"/>
              </w:rPr>
              <w:t>Model</w:t>
            </w:r>
          </w:p>
        </w:tc>
        <w:tc>
          <w:tcPr>
            <w:tcW w:w="24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07FF6EF9" w14:textId="77777777" w:rsidR="00196F12" w:rsidRDefault="00000000">
            <w:pPr>
              <w:jc w:val="center"/>
            </w:pPr>
            <w:r>
              <w:rPr>
                <w:b/>
                <w:bCs/>
                <w:color w:val="FFFFFF"/>
                <w:sz w:val="18"/>
                <w:szCs w:val="18"/>
              </w:rPr>
              <w:t>Best Scenario</w:t>
            </w:r>
          </w:p>
        </w:tc>
        <w:tc>
          <w:tcPr>
            <w:tcW w:w="24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6D50EF24" w14:textId="77777777" w:rsidR="00196F12" w:rsidRDefault="00000000">
            <w:pPr>
              <w:jc w:val="center"/>
            </w:pPr>
            <w:r>
              <w:rPr>
                <w:b/>
                <w:bCs/>
                <w:color w:val="FFFFFF"/>
                <w:sz w:val="18"/>
                <w:szCs w:val="18"/>
              </w:rPr>
              <w:t>Strengths</w:t>
            </w:r>
          </w:p>
        </w:tc>
        <w:tc>
          <w:tcPr>
            <w:tcW w:w="30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54F32A1E" w14:textId="77777777" w:rsidR="00196F12" w:rsidRDefault="00000000">
            <w:pPr>
              <w:jc w:val="center"/>
            </w:pPr>
            <w:r>
              <w:rPr>
                <w:b/>
                <w:bCs/>
                <w:color w:val="FFFFFF"/>
                <w:sz w:val="18"/>
                <w:szCs w:val="18"/>
              </w:rPr>
              <w:t>Limitations</w:t>
            </w:r>
          </w:p>
        </w:tc>
      </w:tr>
      <w:tr w:rsidR="00196F12" w14:paraId="6530AFE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51A77D0" w14:textId="77777777" w:rsidR="00196F12" w:rsidRDefault="00000000">
            <w:r>
              <w:rPr>
                <w:color w:val="111111"/>
                <w:sz w:val="18"/>
                <w:szCs w:val="18"/>
              </w:rPr>
              <w:t>PCA</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733277" w14:textId="77777777" w:rsidR="00196F12" w:rsidRDefault="00000000">
            <w:r>
              <w:rPr>
                <w:color w:val="111111"/>
                <w:sz w:val="18"/>
                <w:szCs w:val="18"/>
              </w:rPr>
              <w:t>Small datasets, controlled env., low compute</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63D924" w14:textId="77777777" w:rsidR="00196F12" w:rsidRDefault="00000000">
            <w:r>
              <w:rPr>
                <w:color w:val="111111"/>
                <w:sz w:val="18"/>
                <w:szCs w:val="18"/>
              </w:rPr>
              <w:t>Fast, unsupervised, interpretable eigenfaces</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8E3915" w14:textId="77777777" w:rsidR="00196F12" w:rsidRDefault="00000000">
            <w:r>
              <w:rPr>
                <w:color w:val="111111"/>
                <w:sz w:val="18"/>
                <w:szCs w:val="18"/>
              </w:rPr>
              <w:t>No class supervision; suffers illumination</w:t>
            </w:r>
          </w:p>
        </w:tc>
      </w:tr>
      <w:tr w:rsidR="00196F12" w14:paraId="313016C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D8D928" w14:textId="77777777" w:rsidR="00196F12" w:rsidRDefault="00000000">
            <w:r>
              <w:rPr>
                <w:color w:val="111111"/>
                <w:sz w:val="18"/>
                <w:szCs w:val="18"/>
              </w:rPr>
              <w:t>LDA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0F9BC2" w14:textId="77777777" w:rsidR="00196F12" w:rsidRDefault="00000000">
            <w:r>
              <w:rPr>
                <w:color w:val="111111"/>
                <w:sz w:val="18"/>
                <w:szCs w:val="18"/>
              </w:rPr>
              <w:t>Moderate labeled data, illumination/expression var.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D76593" w14:textId="77777777" w:rsidR="00196F12" w:rsidRDefault="00000000">
            <w:proofErr w:type="spellStart"/>
            <w:r>
              <w:rPr>
                <w:color w:val="111111"/>
                <w:sz w:val="18"/>
                <w:szCs w:val="18"/>
              </w:rPr>
              <w:t>Maximises</w:t>
            </w:r>
            <w:proofErr w:type="spellEnd"/>
            <w:r>
              <w:rPr>
                <w:color w:val="111111"/>
                <w:sz w:val="18"/>
                <w:szCs w:val="18"/>
              </w:rPr>
              <w:t xml:space="preserve"> class separation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09B3B" w14:textId="77777777" w:rsidR="00196F12" w:rsidRDefault="00000000">
            <w:r>
              <w:rPr>
                <w:color w:val="111111"/>
                <w:sz w:val="18"/>
                <w:szCs w:val="18"/>
              </w:rPr>
              <w:t>Needs labels; singular Sᴡ when d&gt;n</w:t>
            </w:r>
          </w:p>
        </w:tc>
      </w:tr>
      <w:tr w:rsidR="00196F12" w14:paraId="746A05B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E5A84E" w14:textId="77777777" w:rsidR="00196F12" w:rsidRDefault="00000000">
            <w:r>
              <w:rPr>
                <w:color w:val="111111"/>
                <w:sz w:val="18"/>
                <w:szCs w:val="18"/>
              </w:rPr>
              <w:t>CNN</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768909" w14:textId="77777777" w:rsidR="00196F12" w:rsidRDefault="00000000">
            <w:r>
              <w:rPr>
                <w:color w:val="111111"/>
                <w:sz w:val="18"/>
                <w:szCs w:val="18"/>
              </w:rPr>
              <w:t>Large-scale, unconstrained, high accuracy required</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73E9CD" w14:textId="77777777" w:rsidR="00196F12" w:rsidRDefault="00000000">
            <w:r>
              <w:rPr>
                <w:color w:val="111111"/>
                <w:sz w:val="18"/>
                <w:szCs w:val="18"/>
              </w:rPr>
              <w:t>End-to-end learning, non-linear</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8DD148C" w14:textId="77777777" w:rsidR="00196F12" w:rsidRDefault="00000000">
            <w:r>
              <w:rPr>
                <w:color w:val="111111"/>
                <w:sz w:val="18"/>
                <w:szCs w:val="18"/>
              </w:rPr>
              <w:t>Requires big data and GPU compute</w:t>
            </w:r>
          </w:p>
        </w:tc>
      </w:tr>
      <w:tr w:rsidR="00196F12" w14:paraId="409E8E9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6B1D6C" w14:textId="77777777" w:rsidR="00196F12" w:rsidRDefault="00000000">
            <w:r>
              <w:rPr>
                <w:color w:val="111111"/>
                <w:sz w:val="18"/>
                <w:szCs w:val="18"/>
              </w:rPr>
              <w:t>SVM+LBP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47228" w14:textId="77777777" w:rsidR="00196F12" w:rsidRDefault="00000000">
            <w:r>
              <w:rPr>
                <w:color w:val="111111"/>
                <w:sz w:val="18"/>
                <w:szCs w:val="18"/>
              </w:rPr>
              <w:t>Real-time, embedded systems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AC2BAA" w14:textId="77777777" w:rsidR="00196F12" w:rsidRDefault="00000000">
            <w:r>
              <w:rPr>
                <w:color w:val="111111"/>
                <w:sz w:val="18"/>
                <w:szCs w:val="18"/>
              </w:rPr>
              <w:t>Low memory, texture-aware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140F5E" w14:textId="77777777" w:rsidR="00196F12" w:rsidRDefault="00000000">
            <w:r>
              <w:rPr>
                <w:color w:val="111111"/>
                <w:sz w:val="18"/>
                <w:szCs w:val="18"/>
              </w:rPr>
              <w:t>Limited to local handcrafted features</w:t>
            </w:r>
          </w:p>
        </w:tc>
      </w:tr>
    </w:tbl>
    <w:p w14:paraId="1DD14A64" w14:textId="77777777" w:rsidR="00196F12" w:rsidRDefault="00000000">
      <w:pPr>
        <w:spacing w:before="50" w:after="80"/>
      </w:pPr>
      <w:r>
        <w:rPr>
          <w:i/>
          <w:iCs/>
          <w:color w:val="555555"/>
          <w:sz w:val="18"/>
          <w:szCs w:val="18"/>
        </w:rPr>
        <w:t>Table 2 – Model selection guide based on dataset and resource constraints.</w:t>
      </w:r>
    </w:p>
    <w:p w14:paraId="011FAAC2" w14:textId="77777777" w:rsidR="00196F12" w:rsidRDefault="00000000">
      <w:pPr>
        <w:pStyle w:val="Heading1"/>
        <w:pBdr>
          <w:bottom w:val="single" w:sz="8" w:space="4" w:color="111111"/>
        </w:pBdr>
      </w:pPr>
      <w:r>
        <w:lastRenderedPageBreak/>
        <w:t>8.  Discussion</w:t>
      </w:r>
    </w:p>
    <w:p w14:paraId="36E69271" w14:textId="77777777" w:rsidR="00196F12" w:rsidRDefault="00000000">
      <w:pPr>
        <w:spacing w:before="80" w:after="100"/>
      </w:pPr>
      <w:r>
        <w:rPr>
          <w:color w:val="111111"/>
        </w:rPr>
        <w:t xml:space="preserve">PCA provides a strong unsupervised baseline, particularly in controlled environments with consistent illumination. Its main limitation is that it retains dimensions of maximum total variance, which may capture illumination rather than identity. LDA addresses this by explicitly </w:t>
      </w:r>
      <w:proofErr w:type="spellStart"/>
      <w:r>
        <w:rPr>
          <w:color w:val="111111"/>
        </w:rPr>
        <w:t>optimising</w:t>
      </w:r>
      <w:proofErr w:type="spellEnd"/>
      <w:r>
        <w:rPr>
          <w:color w:val="111111"/>
        </w:rPr>
        <w:t xml:space="preserve"> class separability—but requires class labels and becomes numerically unstable when d &gt; n without PCA preprocessing. </w:t>
      </w:r>
      <w:r>
        <w:rPr>
          <w:color w:val="555555"/>
          <w:sz w:val="18"/>
          <w:szCs w:val="18"/>
          <w:vertAlign w:val="superscript"/>
        </w:rPr>
        <w:t>[2][3]</w:t>
      </w:r>
    </w:p>
    <w:p w14:paraId="468CDB35" w14:textId="77777777" w:rsidR="00196F12" w:rsidRDefault="00000000">
      <w:pPr>
        <w:spacing w:before="80" w:after="100"/>
      </w:pPr>
      <w:r>
        <w:rPr>
          <w:color w:val="111111"/>
        </w:rPr>
        <w:t xml:space="preserve">CNNs dominate unconstrained recognition by learning hierarchical non-linear features directly from data. Hybrid approaches (PCA + LDA + metric learning or deep embeddings) are the current research frontier for lightweight high-accuracy systems. </w:t>
      </w:r>
      <w:r>
        <w:rPr>
          <w:color w:val="555555"/>
          <w:sz w:val="18"/>
          <w:szCs w:val="18"/>
          <w:vertAlign w:val="superscript"/>
        </w:rPr>
        <w:t>[4]</w:t>
      </w:r>
    </w:p>
    <w:p w14:paraId="24C2639C" w14:textId="77777777" w:rsidR="00196F12" w:rsidRDefault="00000000">
      <w:pPr>
        <w:pStyle w:val="Heading1"/>
        <w:pBdr>
          <w:bottom w:val="single" w:sz="8" w:space="4" w:color="111111"/>
        </w:pBdr>
      </w:pPr>
      <w:r>
        <w:t>9.  Conclusion</w:t>
      </w:r>
    </w:p>
    <w:p w14:paraId="50742BF7" w14:textId="77777777" w:rsidR="00196F12" w:rsidRDefault="00000000">
      <w:pPr>
        <w:spacing w:before="80" w:after="100"/>
      </w:pPr>
      <w:r>
        <w:rPr>
          <w:color w:val="111111"/>
        </w:rPr>
        <w:t>PCA and LDA remain foundational, efficient, and interpretable solutions for face recognition in controlled settings. LDA generally outperforms PCA by 8–10 percentage points by incorporating class information. For contemporary challenges—pose variation, crowd scenes, cross-age matching—CNNs represent the optimal choice. Researchers should select methods based on dataset size, labelling availability, and computational resources.</w:t>
      </w:r>
    </w:p>
    <w:p w14:paraId="13C789D6" w14:textId="77777777" w:rsidR="00196F12" w:rsidRDefault="00196F12">
      <w:pPr>
        <w:pBdr>
          <w:bottom w:val="single" w:sz="4" w:space="2" w:color="555555"/>
        </w:pBdr>
        <w:spacing w:before="100" w:after="100"/>
      </w:pPr>
    </w:p>
    <w:p w14:paraId="68FF87D1" w14:textId="77777777" w:rsidR="00196F12" w:rsidRDefault="00000000">
      <w:pPr>
        <w:pStyle w:val="Heading1"/>
        <w:pBdr>
          <w:bottom w:val="single" w:sz="8" w:space="4" w:color="111111"/>
        </w:pBdr>
      </w:pPr>
      <w:r>
        <w:t>References</w:t>
      </w:r>
    </w:p>
    <w:p w14:paraId="2E0A5C28" w14:textId="77777777" w:rsidR="00196F12" w:rsidRDefault="00000000">
      <w:pPr>
        <w:spacing w:before="90" w:after="90"/>
        <w:ind w:left="360" w:hanging="360"/>
      </w:pPr>
      <w:r>
        <w:rPr>
          <w:color w:val="111111"/>
          <w:sz w:val="18"/>
          <w:szCs w:val="18"/>
        </w:rPr>
        <w:t>[1</w:t>
      </w:r>
      <w:proofErr w:type="gramStart"/>
      <w:r>
        <w:rPr>
          <w:color w:val="111111"/>
          <w:sz w:val="18"/>
          <w:szCs w:val="18"/>
        </w:rPr>
        <w:t>]  Turk</w:t>
      </w:r>
      <w:proofErr w:type="gramEnd"/>
      <w:r>
        <w:rPr>
          <w:color w:val="111111"/>
          <w:sz w:val="18"/>
          <w:szCs w:val="18"/>
        </w:rPr>
        <w:t xml:space="preserve">, M. &amp; Pentland, A. (1991). Eigenfaces for Recognition. Journal of Cognitive Neuroscience.  </w:t>
      </w:r>
      <w:hyperlink r:id="rId10" w:history="1">
        <w:r>
          <w:rPr>
            <w:color w:val="111111"/>
            <w:sz w:val="18"/>
            <w:szCs w:val="18"/>
            <w:u w:val="single" w:color="111111"/>
          </w:rPr>
          <w:t>https://www.face-rec.org/algorithms/PCA/jcn.pdf</w:t>
        </w:r>
      </w:hyperlink>
    </w:p>
    <w:p w14:paraId="5E7E2E57" w14:textId="77777777" w:rsidR="00196F12" w:rsidRDefault="00000000">
      <w:pPr>
        <w:spacing w:before="90" w:after="90"/>
        <w:ind w:left="360" w:hanging="360"/>
      </w:pPr>
      <w:r>
        <w:rPr>
          <w:color w:val="111111"/>
          <w:sz w:val="18"/>
          <w:szCs w:val="18"/>
        </w:rPr>
        <w:t>[2</w:t>
      </w:r>
      <w:proofErr w:type="gramStart"/>
      <w:r>
        <w:rPr>
          <w:color w:val="111111"/>
          <w:sz w:val="18"/>
          <w:szCs w:val="18"/>
        </w:rPr>
        <w:t>]  Belhumeur</w:t>
      </w:r>
      <w:proofErr w:type="gramEnd"/>
      <w:r>
        <w:rPr>
          <w:color w:val="111111"/>
          <w:sz w:val="18"/>
          <w:szCs w:val="18"/>
        </w:rPr>
        <w:t xml:space="preserve">, P.N. et al. (1997). Eigenfaces vs. </w:t>
      </w:r>
      <w:proofErr w:type="spellStart"/>
      <w:r>
        <w:rPr>
          <w:color w:val="111111"/>
          <w:sz w:val="18"/>
          <w:szCs w:val="18"/>
        </w:rPr>
        <w:t>Fisherfaces</w:t>
      </w:r>
      <w:proofErr w:type="spellEnd"/>
      <w:r>
        <w:rPr>
          <w:color w:val="111111"/>
          <w:sz w:val="18"/>
          <w:szCs w:val="18"/>
        </w:rPr>
        <w:t xml:space="preserve">. IEEE TPAMI, 19(7).  </w:t>
      </w:r>
      <w:hyperlink r:id="rId11" w:history="1">
        <w:r>
          <w:rPr>
            <w:color w:val="111111"/>
            <w:sz w:val="18"/>
            <w:szCs w:val="18"/>
            <w:u w:val="single" w:color="111111"/>
          </w:rPr>
          <w:t>https://cseweb.ucsd.edu/classes/wi14/cse152-a/fisherface-pami97.pdf</w:t>
        </w:r>
      </w:hyperlink>
    </w:p>
    <w:p w14:paraId="29C4A835" w14:textId="77777777" w:rsidR="00196F12" w:rsidRDefault="00000000">
      <w:pPr>
        <w:spacing w:before="90" w:after="90"/>
        <w:ind w:left="360" w:hanging="360"/>
      </w:pPr>
      <w:r>
        <w:rPr>
          <w:color w:val="111111"/>
          <w:sz w:val="18"/>
          <w:szCs w:val="18"/>
        </w:rPr>
        <w:t>[3</w:t>
      </w:r>
      <w:proofErr w:type="gramStart"/>
      <w:r>
        <w:rPr>
          <w:color w:val="111111"/>
          <w:sz w:val="18"/>
          <w:szCs w:val="18"/>
        </w:rPr>
        <w:t>]  Fernandes</w:t>
      </w:r>
      <w:proofErr w:type="gramEnd"/>
      <w:r>
        <w:rPr>
          <w:color w:val="111111"/>
          <w:sz w:val="18"/>
          <w:szCs w:val="18"/>
        </w:rPr>
        <w:t xml:space="preserve">, S. &amp; Bala, J. (2013). Performance Analysis of PCA-based and LDA-based Algorithms. IJSPS.  </w:t>
      </w:r>
      <w:hyperlink r:id="rId12" w:history="1">
        <w:r>
          <w:rPr>
            <w:color w:val="111111"/>
            <w:sz w:val="18"/>
            <w:szCs w:val="18"/>
            <w:u w:val="single" w:color="111111"/>
          </w:rPr>
          <w:t>https://www.ijsps.com/uploadfile/2013/0710/20130710102819428.pdf</w:t>
        </w:r>
      </w:hyperlink>
    </w:p>
    <w:p w14:paraId="7875C29B" w14:textId="77777777" w:rsidR="00196F12" w:rsidRDefault="00000000">
      <w:pPr>
        <w:spacing w:before="90" w:after="90"/>
        <w:ind w:left="360" w:hanging="360"/>
      </w:pPr>
      <w:r>
        <w:rPr>
          <w:color w:val="111111"/>
          <w:sz w:val="18"/>
          <w:szCs w:val="18"/>
        </w:rPr>
        <w:t>[4</w:t>
      </w:r>
      <w:proofErr w:type="gramStart"/>
      <w:r>
        <w:rPr>
          <w:color w:val="111111"/>
          <w:sz w:val="18"/>
          <w:szCs w:val="18"/>
        </w:rPr>
        <w:t xml:space="preserve">]  </w:t>
      </w:r>
      <w:proofErr w:type="spellStart"/>
      <w:r>
        <w:rPr>
          <w:color w:val="111111"/>
          <w:sz w:val="18"/>
          <w:szCs w:val="18"/>
        </w:rPr>
        <w:t>Nemavhola</w:t>
      </w:r>
      <w:proofErr w:type="spellEnd"/>
      <w:proofErr w:type="gramEnd"/>
      <w:r>
        <w:rPr>
          <w:color w:val="111111"/>
          <w:sz w:val="18"/>
          <w:szCs w:val="18"/>
        </w:rPr>
        <w:t xml:space="preserve">, A. et al. (2025). Systematic Review of CNN Architectures for Face Recognition. Information, 16(2).  </w:t>
      </w:r>
      <w:hyperlink r:id="rId13" w:history="1">
        <w:r>
          <w:rPr>
            <w:color w:val="111111"/>
            <w:sz w:val="18"/>
            <w:szCs w:val="18"/>
            <w:u w:val="single" w:color="111111"/>
          </w:rPr>
          <w:t>https://www.mdpi.com/2078-2489/16/2/107</w:t>
        </w:r>
      </w:hyperlink>
    </w:p>
    <w:p w14:paraId="58B7ADD7" w14:textId="77777777" w:rsidR="00196F12" w:rsidRDefault="00000000">
      <w:pPr>
        <w:spacing w:before="90" w:after="90"/>
        <w:ind w:left="360" w:hanging="360"/>
      </w:pPr>
      <w:r>
        <w:rPr>
          <w:color w:val="111111"/>
          <w:sz w:val="18"/>
          <w:szCs w:val="18"/>
        </w:rPr>
        <w:t>[5</w:t>
      </w:r>
      <w:proofErr w:type="gramStart"/>
      <w:r>
        <w:rPr>
          <w:color w:val="111111"/>
          <w:sz w:val="18"/>
          <w:szCs w:val="18"/>
        </w:rPr>
        <w:t>]  Singh</w:t>
      </w:r>
      <w:proofErr w:type="gramEnd"/>
      <w:r>
        <w:rPr>
          <w:color w:val="111111"/>
          <w:sz w:val="18"/>
          <w:szCs w:val="18"/>
        </w:rPr>
        <w:t xml:space="preserve">, S. et al. (2018). Techniques and Challenges of Face Recognition. Procedia Computer Science.  </w:t>
      </w:r>
      <w:hyperlink r:id="rId14" w:history="1">
        <w:r>
          <w:rPr>
            <w:color w:val="111111"/>
            <w:sz w:val="18"/>
            <w:szCs w:val="18"/>
            <w:u w:val="single" w:color="111111"/>
          </w:rPr>
          <w:t>https://www.sciencedirect.com/science/article/pii/S1877050918321252</w:t>
        </w:r>
      </w:hyperlink>
    </w:p>
    <w:sectPr w:rsidR="00196F12">
      <w:headerReference w:type="default" r:id="rId15"/>
      <w:footerReference w:type="default" r:id="rId16"/>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C2BB9" w14:textId="77777777" w:rsidR="006A12F9" w:rsidRDefault="006A12F9">
      <w:r>
        <w:separator/>
      </w:r>
    </w:p>
  </w:endnote>
  <w:endnote w:type="continuationSeparator" w:id="0">
    <w:p w14:paraId="32FF083C" w14:textId="77777777" w:rsidR="006A12F9" w:rsidRDefault="006A1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4FD4" w14:textId="77777777" w:rsidR="00196F12" w:rsidRDefault="00000000">
    <w:pPr>
      <w:pBdr>
        <w:top w:val="single" w:sz="4" w:space="2" w:color="AAAAAA"/>
      </w:pBdr>
      <w:jc w:val="center"/>
    </w:pPr>
    <w:r>
      <w:rPr>
        <w:color w:val="AAAAAA"/>
        <w:sz w:val="18"/>
        <w:szCs w:val="18"/>
      </w:rPr>
      <w:fldChar w:fldCharType="begin"/>
    </w:r>
    <w:r>
      <w:rPr>
        <w:color w:val="AAAAAA"/>
        <w:sz w:val="18"/>
        <w:szCs w:val="18"/>
      </w:rPr>
      <w:instrText>PAGE</w:instrText>
    </w:r>
    <w:r>
      <w:rPr>
        <w:color w:val="AAAAAA"/>
        <w:sz w:val="18"/>
        <w:szCs w:val="18"/>
      </w:rPr>
      <w:fldChar w:fldCharType="separate"/>
    </w:r>
    <w:r w:rsidR="00F40733">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1CA00" w14:textId="77777777" w:rsidR="006A12F9" w:rsidRDefault="006A12F9">
      <w:r>
        <w:separator/>
      </w:r>
    </w:p>
  </w:footnote>
  <w:footnote w:type="continuationSeparator" w:id="0">
    <w:p w14:paraId="7E162F26" w14:textId="77777777" w:rsidR="006A12F9" w:rsidRDefault="006A1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3972" w14:textId="77777777" w:rsidR="00196F12" w:rsidRDefault="00000000">
    <w:pPr>
      <w:pBdr>
        <w:bottom w:val="single" w:sz="4" w:space="2" w:color="AAAAAA"/>
      </w:pBdr>
      <w:jc w:val="right"/>
    </w:pPr>
    <w:r>
      <w:rPr>
        <w:i/>
        <w:iCs/>
        <w:color w:val="AAAAAA"/>
        <w:sz w:val="18"/>
        <w:szCs w:val="18"/>
      </w:rPr>
      <w:t>PCA and LDA for Face Recognition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606"/>
    <w:multiLevelType w:val="hybridMultilevel"/>
    <w:tmpl w:val="D6C2555C"/>
    <w:lvl w:ilvl="0" w:tplc="45A8C2E2">
      <w:start w:val="1"/>
      <w:numFmt w:val="bullet"/>
      <w:lvlText w:val="•"/>
      <w:lvlJc w:val="left"/>
      <w:pPr>
        <w:ind w:left="720" w:hanging="360"/>
      </w:pPr>
    </w:lvl>
    <w:lvl w:ilvl="1" w:tplc="F460A8E2">
      <w:numFmt w:val="decimal"/>
      <w:lvlText w:val=""/>
      <w:lvlJc w:val="left"/>
    </w:lvl>
    <w:lvl w:ilvl="2" w:tplc="5ED8E41A">
      <w:numFmt w:val="decimal"/>
      <w:lvlText w:val=""/>
      <w:lvlJc w:val="left"/>
    </w:lvl>
    <w:lvl w:ilvl="3" w:tplc="378C3D60">
      <w:numFmt w:val="decimal"/>
      <w:lvlText w:val=""/>
      <w:lvlJc w:val="left"/>
    </w:lvl>
    <w:lvl w:ilvl="4" w:tplc="1DEC471A">
      <w:numFmt w:val="decimal"/>
      <w:lvlText w:val=""/>
      <w:lvlJc w:val="left"/>
    </w:lvl>
    <w:lvl w:ilvl="5" w:tplc="FD6A71E6">
      <w:numFmt w:val="decimal"/>
      <w:lvlText w:val=""/>
      <w:lvlJc w:val="left"/>
    </w:lvl>
    <w:lvl w:ilvl="6" w:tplc="F22888CC">
      <w:numFmt w:val="decimal"/>
      <w:lvlText w:val=""/>
      <w:lvlJc w:val="left"/>
    </w:lvl>
    <w:lvl w:ilvl="7" w:tplc="7D385FE6">
      <w:numFmt w:val="decimal"/>
      <w:lvlText w:val=""/>
      <w:lvlJc w:val="left"/>
    </w:lvl>
    <w:lvl w:ilvl="8" w:tplc="4F200AF0">
      <w:numFmt w:val="decimal"/>
      <w:lvlText w:val=""/>
      <w:lvlJc w:val="left"/>
    </w:lvl>
  </w:abstractNum>
  <w:abstractNum w:abstractNumId="1" w15:restartNumberingAfterBreak="0">
    <w:nsid w:val="5CA74FAF"/>
    <w:multiLevelType w:val="hybridMultilevel"/>
    <w:tmpl w:val="49DE58D6"/>
    <w:lvl w:ilvl="0" w:tplc="805A8A06">
      <w:start w:val="1"/>
      <w:numFmt w:val="bullet"/>
      <w:lvlText w:val="●"/>
      <w:lvlJc w:val="left"/>
      <w:pPr>
        <w:ind w:left="720" w:hanging="360"/>
      </w:pPr>
    </w:lvl>
    <w:lvl w:ilvl="1" w:tplc="9CD05A44">
      <w:start w:val="1"/>
      <w:numFmt w:val="bullet"/>
      <w:lvlText w:val="○"/>
      <w:lvlJc w:val="left"/>
      <w:pPr>
        <w:ind w:left="1440" w:hanging="360"/>
      </w:pPr>
    </w:lvl>
    <w:lvl w:ilvl="2" w:tplc="767E4BE2">
      <w:start w:val="1"/>
      <w:numFmt w:val="bullet"/>
      <w:lvlText w:val="■"/>
      <w:lvlJc w:val="left"/>
      <w:pPr>
        <w:ind w:left="2160" w:hanging="360"/>
      </w:pPr>
    </w:lvl>
    <w:lvl w:ilvl="3" w:tplc="ACBE6D92">
      <w:start w:val="1"/>
      <w:numFmt w:val="bullet"/>
      <w:lvlText w:val="●"/>
      <w:lvlJc w:val="left"/>
      <w:pPr>
        <w:ind w:left="2880" w:hanging="360"/>
      </w:pPr>
    </w:lvl>
    <w:lvl w:ilvl="4" w:tplc="F22C07A8">
      <w:start w:val="1"/>
      <w:numFmt w:val="bullet"/>
      <w:lvlText w:val="○"/>
      <w:lvlJc w:val="left"/>
      <w:pPr>
        <w:ind w:left="3600" w:hanging="360"/>
      </w:pPr>
    </w:lvl>
    <w:lvl w:ilvl="5" w:tplc="2E38A95E">
      <w:start w:val="1"/>
      <w:numFmt w:val="bullet"/>
      <w:lvlText w:val="■"/>
      <w:lvlJc w:val="left"/>
      <w:pPr>
        <w:ind w:left="4320" w:hanging="360"/>
      </w:pPr>
    </w:lvl>
    <w:lvl w:ilvl="6" w:tplc="FFB6B45A">
      <w:start w:val="1"/>
      <w:numFmt w:val="bullet"/>
      <w:lvlText w:val="●"/>
      <w:lvlJc w:val="left"/>
      <w:pPr>
        <w:ind w:left="5040" w:hanging="360"/>
      </w:pPr>
    </w:lvl>
    <w:lvl w:ilvl="7" w:tplc="908AA566">
      <w:start w:val="1"/>
      <w:numFmt w:val="bullet"/>
      <w:lvlText w:val="●"/>
      <w:lvlJc w:val="left"/>
      <w:pPr>
        <w:ind w:left="5760" w:hanging="360"/>
      </w:pPr>
    </w:lvl>
    <w:lvl w:ilvl="8" w:tplc="B3D235C6">
      <w:start w:val="1"/>
      <w:numFmt w:val="bullet"/>
      <w:lvlText w:val="●"/>
      <w:lvlJc w:val="left"/>
      <w:pPr>
        <w:ind w:left="6480" w:hanging="360"/>
      </w:pPr>
    </w:lvl>
  </w:abstractNum>
  <w:num w:numId="1" w16cid:durableId="1745563445">
    <w:abstractNumId w:val="1"/>
    <w:lvlOverride w:ilvl="0">
      <w:startOverride w:val="1"/>
    </w:lvlOverride>
  </w:num>
  <w:num w:numId="2" w16cid:durableId="2124835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F12"/>
    <w:rsid w:val="00196F12"/>
    <w:rsid w:val="00502873"/>
    <w:rsid w:val="006A12F9"/>
    <w:rsid w:val="00F407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B788"/>
  <w15:docId w15:val="{41765956-F1BA-473E-BA21-5F557D83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b/>
      <w:bCs/>
      <w:color w:val="111111"/>
      <w:sz w:val="28"/>
      <w:szCs w:val="28"/>
    </w:rPr>
  </w:style>
  <w:style w:type="paragraph" w:styleId="Heading2">
    <w:name w:val="heading 2"/>
    <w:uiPriority w:val="9"/>
    <w:unhideWhenUsed/>
    <w:qFormat/>
    <w:pPr>
      <w:spacing w:before="260" w:after="100"/>
      <w:outlineLvl w:val="1"/>
    </w:pPr>
    <w:rPr>
      <w:b/>
      <w:bCs/>
      <w:color w:val="111111"/>
      <w:sz w:val="23"/>
      <w:szCs w:val="23"/>
    </w:rPr>
  </w:style>
  <w:style w:type="paragraph" w:styleId="Heading3">
    <w:name w:val="heading 3"/>
    <w:uiPriority w:val="9"/>
    <w:semiHidden/>
    <w:unhideWhenUsed/>
    <w:qFormat/>
    <w:pPr>
      <w:spacing w:before="180" w:after="80"/>
      <w:outlineLvl w:val="2"/>
    </w:pPr>
    <w:rPr>
      <w:b/>
      <w:bCs/>
      <w:i/>
      <w:iCs/>
      <w:color w:val="1111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dpi.com/2078-2489/16/2/10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jsps.com/uploadfile/2013/0710/20130710102819428.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eweb.ucsd.edu/classes/wi14/cse152-a/fisherface-pami97.pd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face-rec.org/algorithms/PCA/jcn.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ciencedirect.com/science/article/pii/S1877050918321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1091</Words>
  <Characters>6220</Characters>
  <Application>Microsoft Office Word</Application>
  <DocSecurity>0</DocSecurity>
  <Lines>51</Lines>
  <Paragraphs>14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2026-06-16T21:29:00Z</dcterms:created>
  <dcterms:modified xsi:type="dcterms:W3CDTF">2026-06-16T21:37:00Z</dcterms:modified>
</cp:coreProperties>
</file>