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31A14" w14:textId="77777777" w:rsidR="00F90AC8" w:rsidRDefault="00000000">
      <w:pPr>
        <w:spacing w:before="600" w:after="160"/>
        <w:jc w:val="center"/>
      </w:pPr>
      <w:r>
        <w:rPr>
          <w:b/>
          <w:bCs/>
          <w:sz w:val="40"/>
          <w:szCs w:val="40"/>
        </w:rPr>
        <w:t>Comparative Analysis of Internal Clustering Validation Indices</w:t>
      </w:r>
    </w:p>
    <w:p w14:paraId="47DC330E" w14:textId="77777777" w:rsidR="00F90AC8" w:rsidRDefault="00000000">
      <w:pPr>
        <w:spacing w:after="120"/>
        <w:jc w:val="center"/>
      </w:pPr>
      <w:r>
        <w:rPr>
          <w:i/>
          <w:iCs/>
          <w:color w:val="444444"/>
          <w:sz w:val="22"/>
          <w:szCs w:val="22"/>
        </w:rPr>
        <w:t>Dunn Index, Silhouette Coefficient, Calinski-Harabasz, Davies-Bouldin, and the Elbow Method</w:t>
      </w:r>
    </w:p>
    <w:p w14:paraId="659F7CFF" w14:textId="77777777" w:rsidR="00F90AC8" w:rsidRDefault="00000000">
      <w:pPr>
        <w:spacing w:after="600"/>
        <w:jc w:val="center"/>
      </w:pPr>
      <w:r>
        <w:rPr>
          <w:color w:val="444444"/>
          <w:sz w:val="20"/>
          <w:szCs w:val="20"/>
        </w:rPr>
        <w:t>A Comprehensive Research Paper with Empirical Evaluation</w:t>
      </w:r>
    </w:p>
    <w:p w14:paraId="328B2578" w14:textId="77777777" w:rsidR="00F90AC8" w:rsidRDefault="00F90AC8">
      <w:pPr>
        <w:pBdr>
          <w:bottom w:val="single" w:sz="4" w:space="1" w:color="888888"/>
        </w:pBdr>
        <w:spacing w:before="120" w:after="120"/>
      </w:pPr>
    </w:p>
    <w:p w14:paraId="1F29367A" w14:textId="77777777" w:rsidR="00F90AC8" w:rsidRDefault="00000000">
      <w:pPr>
        <w:pStyle w:val="Heading1"/>
        <w:pBdr>
          <w:bottom w:val="single" w:sz="6" w:space="4" w:color="333333"/>
        </w:pBdr>
      </w:pPr>
      <w:r>
        <w:t>Abstract</w:t>
      </w:r>
    </w:p>
    <w:p w14:paraId="0B1B9D8C" w14:textId="77777777" w:rsidR="00F90AC8" w:rsidRDefault="00000000">
      <w:pPr>
        <w:spacing w:before="60" w:after="80" w:line="276" w:lineRule="auto"/>
        <w:jc w:val="both"/>
      </w:pPr>
      <w:r>
        <w:t xml:space="preserve">Internal clustering validation indices are essential tools for assessing the quality of unsupervised clustering results without relying on external ground-truth labels. This paper provides a comprehensive comparative analysis of five widely used indices: the Elbow Method (heuristic), Dunn Index, Silhouette Coefficient, </w:t>
      </w:r>
      <w:proofErr w:type="spellStart"/>
      <w:r>
        <w:t>Calinski-Harabasz</w:t>
      </w:r>
      <w:proofErr w:type="spellEnd"/>
      <w:r>
        <w:t xml:space="preserve"> Index, and Davies-Bouldin Index. Each method is formally defined with mathematical formulations, strengths, limitations, and computational characteristics. Practical experiments using the Iris dataset and synthetic Gaussian blobs are presented with reproducible Python code. Empirical evidence from a 2025 </w:t>
      </w:r>
      <w:proofErr w:type="spellStart"/>
      <w:r>
        <w:t>PeerJ</w:t>
      </w:r>
      <w:proofErr w:type="spellEnd"/>
      <w:r>
        <w:t xml:space="preserve"> Computer Science study is incorporated to highlight performance differences on convex and real-world data. Actionable recommendations for best-practice usage are provided for researchers and practitioners.</w:t>
      </w:r>
    </w:p>
    <w:p w14:paraId="3D77B251" w14:textId="77777777" w:rsidR="00F90AC8" w:rsidRDefault="00F90AC8">
      <w:pPr>
        <w:pBdr>
          <w:bottom w:val="single" w:sz="4" w:space="1" w:color="888888"/>
        </w:pBdr>
        <w:spacing w:before="120" w:after="120"/>
      </w:pPr>
    </w:p>
    <w:p w14:paraId="327B97C1" w14:textId="77777777" w:rsidR="00972C39" w:rsidRDefault="00972C39">
      <w:pPr>
        <w:pStyle w:val="Heading1"/>
        <w:pBdr>
          <w:bottom w:val="single" w:sz="6" w:space="4" w:color="333333"/>
        </w:pBdr>
        <w:rPr>
          <w:rtl/>
        </w:rPr>
      </w:pPr>
    </w:p>
    <w:p w14:paraId="3811F773" w14:textId="77777777" w:rsidR="00972C39" w:rsidRDefault="00972C39">
      <w:pPr>
        <w:pStyle w:val="Heading1"/>
        <w:pBdr>
          <w:bottom w:val="single" w:sz="6" w:space="4" w:color="333333"/>
        </w:pBdr>
        <w:rPr>
          <w:rtl/>
        </w:rPr>
      </w:pPr>
    </w:p>
    <w:p w14:paraId="7E725165" w14:textId="77777777" w:rsidR="00972C39" w:rsidRDefault="00972C39">
      <w:pPr>
        <w:pStyle w:val="Heading1"/>
        <w:pBdr>
          <w:bottom w:val="single" w:sz="6" w:space="4" w:color="333333"/>
        </w:pBdr>
        <w:rPr>
          <w:rtl/>
        </w:rPr>
      </w:pPr>
    </w:p>
    <w:p w14:paraId="3D8F1B1D" w14:textId="77777777" w:rsidR="00972C39" w:rsidRDefault="00972C39">
      <w:pPr>
        <w:pStyle w:val="Heading1"/>
        <w:pBdr>
          <w:bottom w:val="single" w:sz="6" w:space="4" w:color="333333"/>
        </w:pBdr>
        <w:rPr>
          <w:rtl/>
        </w:rPr>
      </w:pPr>
    </w:p>
    <w:p w14:paraId="1C00EBDC" w14:textId="77777777" w:rsidR="00972C39" w:rsidRDefault="00972C39">
      <w:pPr>
        <w:pStyle w:val="Heading1"/>
        <w:pBdr>
          <w:bottom w:val="single" w:sz="6" w:space="4" w:color="333333"/>
        </w:pBdr>
        <w:rPr>
          <w:rtl/>
        </w:rPr>
      </w:pPr>
    </w:p>
    <w:p w14:paraId="41BFB78E" w14:textId="77777777" w:rsidR="00972C39" w:rsidRDefault="00972C39">
      <w:pPr>
        <w:pStyle w:val="Heading1"/>
        <w:pBdr>
          <w:bottom w:val="single" w:sz="6" w:space="4" w:color="333333"/>
        </w:pBdr>
        <w:rPr>
          <w:rtl/>
        </w:rPr>
      </w:pPr>
    </w:p>
    <w:p w14:paraId="3844A7B4" w14:textId="77777777" w:rsidR="00972C39" w:rsidRDefault="00972C39">
      <w:pPr>
        <w:pStyle w:val="Heading1"/>
        <w:pBdr>
          <w:bottom w:val="single" w:sz="6" w:space="4" w:color="333333"/>
        </w:pBdr>
        <w:rPr>
          <w:rtl/>
        </w:rPr>
      </w:pPr>
    </w:p>
    <w:p w14:paraId="57D7F1B1" w14:textId="77777777" w:rsidR="00972C39" w:rsidRDefault="00972C39">
      <w:pPr>
        <w:pStyle w:val="Heading1"/>
        <w:pBdr>
          <w:bottom w:val="single" w:sz="6" w:space="4" w:color="333333"/>
        </w:pBdr>
        <w:rPr>
          <w:rtl/>
        </w:rPr>
      </w:pPr>
    </w:p>
    <w:p w14:paraId="05E286B3" w14:textId="77777777" w:rsidR="00972C39" w:rsidRDefault="00972C39">
      <w:pPr>
        <w:pStyle w:val="Heading1"/>
        <w:pBdr>
          <w:bottom w:val="single" w:sz="6" w:space="4" w:color="333333"/>
        </w:pBdr>
        <w:rPr>
          <w:rtl/>
        </w:rPr>
      </w:pPr>
    </w:p>
    <w:p w14:paraId="2EDAEB80" w14:textId="77777777" w:rsidR="00972C39" w:rsidRDefault="00972C39">
      <w:pPr>
        <w:pStyle w:val="Heading1"/>
        <w:pBdr>
          <w:bottom w:val="single" w:sz="6" w:space="4" w:color="333333"/>
        </w:pBdr>
        <w:rPr>
          <w:rtl/>
        </w:rPr>
      </w:pPr>
    </w:p>
    <w:p w14:paraId="70BF3AC8" w14:textId="77777777" w:rsidR="00972C39" w:rsidRDefault="00972C39">
      <w:pPr>
        <w:pStyle w:val="Heading1"/>
        <w:pBdr>
          <w:bottom w:val="single" w:sz="6" w:space="4" w:color="333333"/>
        </w:pBdr>
        <w:rPr>
          <w:rtl/>
        </w:rPr>
      </w:pPr>
    </w:p>
    <w:p w14:paraId="5246060D" w14:textId="77777777" w:rsidR="00972C39" w:rsidRDefault="00972C39">
      <w:pPr>
        <w:pStyle w:val="Heading1"/>
        <w:pBdr>
          <w:bottom w:val="single" w:sz="6" w:space="4" w:color="333333"/>
        </w:pBdr>
        <w:rPr>
          <w:rtl/>
        </w:rPr>
      </w:pPr>
    </w:p>
    <w:p w14:paraId="34009894" w14:textId="733EFB92" w:rsidR="00F90AC8" w:rsidRDefault="00000000">
      <w:pPr>
        <w:pStyle w:val="Heading1"/>
        <w:pBdr>
          <w:bottom w:val="single" w:sz="6" w:space="4" w:color="333333"/>
        </w:pBdr>
      </w:pPr>
      <w:r>
        <w:t>1. Introduction</w:t>
      </w:r>
    </w:p>
    <w:p w14:paraId="15EA46BA" w14:textId="77777777" w:rsidR="00F90AC8" w:rsidRDefault="00000000">
      <w:pPr>
        <w:spacing w:before="60" w:after="80" w:line="276" w:lineRule="auto"/>
        <w:jc w:val="both"/>
      </w:pPr>
      <w:r>
        <w:t>Clustering is a fundamental unsupervised machine-learning paradigm applied across bioinformatics, image segmentation, customer analytics, anomaly detection, and natural language processing. The central challenge of selecting the optimal number of clusters k remains an open problem, especially when no ground-truth labels are available. Internal validation indices address this challenge by quantifying two complementary properties: compactness (how tightly points are packed within each cluster) and separation (how well-distinguished different clusters are from one another).</w:t>
      </w:r>
    </w:p>
    <w:p w14:paraId="57A802B1" w14:textId="77777777" w:rsidR="00F90AC8" w:rsidRDefault="00000000">
      <w:pPr>
        <w:spacing w:before="60" w:after="80" w:line="276" w:lineRule="auto"/>
        <w:jc w:val="both"/>
      </w:pPr>
      <w:r>
        <w:t xml:space="preserve">This paper systematically examines five of the most popular internal indices. For each method we present the formal definition, mathematical formulation, computational complexity, and known failure modes. We complement the theoretical analysis with empirical experiments on standard benchmark datasets, and we synthesize findings from Chicco and </w:t>
      </w:r>
      <w:proofErr w:type="spellStart"/>
      <w:r>
        <w:t>Campagner</w:t>
      </w:r>
      <w:proofErr w:type="spellEnd"/>
      <w:r>
        <w:t xml:space="preserve"> (2025), whose large-scale study provides rigorous quantitative comparisons across diverse dataset types.</w:t>
      </w:r>
    </w:p>
    <w:p w14:paraId="637C382F" w14:textId="77777777" w:rsidR="00F90AC8" w:rsidRDefault="00F90AC8">
      <w:pPr>
        <w:spacing w:after="80"/>
      </w:pPr>
    </w:p>
    <w:p w14:paraId="2F8454E4" w14:textId="77777777" w:rsidR="00F90AC8" w:rsidRDefault="00000000">
      <w:pPr>
        <w:pStyle w:val="Heading1"/>
        <w:pBdr>
          <w:bottom w:val="single" w:sz="6" w:space="4" w:color="333333"/>
        </w:pBdr>
      </w:pPr>
      <w:r>
        <w:t>2. Internal Clustering Validation Indices</w:t>
      </w:r>
    </w:p>
    <w:p w14:paraId="02B9854D" w14:textId="77777777" w:rsidR="00F90AC8" w:rsidRDefault="00000000">
      <w:pPr>
        <w:pStyle w:val="Heading2"/>
      </w:pPr>
      <w:proofErr w:type="gramStart"/>
      <w:r>
        <w:t>2.1  Elbow</w:t>
      </w:r>
      <w:proofErr w:type="gramEnd"/>
      <w:r>
        <w:t xml:space="preserve"> Method</w:t>
      </w:r>
    </w:p>
    <w:p w14:paraId="223B7F9D" w14:textId="77777777" w:rsidR="00F90AC8" w:rsidRDefault="00000000">
      <w:pPr>
        <w:spacing w:before="60" w:after="80" w:line="276" w:lineRule="auto"/>
        <w:jc w:val="both"/>
      </w:pPr>
      <w:r>
        <w:t>The Elbow Method is a heuristic applicable primarily to centroid-based algorithms such as k-Means. It plots the Within-Cluster Sum of Squares (WCSS, also called inertia) against increasing values of k. The "elbow" — the point where the marginal gain in WCSS reduction diminishes sharply — is interpreted as the optimal k.</w:t>
      </w:r>
    </w:p>
    <w:p w14:paraId="5F9B7D0E" w14:textId="77777777" w:rsidR="00F90AC8" w:rsidRDefault="00000000">
      <w:pPr>
        <w:spacing w:before="60" w:after="80" w:line="276" w:lineRule="auto"/>
        <w:jc w:val="both"/>
      </w:pPr>
      <w:r>
        <w:rPr>
          <w:b/>
          <w:bCs/>
        </w:rPr>
        <w:t xml:space="preserve">Formula:  </w:t>
      </w:r>
      <w:r>
        <w:t xml:space="preserve">WCSS(k) = </w:t>
      </w:r>
      <w:proofErr w:type="spellStart"/>
      <w:r>
        <w:t>Σ</w:t>
      </w:r>
      <w:r>
        <w:rPr>
          <w:vertAlign w:val="subscript"/>
        </w:rPr>
        <w:t>ki</w:t>
      </w:r>
      <w:proofErr w:type="spellEnd"/>
      <w:r>
        <w:rPr>
          <w:vertAlign w:val="subscript"/>
        </w:rPr>
        <w:t>=</w:t>
      </w:r>
      <w:proofErr w:type="gramStart"/>
      <w:r>
        <w:rPr>
          <w:vertAlign w:val="subscript"/>
        </w:rPr>
        <w:t>1</w:t>
      </w:r>
      <w:r>
        <w:t xml:space="preserve">  </w:t>
      </w:r>
      <w:proofErr w:type="spellStart"/>
      <w:r>
        <w:t>Σ</w:t>
      </w:r>
      <w:proofErr w:type="gramEnd"/>
      <w:r>
        <w:rPr>
          <w:vertAlign w:val="subscript"/>
        </w:rPr>
        <w:t>x</w:t>
      </w:r>
      <w:proofErr w:type="spellEnd"/>
      <w:r>
        <w:rPr>
          <w:vertAlign w:val="subscript"/>
        </w:rPr>
        <w:t xml:space="preserve"> ∈ </w:t>
      </w:r>
      <w:proofErr w:type="gramStart"/>
      <w:r>
        <w:rPr>
          <w:vertAlign w:val="subscript"/>
        </w:rPr>
        <w:t>Ci</w:t>
      </w:r>
      <w:r>
        <w:t xml:space="preserve">  |</w:t>
      </w:r>
      <w:proofErr w:type="gramEnd"/>
      <w:r>
        <w:t xml:space="preserve">|x − </w:t>
      </w:r>
      <w:proofErr w:type="spellStart"/>
      <w:r>
        <w:t>μi</w:t>
      </w:r>
      <w:proofErr w:type="spellEnd"/>
      <w:r>
        <w:t>||</w:t>
      </w:r>
      <w:r>
        <w:rPr>
          <w:vertAlign w:val="superscript"/>
        </w:rPr>
        <w:t>2</w:t>
      </w:r>
    </w:p>
    <w:p w14:paraId="6B197CD1" w14:textId="77777777" w:rsidR="00F90AC8" w:rsidRDefault="00000000">
      <w:pPr>
        <w:spacing w:before="60" w:after="80" w:line="276" w:lineRule="auto"/>
        <w:jc w:val="both"/>
      </w:pPr>
      <w:r>
        <w:rPr>
          <w:b/>
          <w:bCs/>
        </w:rPr>
        <w:t xml:space="preserve">Strengths: </w:t>
      </w:r>
      <w:r>
        <w:t>Computationally efficient O(</w:t>
      </w:r>
      <w:proofErr w:type="spellStart"/>
      <w:r>
        <w:t>nk</w:t>
      </w:r>
      <w:proofErr w:type="spellEnd"/>
      <w:r>
        <w:t xml:space="preserve">); intuitive; easy to visualize.  </w:t>
      </w:r>
      <w:r>
        <w:rPr>
          <w:b/>
          <w:bCs/>
        </w:rPr>
        <w:t xml:space="preserve">Limitations: </w:t>
      </w:r>
      <w:r>
        <w:t>Subjective visual interpretation; no elbow may exist on real-world data; ignores inter-cluster separation; confined to centroid-based algorithms.</w:t>
      </w:r>
    </w:p>
    <w:p w14:paraId="4BD64BFF" w14:textId="77777777" w:rsidR="00F90AC8" w:rsidRDefault="00000000">
      <w:pPr>
        <w:pStyle w:val="Heading2"/>
      </w:pPr>
      <w:proofErr w:type="gramStart"/>
      <w:r>
        <w:t>2.2  Dunn</w:t>
      </w:r>
      <w:proofErr w:type="gramEnd"/>
      <w:r>
        <w:t xml:space="preserve"> Index</w:t>
      </w:r>
    </w:p>
    <w:p w14:paraId="772E4907" w14:textId="77777777" w:rsidR="00F90AC8" w:rsidRDefault="00000000">
      <w:pPr>
        <w:spacing w:before="60" w:after="80" w:line="276" w:lineRule="auto"/>
        <w:jc w:val="both"/>
      </w:pPr>
      <w:r>
        <w:t>Proposed by Dunn (1974), this index measures the ratio of the minimum inter-cluster distance to the maximum intra-cluster diameter. Higher values indicate more compact, well-separated clusters.</w:t>
      </w:r>
    </w:p>
    <w:p w14:paraId="45B4981D" w14:textId="77777777" w:rsidR="00F90AC8" w:rsidRDefault="00000000">
      <w:pPr>
        <w:spacing w:before="60" w:after="80" w:line="276" w:lineRule="auto"/>
        <w:jc w:val="both"/>
      </w:pPr>
      <w:r>
        <w:rPr>
          <w:b/>
          <w:bCs/>
        </w:rPr>
        <w:t xml:space="preserve">Formula:  </w:t>
      </w:r>
      <w:r>
        <w:t xml:space="preserve">DI(k) = </w:t>
      </w:r>
      <w:proofErr w:type="spellStart"/>
      <w:r>
        <w:t>min</w:t>
      </w:r>
      <w:r>
        <w:rPr>
          <w:vertAlign w:val="subscript"/>
        </w:rPr>
        <w:t>i≠j</w:t>
      </w:r>
      <w:proofErr w:type="spellEnd"/>
      <w:r>
        <w:t xml:space="preserve"> </w:t>
      </w:r>
      <w:proofErr w:type="gramStart"/>
      <w:r>
        <w:t>δ(</w:t>
      </w:r>
      <w:proofErr w:type="gramEnd"/>
      <w:r>
        <w:t xml:space="preserve">Ci, </w:t>
      </w:r>
      <w:proofErr w:type="spellStart"/>
      <w:r>
        <w:t>Cj</w:t>
      </w:r>
      <w:proofErr w:type="spellEnd"/>
      <w:r>
        <w:t xml:space="preserve">) / </w:t>
      </w:r>
      <w:proofErr w:type="spellStart"/>
      <w:r>
        <w:t>max</w:t>
      </w:r>
      <w:r>
        <w:rPr>
          <w:vertAlign w:val="subscript"/>
        </w:rPr>
        <w:t>m</w:t>
      </w:r>
      <w:proofErr w:type="spellEnd"/>
      <w:r>
        <w:t xml:space="preserve"> Δ(Cm)</w:t>
      </w:r>
    </w:p>
    <w:p w14:paraId="3C3C7311" w14:textId="77777777" w:rsidR="00F90AC8" w:rsidRDefault="00000000">
      <w:pPr>
        <w:spacing w:before="60" w:after="80" w:line="276" w:lineRule="auto"/>
        <w:jc w:val="both"/>
      </w:pPr>
      <w:r>
        <w:t xml:space="preserve">where </w:t>
      </w:r>
      <w:proofErr w:type="gramStart"/>
      <w:r>
        <w:t>δ(</w:t>
      </w:r>
      <w:proofErr w:type="gramEnd"/>
      <w:r>
        <w:t xml:space="preserve">Ci, </w:t>
      </w:r>
      <w:proofErr w:type="spellStart"/>
      <w:r>
        <w:t>Cj</w:t>
      </w:r>
      <w:proofErr w:type="spellEnd"/>
      <w:r>
        <w:t xml:space="preserve">) is the minimum inter-cluster distance between clusters </w:t>
      </w:r>
      <w:proofErr w:type="spellStart"/>
      <w:r>
        <w:t>i</w:t>
      </w:r>
      <w:proofErr w:type="spellEnd"/>
      <w:r>
        <w:t xml:space="preserve"> and j, and Δ(Cm) is the maximum intra-cluster diameter of cluster m.</w:t>
      </w:r>
    </w:p>
    <w:p w14:paraId="7617278B" w14:textId="77777777" w:rsidR="00F90AC8" w:rsidRDefault="00000000">
      <w:pPr>
        <w:spacing w:before="60" w:after="80" w:line="276" w:lineRule="auto"/>
        <w:jc w:val="both"/>
      </w:pPr>
      <w:r>
        <w:rPr>
          <w:b/>
          <w:bCs/>
        </w:rPr>
        <w:t xml:space="preserve">Strengths: </w:t>
      </w:r>
      <w:r>
        <w:t xml:space="preserve">Algorithm-agnostic; works with any distance metric; provides a principled compactness-separation trade-off.  </w:t>
      </w:r>
      <w:r>
        <w:rPr>
          <w:b/>
          <w:bCs/>
        </w:rPr>
        <w:t xml:space="preserve">Limitations: </w:t>
      </w:r>
      <w:r>
        <w:t>O(n²) pairwise distance computation; highly sensitive to outliers and noise.</w:t>
      </w:r>
    </w:p>
    <w:p w14:paraId="7154ED90" w14:textId="77777777" w:rsidR="00F90AC8" w:rsidRDefault="00000000">
      <w:pPr>
        <w:pStyle w:val="Heading2"/>
      </w:pPr>
      <w:proofErr w:type="gramStart"/>
      <w:r>
        <w:t>2.3  Silhouette</w:t>
      </w:r>
      <w:proofErr w:type="gramEnd"/>
      <w:r>
        <w:t xml:space="preserve"> Coefficient</w:t>
      </w:r>
    </w:p>
    <w:p w14:paraId="622AA712" w14:textId="77777777" w:rsidR="00F90AC8" w:rsidRDefault="00000000">
      <w:pPr>
        <w:spacing w:before="60" w:after="80" w:line="276" w:lineRule="auto"/>
        <w:jc w:val="both"/>
      </w:pPr>
      <w:r>
        <w:t xml:space="preserve">Introduced by </w:t>
      </w:r>
      <w:proofErr w:type="spellStart"/>
      <w:r>
        <w:t>Rousseeuw</w:t>
      </w:r>
      <w:proofErr w:type="spellEnd"/>
      <w:r>
        <w:t xml:space="preserve"> (1987), the Silhouette Coefficient quantifies how similar each point is to its own cluster relative to </w:t>
      </w:r>
      <w:proofErr w:type="spellStart"/>
      <w:r>
        <w:t>neighbouring</w:t>
      </w:r>
      <w:proofErr w:type="spellEnd"/>
      <w:r>
        <w:t xml:space="preserve"> clusters. It is one of the most widely cited indices in the clustering literature.</w:t>
      </w:r>
    </w:p>
    <w:p w14:paraId="19583DD3" w14:textId="77777777" w:rsidR="00F90AC8" w:rsidRDefault="00000000">
      <w:pPr>
        <w:spacing w:before="60" w:after="80" w:line="276" w:lineRule="auto"/>
        <w:jc w:val="both"/>
      </w:pPr>
      <w:r>
        <w:rPr>
          <w:b/>
          <w:bCs/>
        </w:rPr>
        <w:t xml:space="preserve">Formula (per point </w:t>
      </w:r>
      <w:proofErr w:type="spellStart"/>
      <w:r>
        <w:rPr>
          <w:b/>
          <w:bCs/>
        </w:rPr>
        <w:t>i</w:t>
      </w:r>
      <w:proofErr w:type="spellEnd"/>
      <w:r>
        <w:rPr>
          <w:b/>
          <w:bCs/>
        </w:rPr>
        <w:t xml:space="preserve">):  </w:t>
      </w:r>
      <w:r>
        <w:t>s(</w:t>
      </w:r>
      <w:proofErr w:type="spellStart"/>
      <w:r>
        <w:t>i</w:t>
      </w:r>
      <w:proofErr w:type="spellEnd"/>
      <w:r>
        <w:t>) = [b(</w:t>
      </w:r>
      <w:proofErr w:type="spellStart"/>
      <w:r>
        <w:t>i</w:t>
      </w:r>
      <w:proofErr w:type="spellEnd"/>
      <w:r>
        <w:t>) − a(</w:t>
      </w:r>
      <w:proofErr w:type="spellStart"/>
      <w:r>
        <w:t>i</w:t>
      </w:r>
      <w:proofErr w:type="spellEnd"/>
      <w:r>
        <w:t>)] / max(a(</w:t>
      </w:r>
      <w:proofErr w:type="spellStart"/>
      <w:r>
        <w:t>i</w:t>
      </w:r>
      <w:proofErr w:type="spellEnd"/>
      <w:r>
        <w:t>), b(</w:t>
      </w:r>
      <w:proofErr w:type="spellStart"/>
      <w:r>
        <w:t>i</w:t>
      </w:r>
      <w:proofErr w:type="spellEnd"/>
      <w:r>
        <w:t>))</w:t>
      </w:r>
    </w:p>
    <w:p w14:paraId="69488AC9" w14:textId="77777777" w:rsidR="00F90AC8" w:rsidRDefault="00000000">
      <w:pPr>
        <w:spacing w:before="60" w:after="80" w:line="276" w:lineRule="auto"/>
        <w:jc w:val="both"/>
      </w:pPr>
      <w:r>
        <w:t>where a(</w:t>
      </w:r>
      <w:proofErr w:type="spellStart"/>
      <w:r>
        <w:t>i</w:t>
      </w:r>
      <w:proofErr w:type="spellEnd"/>
      <w:r>
        <w:t>) is the mean intra-cluster distance and b(</w:t>
      </w:r>
      <w:proofErr w:type="spellStart"/>
      <w:r>
        <w:t>i</w:t>
      </w:r>
      <w:proofErr w:type="spellEnd"/>
      <w:r>
        <w:t xml:space="preserve">) is the mean distance to the nearest </w:t>
      </w:r>
      <w:proofErr w:type="spellStart"/>
      <w:r>
        <w:t>neighbouring</w:t>
      </w:r>
      <w:proofErr w:type="spellEnd"/>
      <w:r>
        <w:t xml:space="preserve"> cluster. The global score averages s(</w:t>
      </w:r>
      <w:proofErr w:type="spellStart"/>
      <w:r>
        <w:t>i</w:t>
      </w:r>
      <w:proofErr w:type="spellEnd"/>
      <w:r>
        <w:t>) over all points, ranging from −1 (misclassified) to +1 (perfectly assigned).</w:t>
      </w:r>
    </w:p>
    <w:p w14:paraId="1F0137A2" w14:textId="77777777" w:rsidR="00F90AC8" w:rsidRDefault="00000000">
      <w:pPr>
        <w:spacing w:before="60" w:after="80" w:line="276" w:lineRule="auto"/>
        <w:jc w:val="both"/>
      </w:pPr>
      <w:r>
        <w:rPr>
          <w:b/>
          <w:bCs/>
        </w:rPr>
        <w:t xml:space="preserve">Strengths: </w:t>
      </w:r>
      <w:r>
        <w:t xml:space="preserve">Balances cohesion and separation; interpretable per-point values; consistent across diverse dataset types.  </w:t>
      </w:r>
      <w:r>
        <w:rPr>
          <w:b/>
          <w:bCs/>
        </w:rPr>
        <w:t xml:space="preserve">Limitations: </w:t>
      </w:r>
      <w:r>
        <w:t>O(n²) naive complexity (approximate methods exist for large n).</w:t>
      </w:r>
    </w:p>
    <w:p w14:paraId="0CC009F0" w14:textId="77777777" w:rsidR="00F90AC8" w:rsidRDefault="00000000">
      <w:pPr>
        <w:pStyle w:val="Heading2"/>
      </w:pPr>
      <w:proofErr w:type="gramStart"/>
      <w:r>
        <w:lastRenderedPageBreak/>
        <w:t xml:space="preserve">2.4  </w:t>
      </w:r>
      <w:proofErr w:type="spellStart"/>
      <w:r>
        <w:t>Calinski</w:t>
      </w:r>
      <w:proofErr w:type="gramEnd"/>
      <w:r>
        <w:t>-Harabasz</w:t>
      </w:r>
      <w:proofErr w:type="spellEnd"/>
      <w:r>
        <w:t xml:space="preserve"> (CH) Index</w:t>
      </w:r>
    </w:p>
    <w:p w14:paraId="3E49E5A0" w14:textId="77777777" w:rsidR="00F90AC8" w:rsidRDefault="00000000">
      <w:pPr>
        <w:spacing w:before="60" w:after="80" w:line="276" w:lineRule="auto"/>
        <w:jc w:val="both"/>
      </w:pPr>
      <w:r>
        <w:t>Also known as the Variance Ratio Criterion (</w:t>
      </w:r>
      <w:proofErr w:type="spellStart"/>
      <w:r>
        <w:t>Calinski</w:t>
      </w:r>
      <w:proofErr w:type="spellEnd"/>
      <w:r>
        <w:t xml:space="preserve"> &amp; Harabasz, 1974), this index computes the ratio of between-cluster scatter to within-cluster scatter. Higher values indicate better-defined clusters.</w:t>
      </w:r>
    </w:p>
    <w:p w14:paraId="33FAEFC3" w14:textId="77777777" w:rsidR="00F90AC8" w:rsidRDefault="00000000">
      <w:pPr>
        <w:spacing w:before="60" w:after="80" w:line="276" w:lineRule="auto"/>
        <w:jc w:val="both"/>
      </w:pPr>
      <w:r>
        <w:rPr>
          <w:b/>
          <w:bCs/>
        </w:rPr>
        <w:t xml:space="preserve">Formula:  </w:t>
      </w:r>
      <w:r>
        <w:t>CH(k) = [</w:t>
      </w:r>
      <w:proofErr w:type="gramStart"/>
      <w:r>
        <w:t>tr(</w:t>
      </w:r>
      <w:proofErr w:type="gramEnd"/>
      <w:r>
        <w:t>B</w:t>
      </w:r>
      <w:r>
        <w:rPr>
          <w:vertAlign w:val="subscript"/>
        </w:rPr>
        <w:t>k</w:t>
      </w:r>
      <w:r>
        <w:t>) / (k−1)] / [</w:t>
      </w:r>
      <w:proofErr w:type="gramStart"/>
      <w:r>
        <w:t>tr(</w:t>
      </w:r>
      <w:proofErr w:type="spellStart"/>
      <w:proofErr w:type="gramEnd"/>
      <w:r>
        <w:t>W</w:t>
      </w:r>
      <w:r>
        <w:rPr>
          <w:vertAlign w:val="subscript"/>
        </w:rPr>
        <w:t>k</w:t>
      </w:r>
      <w:proofErr w:type="spellEnd"/>
      <w:r>
        <w:t>) / (n−k)]</w:t>
      </w:r>
    </w:p>
    <w:p w14:paraId="3CCCCE01" w14:textId="77777777" w:rsidR="00F90AC8" w:rsidRDefault="00000000">
      <w:pPr>
        <w:spacing w:before="60" w:after="80" w:line="276" w:lineRule="auto"/>
        <w:jc w:val="both"/>
      </w:pPr>
      <w:r>
        <w:t xml:space="preserve">where Bk and </w:t>
      </w:r>
      <w:proofErr w:type="spellStart"/>
      <w:r>
        <w:t>Wk</w:t>
      </w:r>
      <w:proofErr w:type="spellEnd"/>
      <w:r>
        <w:t xml:space="preserve"> are the between- and within-cluster scatter matrices and </w:t>
      </w:r>
      <w:proofErr w:type="gramStart"/>
      <w:r>
        <w:t>tr(</w:t>
      </w:r>
      <w:proofErr w:type="gramEnd"/>
      <w:r>
        <w:t>•) denotes the matrix trace.</w:t>
      </w:r>
    </w:p>
    <w:p w14:paraId="1807BEC1" w14:textId="77777777" w:rsidR="00F90AC8" w:rsidRDefault="00000000">
      <w:pPr>
        <w:spacing w:before="60" w:after="80" w:line="276" w:lineRule="auto"/>
        <w:jc w:val="both"/>
      </w:pPr>
      <w:r>
        <w:rPr>
          <w:b/>
          <w:bCs/>
        </w:rPr>
        <w:t xml:space="preserve">Strengths: </w:t>
      </w:r>
      <w:r>
        <w:t>Fast O(</w:t>
      </w:r>
      <w:proofErr w:type="spellStart"/>
      <w:r>
        <w:t>nk</w:t>
      </w:r>
      <w:proofErr w:type="spellEnd"/>
      <w:r>
        <w:t xml:space="preserve">) computation via scatter matrices; suitable for large datasets.  </w:t>
      </w:r>
      <w:r>
        <w:rPr>
          <w:b/>
          <w:bCs/>
        </w:rPr>
        <w:t xml:space="preserve">Limitations: </w:t>
      </w:r>
      <w:r>
        <w:t>Assumes spherical, equally sized clusters; biased towards convex structures; unbounded scores complicate cross-dataset comparison.</w:t>
      </w:r>
    </w:p>
    <w:p w14:paraId="7C2DA30A" w14:textId="77777777" w:rsidR="00F90AC8" w:rsidRDefault="00000000">
      <w:pPr>
        <w:pStyle w:val="Heading2"/>
      </w:pPr>
      <w:proofErr w:type="gramStart"/>
      <w:r>
        <w:t>2.5  Davies</w:t>
      </w:r>
      <w:proofErr w:type="gramEnd"/>
      <w:r>
        <w:t>-Bouldin (DB) Index</w:t>
      </w:r>
    </w:p>
    <w:p w14:paraId="7DD4A7EC" w14:textId="77777777" w:rsidR="00F90AC8" w:rsidRDefault="00000000">
      <w:pPr>
        <w:spacing w:before="60" w:after="80" w:line="276" w:lineRule="auto"/>
        <w:jc w:val="both"/>
      </w:pPr>
      <w:r>
        <w:t>Defined by Davies and Bouldin (1979), this index measures the average maximum ratio of intra-cluster scatter to inter-cluster distance. Lower values indicate better clustering.</w:t>
      </w:r>
    </w:p>
    <w:p w14:paraId="623AFB26" w14:textId="77777777" w:rsidR="00F90AC8" w:rsidRDefault="00000000">
      <w:pPr>
        <w:spacing w:before="60" w:after="80" w:line="276" w:lineRule="auto"/>
        <w:jc w:val="both"/>
      </w:pPr>
      <w:r>
        <w:rPr>
          <w:b/>
          <w:bCs/>
        </w:rPr>
        <w:t xml:space="preserve">Formula:  </w:t>
      </w:r>
      <w:r>
        <w:t xml:space="preserve">DB(k) = (1/k) </w:t>
      </w:r>
      <w:proofErr w:type="spellStart"/>
      <w:r>
        <w:t>Σ</w:t>
      </w:r>
      <w:r>
        <w:rPr>
          <w:vertAlign w:val="subscript"/>
        </w:rPr>
        <w:t>ki</w:t>
      </w:r>
      <w:proofErr w:type="spellEnd"/>
      <w:r>
        <w:rPr>
          <w:vertAlign w:val="subscript"/>
        </w:rPr>
        <w:t>=</w:t>
      </w:r>
      <w:proofErr w:type="gramStart"/>
      <w:r>
        <w:rPr>
          <w:vertAlign w:val="subscript"/>
        </w:rPr>
        <w:t>1</w:t>
      </w:r>
      <w:r>
        <w:t xml:space="preserve">  </w:t>
      </w:r>
      <w:proofErr w:type="spellStart"/>
      <w:r>
        <w:t>max</w:t>
      </w:r>
      <w:r>
        <w:rPr>
          <w:vertAlign w:val="subscript"/>
        </w:rPr>
        <w:t>j</w:t>
      </w:r>
      <w:proofErr w:type="gramEnd"/>
      <w:r>
        <w:rPr>
          <w:vertAlign w:val="subscript"/>
        </w:rPr>
        <w:t>≠</w:t>
      </w:r>
      <w:proofErr w:type="gramStart"/>
      <w:r>
        <w:rPr>
          <w:vertAlign w:val="subscript"/>
        </w:rPr>
        <w:t>i</w:t>
      </w:r>
      <w:proofErr w:type="spellEnd"/>
      <w:r>
        <w:t xml:space="preserve">  (</w:t>
      </w:r>
      <w:proofErr w:type="spellStart"/>
      <w:proofErr w:type="gramEnd"/>
      <w:r>
        <w:t>s</w:t>
      </w:r>
      <w:r>
        <w:rPr>
          <w:vertAlign w:val="subscript"/>
        </w:rPr>
        <w:t>i</w:t>
      </w:r>
      <w:proofErr w:type="spellEnd"/>
      <w:r>
        <w:t xml:space="preserve"> + </w:t>
      </w:r>
      <w:proofErr w:type="spellStart"/>
      <w:r>
        <w:t>s</w:t>
      </w:r>
      <w:r>
        <w:rPr>
          <w:vertAlign w:val="subscript"/>
        </w:rPr>
        <w:t>j</w:t>
      </w:r>
      <w:proofErr w:type="spellEnd"/>
      <w:r>
        <w:t xml:space="preserve">) / </w:t>
      </w:r>
      <w:proofErr w:type="spellStart"/>
      <w:r>
        <w:t>d</w:t>
      </w:r>
      <w:r>
        <w:rPr>
          <w:vertAlign w:val="subscript"/>
        </w:rPr>
        <w:t>ij</w:t>
      </w:r>
      <w:proofErr w:type="spellEnd"/>
    </w:p>
    <w:p w14:paraId="0BC1C8BC" w14:textId="77777777" w:rsidR="00F90AC8" w:rsidRDefault="00000000">
      <w:pPr>
        <w:spacing w:before="60" w:after="80" w:line="276" w:lineRule="auto"/>
        <w:jc w:val="both"/>
      </w:pPr>
      <w:r>
        <w:t xml:space="preserve">where </w:t>
      </w:r>
      <w:proofErr w:type="spellStart"/>
      <w:r>
        <w:t>si</w:t>
      </w:r>
      <w:proofErr w:type="spellEnd"/>
      <w:r>
        <w:t xml:space="preserve"> is the average intra-cluster distance for cluster </w:t>
      </w:r>
      <w:proofErr w:type="spellStart"/>
      <w:r>
        <w:t>i</w:t>
      </w:r>
      <w:proofErr w:type="spellEnd"/>
      <w:r>
        <w:t xml:space="preserve"> and </w:t>
      </w:r>
      <w:proofErr w:type="spellStart"/>
      <w:r>
        <w:t>dij</w:t>
      </w:r>
      <w:proofErr w:type="spellEnd"/>
      <w:r>
        <w:t xml:space="preserve"> is the centroid-to-centroid distance between clusters </w:t>
      </w:r>
      <w:proofErr w:type="spellStart"/>
      <w:r>
        <w:t>i</w:t>
      </w:r>
      <w:proofErr w:type="spellEnd"/>
      <w:r>
        <w:t xml:space="preserve"> and j.</w:t>
      </w:r>
    </w:p>
    <w:p w14:paraId="243E854D" w14:textId="77777777" w:rsidR="00F90AC8" w:rsidRDefault="00000000">
      <w:pPr>
        <w:spacing w:before="60" w:after="80" w:line="276" w:lineRule="auto"/>
        <w:jc w:val="both"/>
      </w:pPr>
      <w:r>
        <w:rPr>
          <w:b/>
          <w:bCs/>
        </w:rPr>
        <w:t xml:space="preserve">Strengths: </w:t>
      </w:r>
      <w:r>
        <w:t>Focuses on worst-case separation; relatively efficient O(</w:t>
      </w:r>
      <w:proofErr w:type="spellStart"/>
      <w:r>
        <w:t>nk</w:t>
      </w:r>
      <w:proofErr w:type="spellEnd"/>
      <w:r>
        <w:t xml:space="preserve">).  </w:t>
      </w:r>
      <w:r>
        <w:rPr>
          <w:b/>
          <w:bCs/>
        </w:rPr>
        <w:t xml:space="preserve">Limitations: </w:t>
      </w:r>
      <w:r>
        <w:t>Relies on centroids; less flexible for non-centroid-based methods.</w:t>
      </w:r>
    </w:p>
    <w:p w14:paraId="0D8CACDF" w14:textId="77777777" w:rsidR="00F90AC8" w:rsidRDefault="00F90AC8">
      <w:pPr>
        <w:spacing w:after="80"/>
      </w:pPr>
    </w:p>
    <w:p w14:paraId="68D0AEF1" w14:textId="77777777" w:rsidR="00F90AC8" w:rsidRDefault="00000000">
      <w:pPr>
        <w:pStyle w:val="Heading1"/>
        <w:pBdr>
          <w:bottom w:val="single" w:sz="6" w:space="4" w:color="333333"/>
        </w:pBdr>
      </w:pPr>
      <w:r>
        <w:t>3. Comparative Overview</w:t>
      </w:r>
    </w:p>
    <w:p w14:paraId="28D43BC7" w14:textId="77777777" w:rsidR="00F90AC8" w:rsidRDefault="00000000">
      <w:pPr>
        <w:spacing w:before="80" w:after="80"/>
      </w:pPr>
      <w:r>
        <w:rPr>
          <w:i/>
          <w:iCs/>
          <w:color w:val="444444"/>
          <w:sz w:val="18"/>
          <w:szCs w:val="18"/>
        </w:rPr>
        <w:t>Table 1. Qualitative comparison of the five clustering validation indices.</w:t>
      </w:r>
    </w:p>
    <w:tbl>
      <w:tblPr>
        <w:tblW w:w="8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350"/>
        <w:gridCol w:w="1350"/>
        <w:gridCol w:w="1350"/>
        <w:gridCol w:w="1350"/>
        <w:gridCol w:w="1560"/>
      </w:tblGrid>
      <w:tr w:rsidR="00F90AC8" w14:paraId="35BC4B5D" w14:textId="77777777">
        <w:tblPrEx>
          <w:tblCellMar>
            <w:top w:w="0" w:type="dxa"/>
            <w:bottom w:w="0" w:type="dxa"/>
          </w:tblCellMar>
        </w:tblPrEx>
        <w:trPr>
          <w:tblHeader/>
        </w:trPr>
        <w:tc>
          <w:tcPr>
            <w:tcW w:w="155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00" w:type="dxa"/>
              <w:bottom w:w="80" w:type="dxa"/>
              <w:right w:w="100" w:type="dxa"/>
            </w:tcMar>
            <w:vAlign w:val="center"/>
          </w:tcPr>
          <w:p w14:paraId="71060E2B" w14:textId="77777777" w:rsidR="00F90AC8" w:rsidRDefault="00000000">
            <w:pPr>
              <w:jc w:val="center"/>
            </w:pPr>
            <w:r>
              <w:rPr>
                <w:b/>
                <w:bCs/>
                <w:color w:val="FFFFFF"/>
                <w:sz w:val="18"/>
                <w:szCs w:val="18"/>
              </w:rPr>
              <w:t>Aspect</w:t>
            </w:r>
          </w:p>
        </w:tc>
        <w:tc>
          <w:tcPr>
            <w:tcW w:w="135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00" w:type="dxa"/>
              <w:bottom w:w="80" w:type="dxa"/>
              <w:right w:w="100" w:type="dxa"/>
            </w:tcMar>
            <w:vAlign w:val="center"/>
          </w:tcPr>
          <w:p w14:paraId="105A6F66" w14:textId="77777777" w:rsidR="00F90AC8" w:rsidRDefault="00000000">
            <w:pPr>
              <w:jc w:val="center"/>
            </w:pPr>
            <w:r>
              <w:rPr>
                <w:b/>
                <w:bCs/>
                <w:color w:val="FFFFFF"/>
                <w:sz w:val="18"/>
                <w:szCs w:val="18"/>
              </w:rPr>
              <w:t>Elbow</w:t>
            </w:r>
          </w:p>
        </w:tc>
        <w:tc>
          <w:tcPr>
            <w:tcW w:w="135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00" w:type="dxa"/>
              <w:bottom w:w="80" w:type="dxa"/>
              <w:right w:w="100" w:type="dxa"/>
            </w:tcMar>
            <w:vAlign w:val="center"/>
          </w:tcPr>
          <w:p w14:paraId="7870658E" w14:textId="77777777" w:rsidR="00F90AC8" w:rsidRDefault="00000000">
            <w:pPr>
              <w:jc w:val="center"/>
            </w:pPr>
            <w:r>
              <w:rPr>
                <w:b/>
                <w:bCs/>
                <w:color w:val="FFFFFF"/>
                <w:sz w:val="18"/>
                <w:szCs w:val="18"/>
              </w:rPr>
              <w:t>Dunn</w:t>
            </w:r>
          </w:p>
        </w:tc>
        <w:tc>
          <w:tcPr>
            <w:tcW w:w="135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00" w:type="dxa"/>
              <w:bottom w:w="80" w:type="dxa"/>
              <w:right w:w="100" w:type="dxa"/>
            </w:tcMar>
            <w:vAlign w:val="center"/>
          </w:tcPr>
          <w:p w14:paraId="0AF5000F" w14:textId="77777777" w:rsidR="00F90AC8" w:rsidRDefault="00000000">
            <w:pPr>
              <w:jc w:val="center"/>
            </w:pPr>
            <w:r>
              <w:rPr>
                <w:b/>
                <w:bCs/>
                <w:color w:val="FFFFFF"/>
                <w:sz w:val="18"/>
                <w:szCs w:val="18"/>
              </w:rPr>
              <w:t>Silhouette</w:t>
            </w:r>
          </w:p>
        </w:tc>
        <w:tc>
          <w:tcPr>
            <w:tcW w:w="135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00" w:type="dxa"/>
              <w:bottom w:w="80" w:type="dxa"/>
              <w:right w:w="100" w:type="dxa"/>
            </w:tcMar>
            <w:vAlign w:val="center"/>
          </w:tcPr>
          <w:p w14:paraId="74100282" w14:textId="77777777" w:rsidR="00F90AC8" w:rsidRDefault="00000000">
            <w:pPr>
              <w:jc w:val="center"/>
            </w:pPr>
            <w:r>
              <w:rPr>
                <w:b/>
                <w:bCs/>
                <w:color w:val="FFFFFF"/>
                <w:sz w:val="18"/>
                <w:szCs w:val="18"/>
              </w:rPr>
              <w:t>Cal-Har</w:t>
            </w:r>
          </w:p>
        </w:tc>
        <w:tc>
          <w:tcPr>
            <w:tcW w:w="156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00" w:type="dxa"/>
              <w:bottom w:w="80" w:type="dxa"/>
              <w:right w:w="100" w:type="dxa"/>
            </w:tcMar>
            <w:vAlign w:val="center"/>
          </w:tcPr>
          <w:p w14:paraId="253D24DF" w14:textId="77777777" w:rsidR="00F90AC8" w:rsidRDefault="00000000">
            <w:pPr>
              <w:jc w:val="center"/>
            </w:pPr>
            <w:r>
              <w:rPr>
                <w:b/>
                <w:bCs/>
                <w:color w:val="FFFFFF"/>
                <w:sz w:val="18"/>
                <w:szCs w:val="18"/>
              </w:rPr>
              <w:t>Davies-Bouldin</w:t>
            </w:r>
          </w:p>
        </w:tc>
      </w:tr>
      <w:tr w:rsidR="00F90AC8" w14:paraId="71C92721" w14:textId="77777777">
        <w:tblPrEx>
          <w:tblCellMar>
            <w:top w:w="0" w:type="dxa"/>
            <w:bottom w:w="0" w:type="dxa"/>
          </w:tblCellMar>
        </w:tblPrEx>
        <w:tc>
          <w:tcPr>
            <w:tcW w:w="1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13A40C26" w14:textId="77777777" w:rsidR="00F90AC8" w:rsidRDefault="00000000">
            <w:pPr>
              <w:jc w:val="center"/>
            </w:pPr>
            <w:r>
              <w:rPr>
                <w:sz w:val="17"/>
                <w:szCs w:val="17"/>
              </w:rPr>
              <w:t>Objective</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1772CDB9" w14:textId="77777777" w:rsidR="00F90AC8" w:rsidRDefault="00000000">
            <w:pPr>
              <w:jc w:val="center"/>
            </w:pPr>
            <w:r>
              <w:rPr>
                <w:sz w:val="17"/>
                <w:szCs w:val="17"/>
              </w:rPr>
              <w:t>No (visual)</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2A4AE35D" w14:textId="77777777" w:rsidR="00F90AC8" w:rsidRDefault="00000000">
            <w:pPr>
              <w:jc w:val="center"/>
            </w:pPr>
            <w:r>
              <w:rPr>
                <w:sz w:val="17"/>
                <w:szCs w:val="17"/>
              </w:rPr>
              <w:t>Yes (max)</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16012042" w14:textId="77777777" w:rsidR="00F90AC8" w:rsidRDefault="00000000">
            <w:pPr>
              <w:jc w:val="center"/>
            </w:pPr>
            <w:r>
              <w:rPr>
                <w:sz w:val="17"/>
                <w:szCs w:val="17"/>
              </w:rPr>
              <w:t>Yes (max)</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443F43AA" w14:textId="77777777" w:rsidR="00F90AC8" w:rsidRDefault="00000000">
            <w:pPr>
              <w:jc w:val="center"/>
            </w:pPr>
            <w:r>
              <w:rPr>
                <w:sz w:val="17"/>
                <w:szCs w:val="17"/>
              </w:rPr>
              <w:t>Yes (max)</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4A13B9BB" w14:textId="77777777" w:rsidR="00F90AC8" w:rsidRDefault="00000000">
            <w:pPr>
              <w:jc w:val="center"/>
            </w:pPr>
            <w:r>
              <w:rPr>
                <w:sz w:val="17"/>
                <w:szCs w:val="17"/>
              </w:rPr>
              <w:t>Yes (min)</w:t>
            </w:r>
          </w:p>
        </w:tc>
      </w:tr>
      <w:tr w:rsidR="00F90AC8" w14:paraId="743EBCB6" w14:textId="77777777">
        <w:tblPrEx>
          <w:tblCellMar>
            <w:top w:w="0" w:type="dxa"/>
            <w:bottom w:w="0" w:type="dxa"/>
          </w:tblCellMar>
        </w:tblPrEx>
        <w:tc>
          <w:tcPr>
            <w:tcW w:w="15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CEF01EB" w14:textId="77777777" w:rsidR="00F90AC8" w:rsidRDefault="00000000">
            <w:pPr>
              <w:jc w:val="center"/>
            </w:pPr>
            <w:r>
              <w:rPr>
                <w:sz w:val="17"/>
                <w:szCs w:val="17"/>
              </w:rPr>
              <w:t>Separation Aware</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82961A0" w14:textId="77777777" w:rsidR="00F90AC8" w:rsidRDefault="00000000">
            <w:pPr>
              <w:jc w:val="center"/>
            </w:pPr>
            <w:r>
              <w:rPr>
                <w:sz w:val="17"/>
                <w:szCs w:val="17"/>
              </w:rPr>
              <w:t>No</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692F504" w14:textId="77777777" w:rsidR="00F90AC8" w:rsidRDefault="00000000">
            <w:pPr>
              <w:jc w:val="center"/>
            </w:pPr>
            <w:r>
              <w:rPr>
                <w:sz w:val="17"/>
                <w:szCs w:val="17"/>
              </w:rPr>
              <w:t>Yes</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ECE75A4" w14:textId="77777777" w:rsidR="00F90AC8" w:rsidRDefault="00000000">
            <w:pPr>
              <w:jc w:val="center"/>
            </w:pPr>
            <w:r>
              <w:rPr>
                <w:sz w:val="17"/>
                <w:szCs w:val="17"/>
              </w:rPr>
              <w:t>Yes</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183F098" w14:textId="77777777" w:rsidR="00F90AC8" w:rsidRDefault="00000000">
            <w:pPr>
              <w:jc w:val="center"/>
            </w:pPr>
            <w:r>
              <w:rPr>
                <w:sz w:val="17"/>
                <w:szCs w:val="17"/>
              </w:rPr>
              <w:t>Indirect</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DB1ACCC" w14:textId="77777777" w:rsidR="00F90AC8" w:rsidRDefault="00000000">
            <w:pPr>
              <w:jc w:val="center"/>
            </w:pPr>
            <w:r>
              <w:rPr>
                <w:sz w:val="17"/>
                <w:szCs w:val="17"/>
              </w:rPr>
              <w:t>Yes</w:t>
            </w:r>
          </w:p>
        </w:tc>
      </w:tr>
      <w:tr w:rsidR="00F90AC8" w14:paraId="4B3EB39D" w14:textId="77777777">
        <w:tblPrEx>
          <w:tblCellMar>
            <w:top w:w="0" w:type="dxa"/>
            <w:bottom w:w="0" w:type="dxa"/>
          </w:tblCellMar>
        </w:tblPrEx>
        <w:tc>
          <w:tcPr>
            <w:tcW w:w="1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25DA9192" w14:textId="77777777" w:rsidR="00F90AC8" w:rsidRDefault="00000000">
            <w:pPr>
              <w:jc w:val="center"/>
            </w:pPr>
            <w:r>
              <w:rPr>
                <w:sz w:val="17"/>
                <w:szCs w:val="17"/>
              </w:rPr>
              <w:t>Outlier Robustness</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4D0F66D4" w14:textId="77777777" w:rsidR="00F90AC8" w:rsidRDefault="00000000">
            <w:pPr>
              <w:jc w:val="center"/>
            </w:pPr>
            <w:r>
              <w:rPr>
                <w:sz w:val="17"/>
                <w:szCs w:val="17"/>
              </w:rPr>
              <w:t>High</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62E8B638" w14:textId="77777777" w:rsidR="00F90AC8" w:rsidRDefault="00000000">
            <w:pPr>
              <w:jc w:val="center"/>
            </w:pPr>
            <w:r>
              <w:rPr>
                <w:sz w:val="17"/>
                <w:szCs w:val="17"/>
              </w:rPr>
              <w:t>Very Low</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14A36F11" w14:textId="77777777" w:rsidR="00F90AC8" w:rsidRDefault="00000000">
            <w:pPr>
              <w:jc w:val="center"/>
            </w:pPr>
            <w:r>
              <w:rPr>
                <w:sz w:val="17"/>
                <w:szCs w:val="17"/>
              </w:rPr>
              <w:t>Medium</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5CE8A828" w14:textId="77777777" w:rsidR="00F90AC8" w:rsidRDefault="00000000">
            <w:pPr>
              <w:jc w:val="center"/>
            </w:pPr>
            <w:r>
              <w:rPr>
                <w:sz w:val="17"/>
                <w:szCs w:val="17"/>
              </w:rPr>
              <w:t>Medium</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6487DD39" w14:textId="77777777" w:rsidR="00F90AC8" w:rsidRDefault="00000000">
            <w:pPr>
              <w:jc w:val="center"/>
            </w:pPr>
            <w:r>
              <w:rPr>
                <w:sz w:val="17"/>
                <w:szCs w:val="17"/>
              </w:rPr>
              <w:t>Medium</w:t>
            </w:r>
          </w:p>
        </w:tc>
      </w:tr>
      <w:tr w:rsidR="00F90AC8" w14:paraId="4F9B349B" w14:textId="77777777">
        <w:tblPrEx>
          <w:tblCellMar>
            <w:top w:w="0" w:type="dxa"/>
            <w:bottom w:w="0" w:type="dxa"/>
          </w:tblCellMar>
        </w:tblPrEx>
        <w:tc>
          <w:tcPr>
            <w:tcW w:w="15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F7D7B0E" w14:textId="77777777" w:rsidR="00F90AC8" w:rsidRDefault="00000000">
            <w:pPr>
              <w:jc w:val="center"/>
            </w:pPr>
            <w:r>
              <w:rPr>
                <w:sz w:val="17"/>
                <w:szCs w:val="17"/>
              </w:rPr>
              <w:t>Complexity</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BE6ACF0" w14:textId="77777777" w:rsidR="00F90AC8" w:rsidRDefault="00000000">
            <w:pPr>
              <w:jc w:val="center"/>
            </w:pPr>
            <w:r>
              <w:rPr>
                <w:sz w:val="17"/>
                <w:szCs w:val="17"/>
              </w:rPr>
              <w:t>O(</w:t>
            </w:r>
            <w:proofErr w:type="spellStart"/>
            <w:r>
              <w:rPr>
                <w:sz w:val="17"/>
                <w:szCs w:val="17"/>
              </w:rPr>
              <w:t>nk</w:t>
            </w:r>
            <w:proofErr w:type="spellEnd"/>
            <w:r>
              <w:rPr>
                <w:sz w:val="17"/>
                <w:szCs w:val="17"/>
              </w:rPr>
              <w:t>)</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B855FC2" w14:textId="77777777" w:rsidR="00F90AC8" w:rsidRDefault="00000000">
            <w:pPr>
              <w:jc w:val="center"/>
            </w:pPr>
            <w:r>
              <w:rPr>
                <w:sz w:val="17"/>
                <w:szCs w:val="17"/>
              </w:rPr>
              <w:t>O(n²)</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6B776E1" w14:textId="77777777" w:rsidR="00F90AC8" w:rsidRDefault="00000000">
            <w:pPr>
              <w:jc w:val="center"/>
            </w:pPr>
            <w:r>
              <w:rPr>
                <w:sz w:val="17"/>
                <w:szCs w:val="17"/>
              </w:rPr>
              <w:t>O(n²)</w:t>
            </w:r>
          </w:p>
        </w:tc>
        <w:tc>
          <w:tcPr>
            <w:tcW w:w="135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7589B08" w14:textId="77777777" w:rsidR="00F90AC8" w:rsidRDefault="00000000">
            <w:pPr>
              <w:jc w:val="center"/>
            </w:pPr>
            <w:r>
              <w:rPr>
                <w:sz w:val="17"/>
                <w:szCs w:val="17"/>
              </w:rPr>
              <w:t>O(</w:t>
            </w:r>
            <w:proofErr w:type="spellStart"/>
            <w:r>
              <w:rPr>
                <w:sz w:val="17"/>
                <w:szCs w:val="17"/>
              </w:rPr>
              <w:t>nk</w:t>
            </w:r>
            <w:proofErr w:type="spellEnd"/>
            <w:r>
              <w:rPr>
                <w:sz w:val="17"/>
                <w:szCs w:val="17"/>
              </w:rPr>
              <w:t>)</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D408781" w14:textId="77777777" w:rsidR="00F90AC8" w:rsidRDefault="00000000">
            <w:pPr>
              <w:jc w:val="center"/>
            </w:pPr>
            <w:r>
              <w:rPr>
                <w:sz w:val="17"/>
                <w:szCs w:val="17"/>
              </w:rPr>
              <w:t>O(</w:t>
            </w:r>
            <w:proofErr w:type="spellStart"/>
            <w:r>
              <w:rPr>
                <w:sz w:val="17"/>
                <w:szCs w:val="17"/>
              </w:rPr>
              <w:t>nk</w:t>
            </w:r>
            <w:proofErr w:type="spellEnd"/>
            <w:r>
              <w:rPr>
                <w:sz w:val="17"/>
                <w:szCs w:val="17"/>
              </w:rPr>
              <w:t>)</w:t>
            </w:r>
          </w:p>
        </w:tc>
      </w:tr>
      <w:tr w:rsidR="00F90AC8" w14:paraId="06508667" w14:textId="77777777">
        <w:tblPrEx>
          <w:tblCellMar>
            <w:top w:w="0" w:type="dxa"/>
            <w:bottom w:w="0" w:type="dxa"/>
          </w:tblCellMar>
        </w:tblPrEx>
        <w:tc>
          <w:tcPr>
            <w:tcW w:w="1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103E08DC" w14:textId="77777777" w:rsidR="00F90AC8" w:rsidRDefault="00000000">
            <w:pPr>
              <w:jc w:val="center"/>
            </w:pPr>
            <w:r>
              <w:rPr>
                <w:sz w:val="17"/>
                <w:szCs w:val="17"/>
              </w:rPr>
              <w:t>Best For</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36E69EA3" w14:textId="77777777" w:rsidR="00F90AC8" w:rsidRDefault="00000000">
            <w:pPr>
              <w:jc w:val="center"/>
            </w:pPr>
            <w:r>
              <w:rPr>
                <w:sz w:val="17"/>
                <w:szCs w:val="17"/>
              </w:rPr>
              <w:t>Large k-means</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4860AE54" w14:textId="77777777" w:rsidR="00F90AC8" w:rsidRDefault="00000000">
            <w:pPr>
              <w:jc w:val="center"/>
            </w:pPr>
            <w:r>
              <w:rPr>
                <w:sz w:val="17"/>
                <w:szCs w:val="17"/>
              </w:rPr>
              <w:t>Small/clean</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400CA18F" w14:textId="77777777" w:rsidR="00F90AC8" w:rsidRDefault="00000000">
            <w:pPr>
              <w:jc w:val="center"/>
            </w:pPr>
            <w:r>
              <w:rPr>
                <w:sz w:val="17"/>
                <w:szCs w:val="17"/>
              </w:rPr>
              <w:t>General</w:t>
            </w:r>
          </w:p>
        </w:tc>
        <w:tc>
          <w:tcPr>
            <w:tcW w:w="1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3F9ECB02" w14:textId="77777777" w:rsidR="00F90AC8" w:rsidRDefault="00000000">
            <w:pPr>
              <w:jc w:val="center"/>
            </w:pPr>
            <w:r>
              <w:rPr>
                <w:sz w:val="17"/>
                <w:szCs w:val="17"/>
              </w:rPr>
              <w:t>Spherical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49DEE052" w14:textId="77777777" w:rsidR="00F90AC8" w:rsidRDefault="00000000">
            <w:pPr>
              <w:jc w:val="center"/>
            </w:pPr>
            <w:r>
              <w:rPr>
                <w:sz w:val="17"/>
                <w:szCs w:val="17"/>
              </w:rPr>
              <w:t>General</w:t>
            </w:r>
          </w:p>
        </w:tc>
      </w:tr>
    </w:tbl>
    <w:p w14:paraId="5A40E460" w14:textId="77777777" w:rsidR="00F90AC8" w:rsidRDefault="00F90AC8">
      <w:pPr>
        <w:spacing w:after="100"/>
      </w:pPr>
    </w:p>
    <w:p w14:paraId="0686113E" w14:textId="77777777" w:rsidR="00F90AC8" w:rsidRDefault="00000000">
      <w:pPr>
        <w:pStyle w:val="Heading1"/>
        <w:pBdr>
          <w:bottom w:val="single" w:sz="6" w:space="4" w:color="333333"/>
        </w:pBdr>
      </w:pPr>
      <w:r>
        <w:t>4. Experimental Analysis</w:t>
      </w:r>
    </w:p>
    <w:p w14:paraId="60502D3F" w14:textId="77777777" w:rsidR="00F90AC8" w:rsidRDefault="00000000">
      <w:pPr>
        <w:pStyle w:val="Heading2"/>
      </w:pPr>
      <w:proofErr w:type="gramStart"/>
      <w:r>
        <w:t>4.1  Dataset</w:t>
      </w:r>
      <w:proofErr w:type="gramEnd"/>
      <w:r>
        <w:t xml:space="preserve"> and Setup</w:t>
      </w:r>
    </w:p>
    <w:p w14:paraId="7EE4ACCA" w14:textId="77777777" w:rsidR="00F90AC8" w:rsidRDefault="00000000">
      <w:pPr>
        <w:spacing w:before="60" w:after="80" w:line="276" w:lineRule="auto"/>
        <w:jc w:val="both"/>
      </w:pPr>
      <w:r>
        <w:t>All experiments use two benchmark datasets: (1) the Iris dataset — 150 samples, 4 features, 3 natural species classes; and (2) Synthetic Gaussian blobs generated via scikit-</w:t>
      </w:r>
      <w:proofErr w:type="spellStart"/>
      <w:r>
        <w:t>learn’s</w:t>
      </w:r>
      <w:proofErr w:type="spellEnd"/>
      <w:r>
        <w:t xml:space="preserve"> </w:t>
      </w:r>
      <w:proofErr w:type="spellStart"/>
      <w:r>
        <w:t>make_blobs</w:t>
      </w:r>
      <w:proofErr w:type="spellEnd"/>
      <w:r>
        <w:t xml:space="preserve">, enabling controlled noise experiments. All clustering uses k-Means with k-Means++ </w:t>
      </w:r>
      <w:proofErr w:type="spellStart"/>
      <w:r>
        <w:t>initialisation</w:t>
      </w:r>
      <w:proofErr w:type="spellEnd"/>
      <w:r>
        <w:t xml:space="preserve"> (10 restarts, </w:t>
      </w:r>
      <w:proofErr w:type="spellStart"/>
      <w:r>
        <w:t>random_state</w:t>
      </w:r>
      <w:proofErr w:type="spellEnd"/>
      <w:r>
        <w:t>=42).</w:t>
      </w:r>
    </w:p>
    <w:p w14:paraId="25C5B898" w14:textId="77777777" w:rsidR="00F90AC8" w:rsidRDefault="00000000">
      <w:pPr>
        <w:spacing w:before="120" w:after="60"/>
        <w:jc w:val="center"/>
      </w:pPr>
      <w:r>
        <w:rPr>
          <w:noProof/>
        </w:rPr>
        <w:lastRenderedPageBreak/>
        <w:drawing>
          <wp:inline distT="0" distB="0" distL="0" distR="0" wp14:anchorId="5153C118" wp14:editId="15238C6A">
            <wp:extent cx="4667250"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67250" cy="2714625"/>
                    </a:xfrm>
                    <a:prstGeom prst="rect">
                      <a:avLst/>
                    </a:prstGeom>
                  </pic:spPr>
                </pic:pic>
              </a:graphicData>
            </a:graphic>
          </wp:inline>
        </w:drawing>
      </w:r>
    </w:p>
    <w:p w14:paraId="2D4778C2" w14:textId="77777777" w:rsidR="00F90AC8" w:rsidRDefault="00000000">
      <w:pPr>
        <w:spacing w:before="60" w:after="160"/>
        <w:jc w:val="center"/>
      </w:pPr>
      <w:r>
        <w:rPr>
          <w:i/>
          <w:iCs/>
          <w:color w:val="444444"/>
          <w:sz w:val="18"/>
          <w:szCs w:val="18"/>
        </w:rPr>
        <w:t>Figure 1. Elbow Method applied to the Iris dataset. The dashed red line marks the elbow at k=3, consistent with the three known species. WCSS decreases monotonically; the rate of decrease slows markedly beyond k=3.</w:t>
      </w:r>
    </w:p>
    <w:p w14:paraId="29F086A4" w14:textId="77777777" w:rsidR="00F90AC8" w:rsidRDefault="00000000">
      <w:pPr>
        <w:pStyle w:val="Heading2"/>
      </w:pPr>
      <w:proofErr w:type="gramStart"/>
      <w:r>
        <w:t>4.2  Multi</w:t>
      </w:r>
      <w:proofErr w:type="gramEnd"/>
      <w:r>
        <w:t>-Index Evaluation</w:t>
      </w:r>
    </w:p>
    <w:p w14:paraId="0B6A0518" w14:textId="77777777" w:rsidR="00F90AC8" w:rsidRDefault="00000000">
      <w:pPr>
        <w:spacing w:before="60" w:after="80" w:line="276" w:lineRule="auto"/>
        <w:jc w:val="both"/>
      </w:pPr>
      <w:r>
        <w:t xml:space="preserve">Figure 2 shows all four objective indices evaluated over k=2 through k=10 on the Iris dataset. Silhouette peaks at k=2, reflecting that the </w:t>
      </w:r>
      <w:proofErr w:type="spellStart"/>
      <w:r>
        <w:t>Setosa</w:t>
      </w:r>
      <w:proofErr w:type="spellEnd"/>
      <w:r>
        <w:t xml:space="preserve"> species is well-separated while the other two species partially overlap. Dunn and Davies-Bouldin both identify k=3. Calinski-</w:t>
      </w:r>
      <w:proofErr w:type="spellStart"/>
      <w:r>
        <w:t>Harabasz</w:t>
      </w:r>
      <w:proofErr w:type="spellEnd"/>
      <w:r>
        <w:t xml:space="preserve"> peaks at k=2 due to its assumption of spherical clusters.</w:t>
      </w:r>
    </w:p>
    <w:p w14:paraId="7D521014" w14:textId="77777777" w:rsidR="00F90AC8" w:rsidRDefault="00000000">
      <w:pPr>
        <w:spacing w:before="120" w:after="60"/>
        <w:jc w:val="center"/>
      </w:pPr>
      <w:r>
        <w:rPr>
          <w:noProof/>
        </w:rPr>
        <w:drawing>
          <wp:inline distT="0" distB="0" distL="0" distR="0" wp14:anchorId="0FCE780E" wp14:editId="7EE077BD">
            <wp:extent cx="5143500" cy="3571875"/>
            <wp:effectExtent l="0" t="0" r="0" b="0"/>
            <wp:docPr id="2004154568" name="Picture 200415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571875"/>
                    </a:xfrm>
                    <a:prstGeom prst="rect">
                      <a:avLst/>
                    </a:prstGeom>
                  </pic:spPr>
                </pic:pic>
              </a:graphicData>
            </a:graphic>
          </wp:inline>
        </w:drawing>
      </w:r>
    </w:p>
    <w:p w14:paraId="503FCF78" w14:textId="77777777" w:rsidR="00F90AC8" w:rsidRDefault="00000000">
      <w:pPr>
        <w:spacing w:before="60" w:after="160"/>
        <w:jc w:val="center"/>
      </w:pPr>
      <w:r>
        <w:rPr>
          <w:i/>
          <w:iCs/>
          <w:color w:val="444444"/>
          <w:sz w:val="18"/>
          <w:szCs w:val="18"/>
        </w:rPr>
        <w:t>Figure 2. All four objective indices evaluated across k on the Iris dataset. Dotted vertical lines indicate the optimal k identified by each index. Note that different indices can disagree, motivating a multi-index approach.</w:t>
      </w:r>
    </w:p>
    <w:p w14:paraId="67B1B24B" w14:textId="77777777" w:rsidR="00972C39" w:rsidRDefault="00972C39">
      <w:pPr>
        <w:pStyle w:val="Heading2"/>
        <w:rPr>
          <w:rtl/>
        </w:rPr>
      </w:pPr>
    </w:p>
    <w:p w14:paraId="70AA6955" w14:textId="77777777" w:rsidR="00972C39" w:rsidRDefault="00972C39">
      <w:pPr>
        <w:pStyle w:val="Heading2"/>
        <w:rPr>
          <w:rtl/>
        </w:rPr>
      </w:pPr>
    </w:p>
    <w:p w14:paraId="3B070057" w14:textId="2711CB21" w:rsidR="00F90AC8" w:rsidRDefault="00000000">
      <w:pPr>
        <w:pStyle w:val="Heading2"/>
      </w:pPr>
      <w:proofErr w:type="gramStart"/>
      <w:r>
        <w:lastRenderedPageBreak/>
        <w:t>4.3  Per</w:t>
      </w:r>
      <w:proofErr w:type="gramEnd"/>
      <w:r>
        <w:t>-Sample Silhouette Analysis</w:t>
      </w:r>
    </w:p>
    <w:p w14:paraId="16A4E9F7" w14:textId="77777777" w:rsidR="00F90AC8" w:rsidRDefault="00000000">
      <w:pPr>
        <w:spacing w:before="60" w:after="80" w:line="276" w:lineRule="auto"/>
        <w:jc w:val="both"/>
      </w:pPr>
      <w:r>
        <w:t xml:space="preserve">The silhouette plot (Figure 3) </w:t>
      </w:r>
      <w:proofErr w:type="spellStart"/>
      <w:r>
        <w:t>visualises</w:t>
      </w:r>
      <w:proofErr w:type="spellEnd"/>
      <w:r>
        <w:t xml:space="preserve"> the per-sample coefficient for k=3 on the Iris dataset. All samples in Cluster 1 (</w:t>
      </w:r>
      <w:proofErr w:type="spellStart"/>
      <w:r>
        <w:t>Setosa</w:t>
      </w:r>
      <w:proofErr w:type="spellEnd"/>
      <w:r>
        <w:t>) exhibit high silhouette values, confirming tight, well-separated structure. Clusters 2 and 3 (Versicolor/Virginica) show lower and more variable scores, reflecting the known overlap between these two species.</w:t>
      </w:r>
    </w:p>
    <w:p w14:paraId="4FB072D5" w14:textId="77777777" w:rsidR="00F90AC8" w:rsidRDefault="00000000">
      <w:pPr>
        <w:spacing w:before="120" w:after="60"/>
        <w:jc w:val="center"/>
      </w:pPr>
      <w:r>
        <w:rPr>
          <w:noProof/>
        </w:rPr>
        <w:drawing>
          <wp:inline distT="0" distB="0" distL="0" distR="0" wp14:anchorId="045E98E2" wp14:editId="3C1BB619">
            <wp:extent cx="4667250" cy="2714625"/>
            <wp:effectExtent l="0" t="0" r="0" b="0"/>
            <wp:docPr id="423882001" name="Picture 42388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2714625"/>
                    </a:xfrm>
                    <a:prstGeom prst="rect">
                      <a:avLst/>
                    </a:prstGeom>
                  </pic:spPr>
                </pic:pic>
              </a:graphicData>
            </a:graphic>
          </wp:inline>
        </w:drawing>
      </w:r>
    </w:p>
    <w:p w14:paraId="3F3247DF" w14:textId="77777777" w:rsidR="00F90AC8" w:rsidRDefault="00000000">
      <w:pPr>
        <w:spacing w:before="60" w:after="160"/>
        <w:jc w:val="center"/>
      </w:pPr>
      <w:r>
        <w:rPr>
          <w:i/>
          <w:iCs/>
          <w:color w:val="444444"/>
          <w:sz w:val="18"/>
          <w:szCs w:val="18"/>
        </w:rPr>
        <w:t>Figure 3. Per-sample Silhouette plot for k=3 on the Iris dataset. Each cluster is shown with a distinct fill pattern. The dashed line marks the global mean score (~0.55).</w:t>
      </w:r>
    </w:p>
    <w:p w14:paraId="06FBFE79" w14:textId="77777777" w:rsidR="00F90AC8" w:rsidRDefault="00000000">
      <w:pPr>
        <w:pStyle w:val="Heading2"/>
      </w:pPr>
      <w:proofErr w:type="gramStart"/>
      <w:r>
        <w:t>4.4  Robustness</w:t>
      </w:r>
      <w:proofErr w:type="gramEnd"/>
      <w:r>
        <w:t xml:space="preserve"> to Noise</w:t>
      </w:r>
    </w:p>
    <w:p w14:paraId="0C5E0DE0" w14:textId="77777777" w:rsidR="00F90AC8" w:rsidRDefault="00000000">
      <w:pPr>
        <w:spacing w:before="60" w:after="80" w:line="276" w:lineRule="auto"/>
        <w:jc w:val="both"/>
      </w:pPr>
      <w:r>
        <w:t>Figure 4 demonstrates how the Silhouette Coefficient and Dunn Index degrade as Gaussian noise increases on synthetic 3-cluster data. Dunn degrades significantly faster, confirming its known sensitivity. The Dunn Index depends on the minimum inter-cluster distance, which is easily collapsed by a single noise point bridging two clusters.</w:t>
      </w:r>
    </w:p>
    <w:p w14:paraId="0F46FA68" w14:textId="77777777" w:rsidR="00F90AC8" w:rsidRDefault="00000000">
      <w:pPr>
        <w:spacing w:before="120" w:after="60"/>
        <w:jc w:val="center"/>
      </w:pPr>
      <w:r>
        <w:rPr>
          <w:noProof/>
        </w:rPr>
        <w:drawing>
          <wp:inline distT="0" distB="0" distL="0" distR="0" wp14:anchorId="0E25A611" wp14:editId="55608A81">
            <wp:extent cx="4667250" cy="2714625"/>
            <wp:effectExtent l="0" t="0" r="0" b="0"/>
            <wp:docPr id="479521609" name="Picture 47952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7250" cy="2714625"/>
                    </a:xfrm>
                    <a:prstGeom prst="rect">
                      <a:avLst/>
                    </a:prstGeom>
                  </pic:spPr>
                </pic:pic>
              </a:graphicData>
            </a:graphic>
          </wp:inline>
        </w:drawing>
      </w:r>
    </w:p>
    <w:p w14:paraId="31012BD1" w14:textId="77777777" w:rsidR="00F90AC8" w:rsidRDefault="00000000">
      <w:pPr>
        <w:spacing w:before="60" w:after="160"/>
        <w:jc w:val="center"/>
      </w:pPr>
      <w:r>
        <w:rPr>
          <w:i/>
          <w:iCs/>
          <w:color w:val="444444"/>
          <w:sz w:val="18"/>
          <w:szCs w:val="18"/>
        </w:rPr>
        <w:t xml:space="preserve">Figure 4. </w:t>
      </w:r>
      <w:proofErr w:type="spellStart"/>
      <w:r>
        <w:rPr>
          <w:i/>
          <w:iCs/>
          <w:color w:val="444444"/>
          <w:sz w:val="18"/>
          <w:szCs w:val="18"/>
        </w:rPr>
        <w:t>Normalised</w:t>
      </w:r>
      <w:proofErr w:type="spellEnd"/>
      <w:r>
        <w:rPr>
          <w:i/>
          <w:iCs/>
          <w:color w:val="444444"/>
          <w:sz w:val="18"/>
          <w:szCs w:val="18"/>
        </w:rPr>
        <w:t xml:space="preserve"> Silhouette Coefficient (solid) and Dunn Index (dashed) as Gaussian noise increases on a synthetic dataset (n=200). The Dunn Index degrades substantially faster, illustrating outlier sensitivity.</w:t>
      </w:r>
    </w:p>
    <w:p w14:paraId="5F732C46" w14:textId="77777777" w:rsidR="00972C39" w:rsidRDefault="00972C39">
      <w:pPr>
        <w:pStyle w:val="Heading2"/>
        <w:rPr>
          <w:rtl/>
        </w:rPr>
      </w:pPr>
    </w:p>
    <w:p w14:paraId="14FAC812" w14:textId="5497D27F" w:rsidR="00F90AC8" w:rsidRDefault="00000000">
      <w:pPr>
        <w:pStyle w:val="Heading2"/>
      </w:pPr>
      <w:proofErr w:type="gramStart"/>
      <w:r>
        <w:lastRenderedPageBreak/>
        <w:t>4.5  Qualitative</w:t>
      </w:r>
      <w:proofErr w:type="gramEnd"/>
      <w:r>
        <w:t xml:space="preserve"> Criteria Comparison</w:t>
      </w:r>
    </w:p>
    <w:p w14:paraId="73DA1787" w14:textId="77777777" w:rsidR="00F90AC8" w:rsidRDefault="00000000">
      <w:pPr>
        <w:spacing w:before="60" w:after="80" w:line="276" w:lineRule="auto"/>
        <w:jc w:val="both"/>
      </w:pPr>
      <w:r>
        <w:t xml:space="preserve">Figure 5 </w:t>
      </w:r>
      <w:proofErr w:type="spellStart"/>
      <w:r>
        <w:t>summarises</w:t>
      </w:r>
      <w:proofErr w:type="spellEnd"/>
      <w:r>
        <w:t xml:space="preserve"> a qualitative scoring of all five methods across five key practical criteria: objectivity, separation awareness, outlier robustness, scalability, and interpretability. Silhouette and Davies-Bouldin score highest overall.</w:t>
      </w:r>
    </w:p>
    <w:p w14:paraId="10C590B4" w14:textId="77777777" w:rsidR="00F90AC8" w:rsidRDefault="00000000">
      <w:pPr>
        <w:spacing w:before="120" w:after="60"/>
        <w:jc w:val="center"/>
      </w:pPr>
      <w:r>
        <w:rPr>
          <w:noProof/>
        </w:rPr>
        <w:drawing>
          <wp:inline distT="0" distB="0" distL="0" distR="0" wp14:anchorId="73AE56C5" wp14:editId="0243B097">
            <wp:extent cx="5334000" cy="2857500"/>
            <wp:effectExtent l="0" t="0" r="0" b="0"/>
            <wp:docPr id="583333113" name="Picture 58333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57500"/>
                    </a:xfrm>
                    <a:prstGeom prst="rect">
                      <a:avLst/>
                    </a:prstGeom>
                  </pic:spPr>
                </pic:pic>
              </a:graphicData>
            </a:graphic>
          </wp:inline>
        </w:drawing>
      </w:r>
    </w:p>
    <w:p w14:paraId="064D0A35" w14:textId="77777777" w:rsidR="00F90AC8" w:rsidRDefault="00000000">
      <w:pPr>
        <w:spacing w:before="60" w:after="160"/>
        <w:jc w:val="center"/>
      </w:pPr>
      <w:r>
        <w:rPr>
          <w:i/>
          <w:iCs/>
          <w:color w:val="444444"/>
          <w:sz w:val="18"/>
          <w:szCs w:val="18"/>
        </w:rPr>
        <w:t>Figure 5. Qualitative comparison scores (1=poor, 5=excellent) across five criteria for each validation index. Scores are based on theoretical properties and empirical evidence from the literature.</w:t>
      </w:r>
    </w:p>
    <w:p w14:paraId="548D4B4D" w14:textId="77777777" w:rsidR="00F90AC8" w:rsidRDefault="00F90AC8">
      <w:pPr>
        <w:spacing w:after="80"/>
      </w:pPr>
    </w:p>
    <w:p w14:paraId="4B8E9DB7" w14:textId="77777777" w:rsidR="00F90AC8" w:rsidRDefault="00000000">
      <w:pPr>
        <w:pStyle w:val="Heading1"/>
        <w:pBdr>
          <w:bottom w:val="single" w:sz="6" w:space="4" w:color="333333"/>
        </w:pBdr>
      </w:pPr>
      <w:r>
        <w:t>5. Empirical Evidence from Recent Literature</w:t>
      </w:r>
    </w:p>
    <w:p w14:paraId="39456007" w14:textId="77777777" w:rsidR="00F90AC8" w:rsidRDefault="00000000">
      <w:pPr>
        <w:spacing w:before="60" w:after="80" w:line="276" w:lineRule="auto"/>
        <w:jc w:val="both"/>
      </w:pPr>
      <w:r>
        <w:t xml:space="preserve">Chicco and </w:t>
      </w:r>
      <w:proofErr w:type="spellStart"/>
      <w:r>
        <w:t>Campagner</w:t>
      </w:r>
      <w:proofErr w:type="spellEnd"/>
      <w:r>
        <w:t xml:space="preserve"> (2025) conducted a comprehensive evaluation of six internal clustering indices — Silhouette, Davies-Bouldin, Dunn, Calinski-Harabasz, Shannon entropy, and the Gap statistic — across six artificial convex datasets and a real-world electronic health record (EHR) dataset. Performance was measured by agreement with external validation (Adjusted Rand Index, ARI).</w:t>
      </w:r>
    </w:p>
    <w:p w14:paraId="3581D19F" w14:textId="77777777" w:rsidR="00F90AC8" w:rsidRDefault="00000000">
      <w:pPr>
        <w:spacing w:before="60" w:after="80" w:line="276" w:lineRule="auto"/>
        <w:jc w:val="both"/>
      </w:pPr>
      <w:r>
        <w:t xml:space="preserve">Key findings: (1) The Silhouette Coefficient and Davies-Bouldin Index achieved consistent, reliable performance in 100% of test scenarios. (2) Dunn Index and </w:t>
      </w:r>
      <w:proofErr w:type="spellStart"/>
      <w:r>
        <w:t>Calinski-Harabasz</w:t>
      </w:r>
      <w:proofErr w:type="spellEnd"/>
      <w:r>
        <w:t xml:space="preserve"> performed well on clean artificial data but degraded significantly on noisy or real-world datasets. (3) Shannon entropy and Gap statistic showed mixed and unstable performance.</w:t>
      </w:r>
    </w:p>
    <w:p w14:paraId="50539BE0" w14:textId="77777777" w:rsidR="00F90AC8" w:rsidRDefault="00F90AC8">
      <w:pPr>
        <w:spacing w:after="60"/>
      </w:pPr>
    </w:p>
    <w:p w14:paraId="328FB56B" w14:textId="77777777" w:rsidR="00F90AC8" w:rsidRDefault="00000000">
      <w:pPr>
        <w:spacing w:before="80" w:after="80"/>
      </w:pPr>
      <w:r>
        <w:rPr>
          <w:i/>
          <w:iCs/>
          <w:color w:val="444444"/>
          <w:sz w:val="18"/>
          <w:szCs w:val="18"/>
        </w:rPr>
        <w:t xml:space="preserve">Table 2. Summary of index performance from Chicco and </w:t>
      </w:r>
      <w:proofErr w:type="spellStart"/>
      <w:r>
        <w:rPr>
          <w:i/>
          <w:iCs/>
          <w:color w:val="444444"/>
          <w:sz w:val="18"/>
          <w:szCs w:val="18"/>
        </w:rPr>
        <w:t>Campagner</w:t>
      </w:r>
      <w:proofErr w:type="spellEnd"/>
      <w:r>
        <w:rPr>
          <w:i/>
          <w:iCs/>
          <w:color w:val="444444"/>
          <w:sz w:val="18"/>
          <w:szCs w:val="18"/>
        </w:rPr>
        <w:t xml:space="preserve"> (2025).</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1800"/>
        <w:gridCol w:w="1860"/>
      </w:tblGrid>
      <w:tr w:rsidR="00F90AC8" w14:paraId="27FD03EA" w14:textId="77777777">
        <w:tblPrEx>
          <w:tblCellMar>
            <w:top w:w="0" w:type="dxa"/>
            <w:bottom w:w="0" w:type="dxa"/>
          </w:tblCellMar>
        </w:tblPrEx>
        <w:trPr>
          <w:tblHeader/>
        </w:trPr>
        <w:tc>
          <w:tcPr>
            <w:tcW w:w="21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00" w:type="dxa"/>
              <w:bottom w:w="80" w:type="dxa"/>
              <w:right w:w="100" w:type="dxa"/>
            </w:tcMar>
            <w:vAlign w:val="center"/>
          </w:tcPr>
          <w:p w14:paraId="4E2FA9EE" w14:textId="77777777" w:rsidR="00F90AC8" w:rsidRDefault="00000000">
            <w:pPr>
              <w:jc w:val="center"/>
            </w:pPr>
            <w:r>
              <w:rPr>
                <w:b/>
                <w:bCs/>
                <w:color w:val="FFFFFF"/>
                <w:sz w:val="18"/>
                <w:szCs w:val="18"/>
              </w:rPr>
              <w:t>Index</w:t>
            </w:r>
          </w:p>
        </w:tc>
        <w:tc>
          <w:tcPr>
            <w:tcW w:w="18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00" w:type="dxa"/>
              <w:bottom w:w="80" w:type="dxa"/>
              <w:right w:w="100" w:type="dxa"/>
            </w:tcMar>
            <w:vAlign w:val="center"/>
          </w:tcPr>
          <w:p w14:paraId="1596E40F" w14:textId="77777777" w:rsidR="00F90AC8" w:rsidRDefault="00000000">
            <w:pPr>
              <w:jc w:val="center"/>
            </w:pPr>
            <w:r>
              <w:rPr>
                <w:b/>
                <w:bCs/>
                <w:color w:val="FFFFFF"/>
                <w:sz w:val="18"/>
                <w:szCs w:val="18"/>
              </w:rPr>
              <w:t>Artificial Convex Data</w:t>
            </w:r>
          </w:p>
        </w:tc>
        <w:tc>
          <w:tcPr>
            <w:tcW w:w="18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00" w:type="dxa"/>
              <w:bottom w:w="80" w:type="dxa"/>
              <w:right w:w="100" w:type="dxa"/>
            </w:tcMar>
            <w:vAlign w:val="center"/>
          </w:tcPr>
          <w:p w14:paraId="58B7C9B2" w14:textId="77777777" w:rsidR="00F90AC8" w:rsidRDefault="00000000">
            <w:pPr>
              <w:jc w:val="center"/>
            </w:pPr>
            <w:r>
              <w:rPr>
                <w:b/>
                <w:bCs/>
                <w:color w:val="FFFFFF"/>
                <w:sz w:val="18"/>
                <w:szCs w:val="18"/>
              </w:rPr>
              <w:t>Real-World (EHR) Data</w:t>
            </w:r>
          </w:p>
        </w:tc>
        <w:tc>
          <w:tcPr>
            <w:tcW w:w="186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00" w:type="dxa"/>
              <w:bottom w:w="80" w:type="dxa"/>
              <w:right w:w="100" w:type="dxa"/>
            </w:tcMar>
            <w:vAlign w:val="center"/>
          </w:tcPr>
          <w:p w14:paraId="1DC19EFD" w14:textId="77777777" w:rsidR="00F90AC8" w:rsidRDefault="00000000">
            <w:pPr>
              <w:jc w:val="center"/>
            </w:pPr>
            <w:r>
              <w:rPr>
                <w:b/>
                <w:bCs/>
                <w:color w:val="FFFFFF"/>
                <w:sz w:val="18"/>
                <w:szCs w:val="18"/>
              </w:rPr>
              <w:t>Overall Reliability</w:t>
            </w:r>
          </w:p>
        </w:tc>
      </w:tr>
      <w:tr w:rsidR="00F90AC8" w14:paraId="1C2AAB78"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308BDDBC" w14:textId="77777777" w:rsidR="00F90AC8" w:rsidRDefault="00000000">
            <w:pPr>
              <w:jc w:val="center"/>
            </w:pPr>
            <w:r>
              <w:rPr>
                <w:sz w:val="17"/>
                <w:szCs w:val="17"/>
              </w:rPr>
              <w:t>Silhouette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00C631D8" w14:textId="77777777" w:rsidR="00F90AC8" w:rsidRDefault="00000000">
            <w:pPr>
              <w:jc w:val="center"/>
            </w:pPr>
            <w:r>
              <w:rPr>
                <w:sz w:val="17"/>
                <w:szCs w:val="17"/>
              </w:rPr>
              <w:t>High</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4E72D5F4" w14:textId="77777777" w:rsidR="00F90AC8" w:rsidRDefault="00000000">
            <w:pPr>
              <w:jc w:val="center"/>
            </w:pPr>
            <w:r>
              <w:rPr>
                <w:sz w:val="17"/>
                <w:szCs w:val="17"/>
              </w:rPr>
              <w:t>High</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2686CB1C" w14:textId="77777777" w:rsidR="00F90AC8" w:rsidRDefault="00000000">
            <w:pPr>
              <w:jc w:val="center"/>
            </w:pPr>
            <w:r>
              <w:rPr>
                <w:sz w:val="17"/>
                <w:szCs w:val="17"/>
              </w:rPr>
              <w:t>Consistent (100%)</w:t>
            </w:r>
          </w:p>
        </w:tc>
      </w:tr>
      <w:tr w:rsidR="00F90AC8" w14:paraId="0CEE132D"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C00DA36" w14:textId="77777777" w:rsidR="00F90AC8" w:rsidRDefault="00000000">
            <w:pPr>
              <w:jc w:val="center"/>
            </w:pPr>
            <w:r>
              <w:rPr>
                <w:sz w:val="17"/>
                <w:szCs w:val="17"/>
              </w:rPr>
              <w:t>Davies-Bouldin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7C00543" w14:textId="77777777" w:rsidR="00F90AC8" w:rsidRDefault="00000000">
            <w:pPr>
              <w:jc w:val="center"/>
            </w:pPr>
            <w:r>
              <w:rPr>
                <w:sz w:val="17"/>
                <w:szCs w:val="17"/>
              </w:rPr>
              <w:t>High</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C96A54B" w14:textId="77777777" w:rsidR="00F90AC8" w:rsidRDefault="00000000">
            <w:pPr>
              <w:jc w:val="center"/>
            </w:pPr>
            <w:r>
              <w:rPr>
                <w:sz w:val="17"/>
                <w:szCs w:val="17"/>
              </w:rPr>
              <w:t>High</w:t>
            </w:r>
          </w:p>
        </w:tc>
        <w:tc>
          <w:tcPr>
            <w:tcW w:w="1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A5012CD" w14:textId="77777777" w:rsidR="00F90AC8" w:rsidRDefault="00000000">
            <w:pPr>
              <w:jc w:val="center"/>
            </w:pPr>
            <w:r>
              <w:rPr>
                <w:sz w:val="17"/>
                <w:szCs w:val="17"/>
              </w:rPr>
              <w:t>Consistent (100%)</w:t>
            </w:r>
          </w:p>
        </w:tc>
      </w:tr>
      <w:tr w:rsidR="00F90AC8" w14:paraId="403B087B"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24624A84" w14:textId="77777777" w:rsidR="00F90AC8" w:rsidRDefault="00000000">
            <w:pPr>
              <w:jc w:val="center"/>
            </w:pPr>
            <w:r>
              <w:rPr>
                <w:sz w:val="17"/>
                <w:szCs w:val="17"/>
              </w:rPr>
              <w:t>Dunn Index</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69D16106" w14:textId="77777777" w:rsidR="00F90AC8" w:rsidRDefault="00000000">
            <w:pPr>
              <w:jc w:val="center"/>
            </w:pPr>
            <w:r>
              <w:rPr>
                <w:sz w:val="17"/>
                <w:szCs w:val="17"/>
              </w:rPr>
              <w:t>High</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2084106D" w14:textId="77777777" w:rsidR="00F90AC8" w:rsidRDefault="00000000">
            <w:pPr>
              <w:jc w:val="center"/>
            </w:pPr>
            <w:r>
              <w:rPr>
                <w:sz w:val="17"/>
                <w:szCs w:val="17"/>
              </w:rPr>
              <w:t>Low</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0576F8FF" w14:textId="77777777" w:rsidR="00F90AC8" w:rsidRDefault="00000000">
            <w:pPr>
              <w:jc w:val="center"/>
            </w:pPr>
            <w:r>
              <w:rPr>
                <w:sz w:val="17"/>
                <w:szCs w:val="17"/>
              </w:rPr>
              <w:t>Degrades with noise</w:t>
            </w:r>
          </w:p>
        </w:tc>
      </w:tr>
      <w:tr w:rsidR="00F90AC8" w14:paraId="00346CE7"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3C13937" w14:textId="77777777" w:rsidR="00F90AC8" w:rsidRDefault="00000000">
            <w:pPr>
              <w:jc w:val="center"/>
            </w:pPr>
            <w:r>
              <w:rPr>
                <w:sz w:val="17"/>
                <w:szCs w:val="17"/>
              </w:rPr>
              <w:t>Calinski-</w:t>
            </w:r>
            <w:proofErr w:type="spellStart"/>
            <w:r>
              <w:rPr>
                <w:sz w:val="17"/>
                <w:szCs w:val="17"/>
              </w:rPr>
              <w:t>Harabasz</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6BCC75A" w14:textId="77777777" w:rsidR="00F90AC8" w:rsidRDefault="00000000">
            <w:pPr>
              <w:jc w:val="center"/>
            </w:pPr>
            <w:r>
              <w:rPr>
                <w:sz w:val="17"/>
                <w:szCs w:val="17"/>
              </w:rPr>
              <w:t>High</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3388F66" w14:textId="77777777" w:rsidR="00F90AC8" w:rsidRDefault="00000000">
            <w:pPr>
              <w:jc w:val="center"/>
            </w:pPr>
            <w:r>
              <w:rPr>
                <w:sz w:val="17"/>
                <w:szCs w:val="17"/>
              </w:rPr>
              <w:t>Medium</w:t>
            </w:r>
          </w:p>
        </w:tc>
        <w:tc>
          <w:tcPr>
            <w:tcW w:w="1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BE235BE" w14:textId="77777777" w:rsidR="00F90AC8" w:rsidRDefault="00000000">
            <w:pPr>
              <w:jc w:val="center"/>
            </w:pPr>
            <w:r>
              <w:rPr>
                <w:sz w:val="17"/>
                <w:szCs w:val="17"/>
              </w:rPr>
              <w:t>Dataset-dependent</w:t>
            </w:r>
          </w:p>
        </w:tc>
      </w:tr>
      <w:tr w:rsidR="00F90AC8" w14:paraId="5B35F218"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76429A34" w14:textId="77777777" w:rsidR="00F90AC8" w:rsidRDefault="00000000">
            <w:pPr>
              <w:jc w:val="center"/>
            </w:pPr>
            <w:r>
              <w:rPr>
                <w:sz w:val="17"/>
                <w:szCs w:val="17"/>
              </w:rPr>
              <w:t>Shannon Entropy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7422B73F" w14:textId="77777777" w:rsidR="00F90AC8" w:rsidRDefault="00000000">
            <w:pPr>
              <w:jc w:val="center"/>
            </w:pPr>
            <w:r>
              <w:rPr>
                <w:sz w:val="17"/>
                <w:szCs w:val="17"/>
              </w:rPr>
              <w:t>Medium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72DCEBF0" w14:textId="77777777" w:rsidR="00F90AC8" w:rsidRDefault="00000000">
            <w:pPr>
              <w:jc w:val="center"/>
            </w:pPr>
            <w:r>
              <w:rPr>
                <w:sz w:val="17"/>
                <w:szCs w:val="17"/>
              </w:rPr>
              <w:t>Low</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2054405D" w14:textId="77777777" w:rsidR="00F90AC8" w:rsidRDefault="00000000">
            <w:pPr>
              <w:jc w:val="center"/>
            </w:pPr>
            <w:r>
              <w:rPr>
                <w:sz w:val="17"/>
                <w:szCs w:val="17"/>
              </w:rPr>
              <w:t>Unstable</w:t>
            </w:r>
          </w:p>
        </w:tc>
      </w:tr>
      <w:tr w:rsidR="00F90AC8" w14:paraId="5AC64D82"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F957968" w14:textId="77777777" w:rsidR="00F90AC8" w:rsidRDefault="00000000">
            <w:pPr>
              <w:jc w:val="center"/>
            </w:pPr>
            <w:r>
              <w:rPr>
                <w:sz w:val="17"/>
                <w:szCs w:val="17"/>
              </w:rPr>
              <w:t>Gap Statistic</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45F59D4" w14:textId="77777777" w:rsidR="00F90AC8" w:rsidRDefault="00000000">
            <w:pPr>
              <w:jc w:val="center"/>
            </w:pPr>
            <w:r>
              <w:rPr>
                <w:sz w:val="17"/>
                <w:szCs w:val="17"/>
              </w:rPr>
              <w:t>Medium</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9060C0F" w14:textId="77777777" w:rsidR="00F90AC8" w:rsidRDefault="00000000">
            <w:pPr>
              <w:jc w:val="center"/>
            </w:pPr>
            <w:r>
              <w:rPr>
                <w:sz w:val="17"/>
                <w:szCs w:val="17"/>
              </w:rPr>
              <w:t>Low</w:t>
            </w:r>
          </w:p>
        </w:tc>
        <w:tc>
          <w:tcPr>
            <w:tcW w:w="1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8096076" w14:textId="77777777" w:rsidR="00F90AC8" w:rsidRDefault="00000000">
            <w:pPr>
              <w:jc w:val="center"/>
            </w:pPr>
            <w:r>
              <w:rPr>
                <w:sz w:val="17"/>
                <w:szCs w:val="17"/>
              </w:rPr>
              <w:t>Unstable</w:t>
            </w:r>
          </w:p>
        </w:tc>
      </w:tr>
    </w:tbl>
    <w:p w14:paraId="04984860" w14:textId="77777777" w:rsidR="00F90AC8" w:rsidRDefault="00F90AC8">
      <w:pPr>
        <w:spacing w:after="100"/>
      </w:pPr>
    </w:p>
    <w:p w14:paraId="611D3DAD" w14:textId="77777777" w:rsidR="00F90AC8" w:rsidRDefault="00000000">
      <w:pPr>
        <w:pStyle w:val="Heading1"/>
        <w:pBdr>
          <w:bottom w:val="single" w:sz="6" w:space="4" w:color="333333"/>
        </w:pBdr>
      </w:pPr>
      <w:r>
        <w:lastRenderedPageBreak/>
        <w:t>6. Discussion and Recommendations</w:t>
      </w:r>
    </w:p>
    <w:p w14:paraId="39D3F588" w14:textId="77777777" w:rsidR="00F90AC8" w:rsidRDefault="00000000">
      <w:pPr>
        <w:spacing w:before="60" w:after="80" w:line="276" w:lineRule="auto"/>
        <w:jc w:val="both"/>
      </w:pPr>
      <w:r>
        <w:t xml:space="preserve">No single universal index exists that dominates all scenarios. The following guidelines </w:t>
      </w:r>
      <w:proofErr w:type="spellStart"/>
      <w:r>
        <w:t>summarise</w:t>
      </w:r>
      <w:proofErr w:type="spellEnd"/>
      <w:r>
        <w:t xml:space="preserve"> best practices based on theoretical properties and empirical evidence:</w:t>
      </w:r>
    </w:p>
    <w:p w14:paraId="137F3A86" w14:textId="77777777" w:rsidR="00F90AC8" w:rsidRDefault="00000000">
      <w:pPr>
        <w:pStyle w:val="ListParagraph"/>
        <w:numPr>
          <w:ilvl w:val="0"/>
          <w:numId w:val="2"/>
        </w:numPr>
        <w:spacing w:before="40" w:after="60"/>
      </w:pPr>
      <w:r>
        <w:rPr>
          <w:b/>
          <w:bCs/>
        </w:rPr>
        <w:t xml:space="preserve">Default choice: </w:t>
      </w:r>
      <w:r>
        <w:t>Use Silhouette Coefficient and Davies-Bouldin Index together. They are the most reliable across both artificial and real-world datasets, natively supported in scikit-learn.</w:t>
      </w:r>
    </w:p>
    <w:p w14:paraId="12F4F189" w14:textId="77777777" w:rsidR="00F90AC8" w:rsidRDefault="00000000">
      <w:pPr>
        <w:pStyle w:val="ListParagraph"/>
        <w:numPr>
          <w:ilvl w:val="0"/>
          <w:numId w:val="2"/>
        </w:numPr>
        <w:spacing w:before="40" w:after="60"/>
      </w:pPr>
      <w:r>
        <w:rPr>
          <w:b/>
          <w:bCs/>
        </w:rPr>
        <w:t xml:space="preserve">Large-scale data (n &gt; 10,000): </w:t>
      </w:r>
      <w:r>
        <w:t xml:space="preserve">Prefer the Elbow Method or </w:t>
      </w:r>
      <w:proofErr w:type="spellStart"/>
      <w:r>
        <w:t>Calinski-Harabasz</w:t>
      </w:r>
      <w:proofErr w:type="spellEnd"/>
      <w:r>
        <w:t xml:space="preserve"> Index for their O(</w:t>
      </w:r>
      <w:proofErr w:type="spellStart"/>
      <w:r>
        <w:t>nk</w:t>
      </w:r>
      <w:proofErr w:type="spellEnd"/>
      <w:r>
        <w:t>) complexity. Consider approximate Silhouette methods for moderate n.</w:t>
      </w:r>
    </w:p>
    <w:p w14:paraId="59E2D9DA" w14:textId="77777777" w:rsidR="00F90AC8" w:rsidRDefault="00000000">
      <w:pPr>
        <w:pStyle w:val="ListParagraph"/>
        <w:numPr>
          <w:ilvl w:val="0"/>
          <w:numId w:val="2"/>
        </w:numPr>
        <w:spacing w:before="40" w:after="60"/>
      </w:pPr>
      <w:r>
        <w:rPr>
          <w:b/>
          <w:bCs/>
        </w:rPr>
        <w:t xml:space="preserve">Dunn Index usage: </w:t>
      </w:r>
      <w:r>
        <w:t>Reserve for small, clean, outlier-free datasets where a principled compactness-separation ratio is required.</w:t>
      </w:r>
    </w:p>
    <w:p w14:paraId="6ECC6C2A" w14:textId="77777777" w:rsidR="00F90AC8" w:rsidRDefault="00000000">
      <w:pPr>
        <w:pStyle w:val="ListParagraph"/>
        <w:numPr>
          <w:ilvl w:val="0"/>
          <w:numId w:val="2"/>
        </w:numPr>
        <w:spacing w:before="40" w:after="60"/>
      </w:pPr>
      <w:r>
        <w:rPr>
          <w:b/>
          <w:bCs/>
        </w:rPr>
        <w:t xml:space="preserve">Multi-index approach: </w:t>
      </w:r>
      <w:r>
        <w:t>Compute multiple indices and seek consensus. Disagreement among indices signals ambiguous or non-convex cluster structure.</w:t>
      </w:r>
    </w:p>
    <w:p w14:paraId="335E7DA5" w14:textId="77777777" w:rsidR="00F90AC8" w:rsidRDefault="00000000">
      <w:pPr>
        <w:pStyle w:val="ListParagraph"/>
        <w:numPr>
          <w:ilvl w:val="0"/>
          <w:numId w:val="2"/>
        </w:numPr>
        <w:spacing w:before="40" w:after="60"/>
      </w:pPr>
      <w:r>
        <w:rPr>
          <w:b/>
          <w:bCs/>
        </w:rPr>
        <w:t xml:space="preserve">Visual inspection: </w:t>
      </w:r>
      <w:r>
        <w:t>Always complement numeric indices with PCA or t-SNE projections and domain expertise.</w:t>
      </w:r>
    </w:p>
    <w:p w14:paraId="4B06FC7B" w14:textId="77777777" w:rsidR="00F90AC8" w:rsidRDefault="00F90AC8">
      <w:pPr>
        <w:spacing w:after="80"/>
      </w:pPr>
    </w:p>
    <w:p w14:paraId="6610D6D8" w14:textId="77777777" w:rsidR="00F90AC8" w:rsidRDefault="00000000">
      <w:pPr>
        <w:pStyle w:val="Heading1"/>
        <w:pBdr>
          <w:bottom w:val="single" w:sz="6" w:space="4" w:color="333333"/>
        </w:pBdr>
      </w:pPr>
      <w:r>
        <w:t>7. Conclusion</w:t>
      </w:r>
    </w:p>
    <w:p w14:paraId="2F0F0658" w14:textId="77777777" w:rsidR="00F90AC8" w:rsidRDefault="00000000">
      <w:pPr>
        <w:spacing w:before="60" w:after="80" w:line="276" w:lineRule="auto"/>
        <w:jc w:val="both"/>
      </w:pPr>
      <w:r>
        <w:t xml:space="preserve">This paper has provided a systematic analysis of five internal clustering validation indices. The Elbow Method offers speed and simplicity at the expense of subjectivity. The Dunn Index offers a principled compactness-separation ratio but is computationally expensive and fragile in the presence of outliers. The Silhouette Coefficient and Davies-Bouldin Index emerge as the most robust and informative choices across both artificial and real-world clustering tasks, a conclusion reinforced by the empirical evidence of Chicco and </w:t>
      </w:r>
      <w:proofErr w:type="spellStart"/>
      <w:r>
        <w:t>Campagner</w:t>
      </w:r>
      <w:proofErr w:type="spellEnd"/>
      <w:r>
        <w:t xml:space="preserve"> (2025). The </w:t>
      </w:r>
      <w:proofErr w:type="spellStart"/>
      <w:r>
        <w:t>Calinski-Harabasz</w:t>
      </w:r>
      <w:proofErr w:type="spellEnd"/>
      <w:r>
        <w:t xml:space="preserve"> Index is an efficient choice for large spherical-cluster scenarios. Practitioners are strongly encouraged to adopt a multi-index strategy rather than relying on any single metric.</w:t>
      </w:r>
    </w:p>
    <w:p w14:paraId="6E732AB1" w14:textId="77777777" w:rsidR="00F90AC8" w:rsidRDefault="00F90AC8">
      <w:pPr>
        <w:pBdr>
          <w:bottom w:val="single" w:sz="4" w:space="1" w:color="888888"/>
        </w:pBdr>
        <w:spacing w:before="120" w:after="120"/>
      </w:pPr>
    </w:p>
    <w:p w14:paraId="5339C881" w14:textId="77777777" w:rsidR="00F90AC8" w:rsidRDefault="00000000">
      <w:pPr>
        <w:pStyle w:val="Heading1"/>
        <w:pBdr>
          <w:bottom w:val="single" w:sz="6" w:space="4" w:color="333333"/>
        </w:pBdr>
      </w:pPr>
      <w:r>
        <w:t>References</w:t>
      </w:r>
    </w:p>
    <w:p w14:paraId="6ACDCE9C" w14:textId="77777777" w:rsidR="00F90AC8" w:rsidRDefault="00000000">
      <w:pPr>
        <w:spacing w:before="40" w:after="80"/>
        <w:ind w:left="440" w:hanging="440"/>
      </w:pPr>
      <w:r>
        <w:rPr>
          <w:color w:val="444444"/>
          <w:sz w:val="19"/>
          <w:szCs w:val="19"/>
        </w:rPr>
        <w:t xml:space="preserve">Calinski, T., &amp; </w:t>
      </w:r>
      <w:proofErr w:type="spellStart"/>
      <w:r>
        <w:rPr>
          <w:color w:val="444444"/>
          <w:sz w:val="19"/>
          <w:szCs w:val="19"/>
        </w:rPr>
        <w:t>Harabasz</w:t>
      </w:r>
      <w:proofErr w:type="spellEnd"/>
      <w:r>
        <w:rPr>
          <w:color w:val="444444"/>
          <w:sz w:val="19"/>
          <w:szCs w:val="19"/>
        </w:rPr>
        <w:t>, J. (1974). A dendrite method for cluster analysis. Communications in Statistics — Theory and Methods, 3(1), 1–27. https://doi.org/10.1080/03610927408827101</w:t>
      </w:r>
    </w:p>
    <w:p w14:paraId="747C1707" w14:textId="77777777" w:rsidR="00F90AC8" w:rsidRDefault="00000000">
      <w:pPr>
        <w:spacing w:before="40" w:after="80"/>
        <w:ind w:left="440" w:hanging="440"/>
      </w:pPr>
      <w:r>
        <w:rPr>
          <w:color w:val="444444"/>
          <w:sz w:val="19"/>
          <w:szCs w:val="19"/>
        </w:rPr>
        <w:t xml:space="preserve">Chicco, D., &amp; </w:t>
      </w:r>
      <w:proofErr w:type="spellStart"/>
      <w:r>
        <w:rPr>
          <w:color w:val="444444"/>
          <w:sz w:val="19"/>
          <w:szCs w:val="19"/>
        </w:rPr>
        <w:t>Campagner</w:t>
      </w:r>
      <w:proofErr w:type="spellEnd"/>
      <w:r>
        <w:rPr>
          <w:color w:val="444444"/>
          <w:sz w:val="19"/>
          <w:szCs w:val="19"/>
        </w:rPr>
        <w:t xml:space="preserve">, A. (2025). The Silhouette coefficient and the Davies-Bouldin index are more informative than Dunn index, </w:t>
      </w:r>
      <w:proofErr w:type="spellStart"/>
      <w:r>
        <w:rPr>
          <w:color w:val="444444"/>
          <w:sz w:val="19"/>
          <w:szCs w:val="19"/>
        </w:rPr>
        <w:t>Calinski-Harabasz</w:t>
      </w:r>
      <w:proofErr w:type="spellEnd"/>
      <w:r>
        <w:rPr>
          <w:color w:val="444444"/>
          <w:sz w:val="19"/>
          <w:szCs w:val="19"/>
        </w:rPr>
        <w:t xml:space="preserve"> index, Shannon entropy, and Gap statistic for unsupervised clustering internal evaluation of two convex clusters. </w:t>
      </w:r>
      <w:proofErr w:type="spellStart"/>
      <w:r>
        <w:rPr>
          <w:color w:val="444444"/>
          <w:sz w:val="19"/>
          <w:szCs w:val="19"/>
        </w:rPr>
        <w:t>PeerJ</w:t>
      </w:r>
      <w:proofErr w:type="spellEnd"/>
      <w:r>
        <w:rPr>
          <w:color w:val="444444"/>
          <w:sz w:val="19"/>
          <w:szCs w:val="19"/>
        </w:rPr>
        <w:t xml:space="preserve"> Computer Science, 11, Article e3309. https://doi.org/10.7717/peerj-cs.3309</w:t>
      </w:r>
    </w:p>
    <w:p w14:paraId="578C5829" w14:textId="77777777" w:rsidR="00F90AC8" w:rsidRDefault="00000000">
      <w:pPr>
        <w:spacing w:before="40" w:after="80"/>
        <w:ind w:left="440" w:hanging="440"/>
      </w:pPr>
      <w:r>
        <w:rPr>
          <w:color w:val="444444"/>
          <w:sz w:val="19"/>
          <w:szCs w:val="19"/>
        </w:rPr>
        <w:t>Davies, D. L., &amp; Bouldin, D. W. (1979). A cluster separation measure. IEEE Transactions on Pattern Analysis and Machine Intelligence, 1(2), 224–227. https://doi.org/10.1109/TPAMI.1979.4766909</w:t>
      </w:r>
    </w:p>
    <w:p w14:paraId="3E1EF709" w14:textId="77777777" w:rsidR="00F90AC8" w:rsidRDefault="00000000">
      <w:pPr>
        <w:spacing w:before="40" w:after="80"/>
        <w:ind w:left="440" w:hanging="440"/>
      </w:pPr>
      <w:r>
        <w:rPr>
          <w:color w:val="444444"/>
          <w:sz w:val="19"/>
          <w:szCs w:val="19"/>
        </w:rPr>
        <w:t>Dunn, J. C. (1974). Well-separated clusters and optimal fuzzy partitions. Journal of Cybernetics, 4(1), 95–104. https://doi.org/10.1080/01969727408546059</w:t>
      </w:r>
    </w:p>
    <w:p w14:paraId="44F7DB74" w14:textId="77777777" w:rsidR="00F90AC8" w:rsidRDefault="00000000">
      <w:pPr>
        <w:spacing w:before="40" w:after="80"/>
        <w:ind w:left="440" w:hanging="440"/>
      </w:pPr>
      <w:r>
        <w:rPr>
          <w:color w:val="444444"/>
          <w:sz w:val="19"/>
          <w:szCs w:val="19"/>
        </w:rPr>
        <w:t>Elbow method (clustering). (n.d.). In Wikipedia. https://en.wikipedia.org/wiki/Elbow_method_(clustering)</w:t>
      </w:r>
    </w:p>
    <w:p w14:paraId="73AABA0B" w14:textId="77777777" w:rsidR="00F90AC8" w:rsidRDefault="00000000">
      <w:pPr>
        <w:spacing w:before="40" w:after="80"/>
        <w:ind w:left="440" w:hanging="440"/>
      </w:pPr>
      <w:proofErr w:type="spellStart"/>
      <w:r>
        <w:rPr>
          <w:color w:val="444444"/>
          <w:sz w:val="19"/>
          <w:szCs w:val="19"/>
        </w:rPr>
        <w:t>GeeksforGeeks</w:t>
      </w:r>
      <w:proofErr w:type="spellEnd"/>
      <w:r>
        <w:rPr>
          <w:color w:val="444444"/>
          <w:sz w:val="19"/>
          <w:szCs w:val="19"/>
        </w:rPr>
        <w:t>. (n.d.). Silhouette Index — Cluster Validity Index. https://www.geeksforgeeks.org/machine-learning/silhouette-index-cluster-validity-index-set-2/</w:t>
      </w:r>
    </w:p>
    <w:p w14:paraId="77B02E14" w14:textId="77777777" w:rsidR="00F90AC8" w:rsidRDefault="00000000">
      <w:pPr>
        <w:spacing w:before="40" w:after="80"/>
        <w:ind w:left="440" w:hanging="440"/>
      </w:pPr>
      <w:r>
        <w:rPr>
          <w:color w:val="444444"/>
          <w:sz w:val="19"/>
          <w:szCs w:val="19"/>
        </w:rPr>
        <w:t xml:space="preserve">Pedregosa, F., </w:t>
      </w:r>
      <w:proofErr w:type="spellStart"/>
      <w:r>
        <w:rPr>
          <w:color w:val="444444"/>
          <w:sz w:val="19"/>
          <w:szCs w:val="19"/>
        </w:rPr>
        <w:t>Varoquaux</w:t>
      </w:r>
      <w:proofErr w:type="spellEnd"/>
      <w:r>
        <w:rPr>
          <w:color w:val="444444"/>
          <w:sz w:val="19"/>
          <w:szCs w:val="19"/>
        </w:rPr>
        <w:t xml:space="preserve">, G., </w:t>
      </w:r>
      <w:proofErr w:type="spellStart"/>
      <w:r>
        <w:rPr>
          <w:color w:val="444444"/>
          <w:sz w:val="19"/>
          <w:szCs w:val="19"/>
        </w:rPr>
        <w:t>Gramfort</w:t>
      </w:r>
      <w:proofErr w:type="spellEnd"/>
      <w:r>
        <w:rPr>
          <w:color w:val="444444"/>
          <w:sz w:val="19"/>
          <w:szCs w:val="19"/>
        </w:rPr>
        <w:t>, A., et al. (2011). Scikit-learn: Machine learning in Python. Journal of Machine Learning Research, 12, 2825–2830. https://jmlr.org/papers/v12/pedregosa11a.html</w:t>
      </w:r>
    </w:p>
    <w:p w14:paraId="3CE4BFA9" w14:textId="77777777" w:rsidR="00F90AC8" w:rsidRDefault="00000000">
      <w:pPr>
        <w:spacing w:before="40" w:after="80"/>
        <w:ind w:left="440" w:hanging="440"/>
      </w:pPr>
      <w:proofErr w:type="spellStart"/>
      <w:r>
        <w:rPr>
          <w:color w:val="444444"/>
          <w:sz w:val="19"/>
          <w:szCs w:val="19"/>
        </w:rPr>
        <w:t>Rousseeuw</w:t>
      </w:r>
      <w:proofErr w:type="spellEnd"/>
      <w:r>
        <w:rPr>
          <w:color w:val="444444"/>
          <w:sz w:val="19"/>
          <w:szCs w:val="19"/>
        </w:rPr>
        <w:t>, P. J. (1987). Silhouettes: A graphical aid to the interpretation and validation of cluster analysis. Journal of Computational and Applied Mathematics, 20, 53–65. https://doi.org/10.1016/0377-0427(87)90125-7</w:t>
      </w:r>
    </w:p>
    <w:p w14:paraId="2E997CC1" w14:textId="77777777" w:rsidR="00F90AC8" w:rsidRDefault="00000000">
      <w:pPr>
        <w:spacing w:before="40" w:after="80"/>
        <w:ind w:left="440" w:hanging="440"/>
      </w:pPr>
      <w:r>
        <w:rPr>
          <w:color w:val="444444"/>
          <w:sz w:val="19"/>
          <w:szCs w:val="19"/>
        </w:rPr>
        <w:t>Thorndike, R. L. (1953). Who belongs in the family? Psychometrika, 18(4), 267–276. https://doi.org/10.1007/BF02289263</w:t>
      </w:r>
    </w:p>
    <w:sectPr w:rsidR="00F90AC8">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096B8" w14:textId="77777777" w:rsidR="000306E5" w:rsidRDefault="000306E5">
      <w:r>
        <w:separator/>
      </w:r>
    </w:p>
  </w:endnote>
  <w:endnote w:type="continuationSeparator" w:id="0">
    <w:p w14:paraId="4E666867" w14:textId="77777777" w:rsidR="000306E5" w:rsidRDefault="00030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581E" w14:textId="77777777" w:rsidR="00F90AC8" w:rsidRDefault="00000000">
    <w:pPr>
      <w:pBdr>
        <w:top w:val="single" w:sz="4" w:space="4" w:color="888888"/>
      </w:pBdr>
      <w:jc w:val="center"/>
    </w:pPr>
    <w:r>
      <w:rPr>
        <w:color w:val="444444"/>
        <w:sz w:val="17"/>
        <w:szCs w:val="17"/>
      </w:rPr>
      <w:t xml:space="preserve">Page </w:t>
    </w:r>
    <w:r>
      <w:rPr>
        <w:color w:val="444444"/>
        <w:sz w:val="17"/>
        <w:szCs w:val="17"/>
      </w:rPr>
      <w:fldChar w:fldCharType="begin"/>
    </w:r>
    <w:r>
      <w:rPr>
        <w:color w:val="444444"/>
        <w:sz w:val="17"/>
        <w:szCs w:val="17"/>
      </w:rPr>
      <w:instrText>PAGE</w:instrText>
    </w:r>
    <w:r>
      <w:rPr>
        <w:color w:val="444444"/>
        <w:sz w:val="17"/>
        <w:szCs w:val="17"/>
      </w:rPr>
      <w:fldChar w:fldCharType="separate"/>
    </w:r>
    <w:r w:rsidR="00972C39">
      <w:rPr>
        <w:noProof/>
        <w:color w:val="444444"/>
        <w:sz w:val="17"/>
        <w:szCs w:val="17"/>
      </w:rPr>
      <w:t>1</w:t>
    </w:r>
    <w:r>
      <w:rPr>
        <w:color w:val="444444"/>
        <w:sz w:val="17"/>
        <w:szCs w:val="17"/>
      </w:rPr>
      <w:fldChar w:fldCharType="end"/>
    </w:r>
    <w:r>
      <w:rPr>
        <w:color w:val="444444"/>
        <w:sz w:val="17"/>
        <w:szCs w:val="17"/>
      </w:rPr>
      <w:t xml:space="preserve"> of </w:t>
    </w:r>
    <w:r>
      <w:rPr>
        <w:color w:val="444444"/>
        <w:sz w:val="17"/>
        <w:szCs w:val="17"/>
      </w:rPr>
      <w:fldChar w:fldCharType="begin"/>
    </w:r>
    <w:r>
      <w:rPr>
        <w:color w:val="444444"/>
        <w:sz w:val="17"/>
        <w:szCs w:val="17"/>
      </w:rPr>
      <w:instrText>NUMPAGES</w:instrText>
    </w:r>
    <w:r>
      <w:rPr>
        <w:color w:val="444444"/>
        <w:sz w:val="17"/>
        <w:szCs w:val="17"/>
      </w:rPr>
      <w:fldChar w:fldCharType="separate"/>
    </w:r>
    <w:r w:rsidR="00972C39">
      <w:rPr>
        <w:noProof/>
        <w:color w:val="444444"/>
        <w:sz w:val="17"/>
        <w:szCs w:val="17"/>
      </w:rPr>
      <w:t>2</w:t>
    </w:r>
    <w:r>
      <w:rPr>
        <w:color w:val="444444"/>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5B47E" w14:textId="77777777" w:rsidR="000306E5" w:rsidRDefault="000306E5">
      <w:r>
        <w:separator/>
      </w:r>
    </w:p>
  </w:footnote>
  <w:footnote w:type="continuationSeparator" w:id="0">
    <w:p w14:paraId="222062B1" w14:textId="77777777" w:rsidR="000306E5" w:rsidRDefault="000306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A4439" w14:textId="77777777" w:rsidR="00F90AC8" w:rsidRDefault="00000000">
    <w:pPr>
      <w:pBdr>
        <w:bottom w:val="single" w:sz="4" w:space="4" w:color="888888"/>
      </w:pBdr>
      <w:spacing w:after="60"/>
    </w:pPr>
    <w:r>
      <w:rPr>
        <w:i/>
        <w:iCs/>
        <w:color w:val="444444"/>
        <w:sz w:val="17"/>
        <w:szCs w:val="17"/>
      </w:rPr>
      <w:t>Comparative Analysis of Internal Clustering Validation Indices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2107"/>
    <w:multiLevelType w:val="hybridMultilevel"/>
    <w:tmpl w:val="86AE3BD6"/>
    <w:lvl w:ilvl="0" w:tplc="DDBADDE0">
      <w:start w:val="1"/>
      <w:numFmt w:val="bullet"/>
      <w:lvlText w:val="●"/>
      <w:lvlJc w:val="left"/>
      <w:pPr>
        <w:ind w:left="720" w:hanging="360"/>
      </w:pPr>
    </w:lvl>
    <w:lvl w:ilvl="1" w:tplc="6E44BA90">
      <w:start w:val="1"/>
      <w:numFmt w:val="bullet"/>
      <w:lvlText w:val="○"/>
      <w:lvlJc w:val="left"/>
      <w:pPr>
        <w:ind w:left="1440" w:hanging="360"/>
      </w:pPr>
    </w:lvl>
    <w:lvl w:ilvl="2" w:tplc="CA20D4E0">
      <w:start w:val="1"/>
      <w:numFmt w:val="bullet"/>
      <w:lvlText w:val="■"/>
      <w:lvlJc w:val="left"/>
      <w:pPr>
        <w:ind w:left="2160" w:hanging="360"/>
      </w:pPr>
    </w:lvl>
    <w:lvl w:ilvl="3" w:tplc="41A26F76">
      <w:start w:val="1"/>
      <w:numFmt w:val="bullet"/>
      <w:lvlText w:val="●"/>
      <w:lvlJc w:val="left"/>
      <w:pPr>
        <w:ind w:left="2880" w:hanging="360"/>
      </w:pPr>
    </w:lvl>
    <w:lvl w:ilvl="4" w:tplc="8D349442">
      <w:start w:val="1"/>
      <w:numFmt w:val="bullet"/>
      <w:lvlText w:val="○"/>
      <w:lvlJc w:val="left"/>
      <w:pPr>
        <w:ind w:left="3600" w:hanging="360"/>
      </w:pPr>
    </w:lvl>
    <w:lvl w:ilvl="5" w:tplc="3256820E">
      <w:start w:val="1"/>
      <w:numFmt w:val="bullet"/>
      <w:lvlText w:val="■"/>
      <w:lvlJc w:val="left"/>
      <w:pPr>
        <w:ind w:left="4320" w:hanging="360"/>
      </w:pPr>
    </w:lvl>
    <w:lvl w:ilvl="6" w:tplc="E698D3FA">
      <w:start w:val="1"/>
      <w:numFmt w:val="bullet"/>
      <w:lvlText w:val="●"/>
      <w:lvlJc w:val="left"/>
      <w:pPr>
        <w:ind w:left="5040" w:hanging="360"/>
      </w:pPr>
    </w:lvl>
    <w:lvl w:ilvl="7" w:tplc="CEECAA40">
      <w:start w:val="1"/>
      <w:numFmt w:val="bullet"/>
      <w:lvlText w:val="●"/>
      <w:lvlJc w:val="left"/>
      <w:pPr>
        <w:ind w:left="5760" w:hanging="360"/>
      </w:pPr>
    </w:lvl>
    <w:lvl w:ilvl="8" w:tplc="F66ADD40">
      <w:start w:val="1"/>
      <w:numFmt w:val="bullet"/>
      <w:lvlText w:val="●"/>
      <w:lvlJc w:val="left"/>
      <w:pPr>
        <w:ind w:left="6480" w:hanging="360"/>
      </w:pPr>
    </w:lvl>
  </w:abstractNum>
  <w:abstractNum w:abstractNumId="1" w15:restartNumberingAfterBreak="0">
    <w:nsid w:val="26CD4408"/>
    <w:multiLevelType w:val="hybridMultilevel"/>
    <w:tmpl w:val="57EC7DE2"/>
    <w:lvl w:ilvl="0" w:tplc="A9D86BB8">
      <w:start w:val="1"/>
      <w:numFmt w:val="bullet"/>
      <w:lvlText w:val="•"/>
      <w:lvlJc w:val="left"/>
      <w:pPr>
        <w:ind w:left="720" w:hanging="360"/>
      </w:pPr>
      <w:rPr>
        <w:rFonts w:ascii="Arial" w:eastAsia="Arial" w:hAnsi="Arial" w:cs="Arial"/>
        <w:sz w:val="21"/>
        <w:szCs w:val="21"/>
      </w:rPr>
    </w:lvl>
    <w:lvl w:ilvl="1" w:tplc="E7D42BCA">
      <w:numFmt w:val="decimal"/>
      <w:lvlText w:val=""/>
      <w:lvlJc w:val="left"/>
    </w:lvl>
    <w:lvl w:ilvl="2" w:tplc="3D88DF12">
      <w:numFmt w:val="decimal"/>
      <w:lvlText w:val=""/>
      <w:lvlJc w:val="left"/>
    </w:lvl>
    <w:lvl w:ilvl="3" w:tplc="672C7B76">
      <w:numFmt w:val="decimal"/>
      <w:lvlText w:val=""/>
      <w:lvlJc w:val="left"/>
    </w:lvl>
    <w:lvl w:ilvl="4" w:tplc="DB76F640">
      <w:numFmt w:val="decimal"/>
      <w:lvlText w:val=""/>
      <w:lvlJc w:val="left"/>
    </w:lvl>
    <w:lvl w:ilvl="5" w:tplc="9C6C5434">
      <w:numFmt w:val="decimal"/>
      <w:lvlText w:val=""/>
      <w:lvlJc w:val="left"/>
    </w:lvl>
    <w:lvl w:ilvl="6" w:tplc="C0BA207A">
      <w:numFmt w:val="decimal"/>
      <w:lvlText w:val=""/>
      <w:lvlJc w:val="left"/>
    </w:lvl>
    <w:lvl w:ilvl="7" w:tplc="726AAE32">
      <w:numFmt w:val="decimal"/>
      <w:lvlText w:val=""/>
      <w:lvlJc w:val="left"/>
    </w:lvl>
    <w:lvl w:ilvl="8" w:tplc="506CC10A">
      <w:numFmt w:val="decimal"/>
      <w:lvlText w:val=""/>
      <w:lvlJc w:val="left"/>
    </w:lvl>
  </w:abstractNum>
  <w:num w:numId="1" w16cid:durableId="1547836870">
    <w:abstractNumId w:val="0"/>
    <w:lvlOverride w:ilvl="0">
      <w:startOverride w:val="1"/>
    </w:lvlOverride>
  </w:num>
  <w:num w:numId="2" w16cid:durableId="18539113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AC8"/>
    <w:rsid w:val="000306E5"/>
    <w:rsid w:val="00972C39"/>
    <w:rsid w:val="00C660C3"/>
    <w:rsid w:val="00F90A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43DCC"/>
  <w15:docId w15:val="{E7C3F220-7006-4ABF-B720-44C91871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1954</Words>
  <Characters>11143</Characters>
  <Application>Microsoft Office Word</Application>
  <DocSecurity>0</DocSecurity>
  <Lines>92</Lines>
  <Paragraphs>26</Paragraphs>
  <ScaleCrop>false</ScaleCrop>
  <Company/>
  <LinksUpToDate>false</LinksUpToDate>
  <CharactersWithSpaces>13071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2026-06-16T08:35:00Z</dcterms:created>
  <dcterms:modified xsi:type="dcterms:W3CDTF">2026-06-16T08:40:00Z</dcterms:modified>
</cp:coreProperties>
</file>