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5C54C5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>, full-time, ocasaional</w:t>
      </w:r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tipo de combustivel,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saber o número do contrato, o nome 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2C3164" w:rsidRPr="000F4B20" w:rsidRDefault="0052719A" w:rsidP="00A91CAA">
      <w:pPr>
        <w:ind w:right="-143"/>
        <w:jc w:val="both"/>
      </w:pPr>
      <w:bookmarkStart w:id="0" w:name="_GoBack"/>
      <w:r w:rsidRPr="0052719A"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11E1D6D6" wp14:editId="1FFB8684">
            <wp:simplePos x="0" y="0"/>
            <wp:positionH relativeFrom="column">
              <wp:posOffset>-825500</wp:posOffset>
            </wp:positionH>
            <wp:positionV relativeFrom="paragraph">
              <wp:posOffset>1381125</wp:posOffset>
            </wp:positionV>
            <wp:extent cx="7039610" cy="6111240"/>
            <wp:effectExtent l="0" t="0" r="8890" b="3810"/>
            <wp:wrapSquare wrapText="bothSides"/>
            <wp:docPr id="3" name="Picture 3" descr="C:\Users\Pedro\Documents\GitHub\BDA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GitHub\BDAD\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1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C3164" w:rsidRPr="000F4B20" w:rsidSect="0052719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249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4C5" w:rsidRDefault="005C54C5" w:rsidP="00660760">
      <w:pPr>
        <w:spacing w:after="0" w:line="240" w:lineRule="auto"/>
      </w:pPr>
      <w:r>
        <w:separator/>
      </w:r>
    </w:p>
  </w:endnote>
  <w:endnote w:type="continuationSeparator" w:id="0">
    <w:p w:rsidR="005C54C5" w:rsidRDefault="005C54C5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19A" w:rsidRPr="0052719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4C5" w:rsidRDefault="005C54C5" w:rsidP="00660760">
      <w:pPr>
        <w:spacing w:after="0" w:line="240" w:lineRule="auto"/>
      </w:pPr>
      <w:r>
        <w:separator/>
      </w:r>
    </w:p>
  </w:footnote>
  <w:footnote w:type="continuationSeparator" w:id="0">
    <w:p w:rsidR="005C54C5" w:rsidRDefault="005C54C5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940E0CC" wp14:editId="18FCABE2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05AB24D" wp14:editId="22770C77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F4B20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437FBB"/>
    <w:rsid w:val="004444C5"/>
    <w:rsid w:val="00472375"/>
    <w:rsid w:val="004946B4"/>
    <w:rsid w:val="00504155"/>
    <w:rsid w:val="00504D92"/>
    <w:rsid w:val="0050572D"/>
    <w:rsid w:val="0052719A"/>
    <w:rsid w:val="005874E3"/>
    <w:rsid w:val="0059235C"/>
    <w:rsid w:val="00597DEE"/>
    <w:rsid w:val="005C54C5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9304A"/>
    <w:rsid w:val="008958AC"/>
    <w:rsid w:val="008964FD"/>
    <w:rsid w:val="00903DD9"/>
    <w:rsid w:val="00942AE5"/>
    <w:rsid w:val="00976F51"/>
    <w:rsid w:val="00984BFF"/>
    <w:rsid w:val="00991AF7"/>
    <w:rsid w:val="009A6D6E"/>
    <w:rsid w:val="00A91CAA"/>
    <w:rsid w:val="00AA4AA8"/>
    <w:rsid w:val="00B14EB6"/>
    <w:rsid w:val="00B57DBA"/>
    <w:rsid w:val="00C45E53"/>
    <w:rsid w:val="00C83B0D"/>
    <w:rsid w:val="00CD7183"/>
    <w:rsid w:val="00CD74EC"/>
    <w:rsid w:val="00E52DFB"/>
    <w:rsid w:val="00E947B4"/>
    <w:rsid w:val="00EA7110"/>
    <w:rsid w:val="00EE6BB1"/>
    <w:rsid w:val="00F26C6C"/>
    <w:rsid w:val="00F4481C"/>
    <w:rsid w:val="00FB11F9"/>
    <w:rsid w:val="00FB2FB6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5B556E"/>
    <w:rsid w:val="006F1C28"/>
    <w:rsid w:val="00701976"/>
    <w:rsid w:val="008A28E7"/>
    <w:rsid w:val="009C245D"/>
    <w:rsid w:val="00A53528"/>
    <w:rsid w:val="00AE0A7C"/>
    <w:rsid w:val="00DB6F40"/>
    <w:rsid w:val="00DF28FB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1C4F67-57C9-4E59-9E40-5E97D7A3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sousa.pedro94@hotmail.com</cp:lastModifiedBy>
  <cp:revision>21</cp:revision>
  <cp:lastPrinted>2014-03-20T23:01:00Z</cp:lastPrinted>
  <dcterms:created xsi:type="dcterms:W3CDTF">2013-11-07T15:01:00Z</dcterms:created>
  <dcterms:modified xsi:type="dcterms:W3CDTF">2014-04-06T12:22:00Z</dcterms:modified>
</cp:coreProperties>
</file>