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Jacutinga - Utilar De Jacutinga Eireli Epp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275,40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Casa Melo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3.521,88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3.099,25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154,96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Comercial Labegaline Ltda (Ouro Fino)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3.775,10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3.510,84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175,54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Bueno Brandao - Moveis Bueno Brandão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2.159,80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1.922,22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96,11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Lambari - Mobiliadora Sao Paulo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3.824,50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3.403,80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170,19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Olimpio Noronha - Casa De Racao E Materiais De Construcao Do Dinei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7.305,92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6.429,21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321,46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Carmo De Minas - Fernanda Aparecida Dos Santos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2.828,30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2.488,90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124,45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Virginia - Moveis Juca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6.062,00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5.637,66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281,88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Jose Mendes Da Fonseca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4.530,56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3.896,28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194,81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Eletro Moveis Center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3.467,46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2.982,02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149,10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Cruzilia - Comercial Eletromoveis Alvarenga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20/40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3.440,30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3.061,87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153,09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Liberdade - Luiz Antonio Lamin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3.728,24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3.206,29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160,31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Campanha - Eletro Moveis Miranda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5.949,00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5.235,12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261,76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Sao Goncalo Do Sapucai - Vidal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9.801,00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8.624,88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431,24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Ceara Moveis Ltda - Me Integral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3.760,00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3.308,80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165,44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Milton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3.934,00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3.461,92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173,10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Perdoes - Jag Decoracoes Eireli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1.867,40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1.736,68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86,83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Cana Verde - Neri De Andrade Marques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30/45/60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1.524,30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1.356,63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67,83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Coqueiral - Ramon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12.607,84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11.094,90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554,74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Tres Pontas - Joao Carlos Lopes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3.076,51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2.707,33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135,37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