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GLOBALTECH CYBERSECURITY CONSULTANCY</w:t>
      </w:r>
    </w:p>
    <w:p>
      <w:pPr>
        <w:spacing w:after="300"/>
        <w:jc w:val="center"/>
      </w:pPr>
      <w:r>
        <w:rPr>
          <w:sz w:val="24"/>
          <w:szCs w:val="24"/>
        </w:rPr>
        <w:t xml:space="preserve">Internship Programme — Week 1</w:t>
      </w:r>
    </w:p>
    <w:p>
      <w:pPr>
        <w:spacing w:after="60"/>
        <w:jc w:val="center"/>
      </w:pPr>
      <w:r>
        <w:rPr>
          <w:b/>
          <w:bCs/>
          <w:sz w:val="28"/>
          <w:szCs w:val="28"/>
        </w:rPr>
        <w:t xml:space="preserve">Deliverable D1: Frameworks, Standards &amp; Internal Ethics Research</w:t>
      </w:r>
    </w:p>
    <w:p>
      <w:pPr>
        <w:spacing w:after="400"/>
        <w:jc w:val="center"/>
      </w:pPr>
      <w:r>
        <w:rPr>
          <w:i/>
          <w:iCs/>
          <w:sz w:val="22"/>
          <w:szCs w:val="22"/>
        </w:rPr>
        <w:t xml:space="preserve">Onboarding &amp; Governance Foundations</w:t>
      </w:r>
    </w:p>
    <w:p>
      <w:pPr>
        <w:spacing w:after="60"/>
        <w:jc w:val="center"/>
      </w:pPr>
      <w:r>
        <w:rPr>
          <w:sz w:val="22"/>
          <w:szCs w:val="22"/>
        </w:rPr>
        <w:t xml:space="preserve">Prepared by: [Your Full Name] — Intern, Student ID: [Your Student ID]</w:t>
      </w:r>
    </w:p>
    <w:p>
      <w:pPr>
        <w:spacing w:after="60"/>
        <w:jc w:val="center"/>
      </w:pPr>
      <w:r>
        <w:rPr>
          <w:sz w:val="22"/>
          <w:szCs w:val="22"/>
        </w:rPr>
        <w:t xml:space="preserve">GlobalTech World Computer Institute</w:t>
      </w:r>
    </w:p>
    <w:p>
      <w:pPr>
        <w:spacing w:after="600"/>
        <w:jc w:val="center"/>
      </w:pPr>
      <w:r>
        <w:rPr>
          <w:sz w:val="20"/>
          <w:szCs w:val="20"/>
        </w:rPr>
        <w:t xml:space="preserve">Submission window: Monday 29 June – Friday 3 July 2026, 18:00 WAT</w:t>
      </w:r>
    </w:p>
    <w:p>
      <w:r>
        <w:br/>
        <w:t xml:space="preserve"/>
      </w:r>
    </w:p>
    <w:p>
      <w:pPr>
        <w:pStyle w:val="Heading1"/>
        <w:spacing w:after="160" w:before="320"/>
      </w:pPr>
      <w:r>
        <w:rPr>
          <w:b/>
          <w:bCs/>
          <w:color w:val="1F3864"/>
        </w:rPr>
        <w:t xml:space="preserve">Purpose</w:t>
      </w:r>
    </w:p>
    <w:p>
      <w:pPr>
        <w:spacing w:after="160" w:line="276"/>
      </w:pPr>
      <w:r>
        <w:t xml:space="preserve">This document responds directly to the mandate set out by Prosper Eromonsele, Chief Information Security Officer (CISO), in the Week 0 onboarding session: before touching any technical task, every GlobalTech intern must first know the frameworks, standards and policies that bind every client engagement the firm runs. GlobalTech's Cybersecurity/IT department — spanning the Security Operations Centre and Network Defense, Threat Hunting and Incident Response (Blue Team), Penetration Testing and Vulnerability Assessment (Red Team), and Governance, Risk &amp; Compliance (GRC) — serves state and federal government agencies, banks and fintech organisations, hospitals, and major industry clients across Nigeria, Africa, and parts of the United States and United Kingdom, as Dr. Godwin, Chief Executive Officer, set out in his opening remarks. Part A below maps a framework or standard to each of those client categories and jurisdictions; Part B documents the internal ethical canons — the ISC2 Code of Ethics — that GlobalTech expects every member of staff to operate by.</w:t>
      </w:r>
    </w:p>
    <w:p>
      <w:pPr>
        <w:pStyle w:val="Heading1"/>
        <w:spacing w:after="160" w:before="320"/>
      </w:pPr>
      <w:r>
        <w:rPr>
          <w:b/>
          <w:bCs/>
          <w:color w:val="1F3864"/>
        </w:rPr>
        <w:t xml:space="preserve">Part A — External Frameworks &amp; Standards Register</w:t>
      </w:r>
    </w:p>
    <w:p>
      <w:pPr>
        <w:spacing w:after="160" w:line="276"/>
      </w:pPr>
      <w:r>
        <w:t xml:space="preserve">The table below covers eleven frameworks and standards spanning GlobalTech's full client base: government, banking/fintech, healthcare, and cross-border US/UK engagements, plus three Nigeria-specific entries (rows 7–9), exceeding the minimum requirement of two.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
        <w:gridCol w:w="1550"/>
        <w:gridCol w:w="1300"/>
        <w:gridCol w:w="1200"/>
        <w:gridCol w:w="1300"/>
        <w:gridCol w:w="1900"/>
        <w:gridCol w:w="1700"/>
        <w:gridCol w:w="1400"/>
      </w:tblGrid>
      <w:tr>
        <w:trPr>
          <w:tblHeader/>
        </w:trPr>
        <w:tc>
          <w:tcPr>
            <w:tcW w:type="dxa" w:w="450"/>
            <w:shd w:fill="1F3864" w:color="auto" w:val="clear"/>
            <w:tcMar>
              <w:top w:type="dxa" w:w="60"/>
              <w:left w:type="dxa" w:w="80"/>
              <w:bottom w:type="dxa" w:w="60"/>
              <w:right w:type="dxa" w:w="80"/>
            </w:tcMar>
          </w:tcPr>
          <w:p>
            <w:r>
              <w:rPr>
                <w:b/>
                <w:bCs/>
                <w:color w:val="FFFFFF"/>
                <w:sz w:val="18"/>
                <w:szCs w:val="18"/>
              </w:rPr>
              <w:t xml:space="preserve">#</w:t>
            </w:r>
          </w:p>
        </w:tc>
        <w:tc>
          <w:tcPr>
            <w:tcW w:type="dxa" w:w="1550"/>
            <w:shd w:fill="1F3864" w:color="auto" w:val="clear"/>
            <w:tcMar>
              <w:top w:type="dxa" w:w="60"/>
              <w:left w:type="dxa" w:w="80"/>
              <w:bottom w:type="dxa" w:w="60"/>
              <w:right w:type="dxa" w:w="80"/>
            </w:tcMar>
          </w:tcPr>
          <w:p>
            <w:r>
              <w:rPr>
                <w:b/>
                <w:bCs/>
                <w:color w:val="FFFFFF"/>
                <w:sz w:val="18"/>
                <w:szCs w:val="18"/>
              </w:rPr>
              <w:t xml:space="preserve">Framework / Standard</w:t>
            </w:r>
          </w:p>
        </w:tc>
        <w:tc>
          <w:tcPr>
            <w:tcW w:type="dxa" w:w="1300"/>
            <w:shd w:fill="1F3864" w:color="auto" w:val="clear"/>
            <w:tcMar>
              <w:top w:type="dxa" w:w="60"/>
              <w:left w:type="dxa" w:w="80"/>
              <w:bottom w:type="dxa" w:w="60"/>
              <w:right w:type="dxa" w:w="80"/>
            </w:tcMar>
          </w:tcPr>
          <w:p>
            <w:r>
              <w:rPr>
                <w:b/>
                <w:bCs/>
                <w:color w:val="FFFFFF"/>
                <w:sz w:val="18"/>
                <w:szCs w:val="18"/>
              </w:rPr>
              <w:t xml:space="preserve">Issuing Body</w:t>
            </w:r>
          </w:p>
        </w:tc>
        <w:tc>
          <w:tcPr>
            <w:tcW w:type="dxa" w:w="1200"/>
            <w:shd w:fill="1F3864" w:color="auto" w:val="clear"/>
            <w:tcMar>
              <w:top w:type="dxa" w:w="60"/>
              <w:left w:type="dxa" w:w="80"/>
              <w:bottom w:type="dxa" w:w="60"/>
              <w:right w:type="dxa" w:w="80"/>
            </w:tcMar>
          </w:tcPr>
          <w:p>
            <w:r>
              <w:rPr>
                <w:b/>
                <w:bCs/>
                <w:color w:val="FFFFFF"/>
                <w:sz w:val="18"/>
                <w:szCs w:val="18"/>
              </w:rPr>
              <w:t xml:space="preserve">Geography / Jurisdiction</w:t>
            </w:r>
          </w:p>
        </w:tc>
        <w:tc>
          <w:tcPr>
            <w:tcW w:type="dxa" w:w="1300"/>
            <w:shd w:fill="1F3864" w:color="auto" w:val="clear"/>
            <w:tcMar>
              <w:top w:type="dxa" w:w="60"/>
              <w:left w:type="dxa" w:w="80"/>
              <w:bottom w:type="dxa" w:w="60"/>
              <w:right w:type="dxa" w:w="80"/>
            </w:tcMar>
          </w:tcPr>
          <w:p>
            <w:r>
              <w:rPr>
                <w:b/>
                <w:bCs/>
                <w:color w:val="FFFFFF"/>
                <w:sz w:val="18"/>
                <w:szCs w:val="18"/>
              </w:rPr>
              <w:t xml:space="preserve">Client Type(s) Governed</w:t>
            </w:r>
          </w:p>
        </w:tc>
        <w:tc>
          <w:tcPr>
            <w:tcW w:type="dxa" w:w="1900"/>
            <w:shd w:fill="1F3864" w:color="auto" w:val="clear"/>
            <w:tcMar>
              <w:top w:type="dxa" w:w="60"/>
              <w:left w:type="dxa" w:w="80"/>
              <w:bottom w:type="dxa" w:w="60"/>
              <w:right w:type="dxa" w:w="80"/>
            </w:tcMar>
          </w:tcPr>
          <w:p>
            <w:r>
              <w:rPr>
                <w:b/>
                <w:bCs/>
                <w:color w:val="FFFFFF"/>
                <w:sz w:val="18"/>
                <w:szCs w:val="18"/>
              </w:rPr>
              <w:t xml:space="preserve">Core Requirement (1-2 lines)</w:t>
            </w:r>
          </w:p>
        </w:tc>
        <w:tc>
          <w:tcPr>
            <w:tcW w:type="dxa" w:w="1700"/>
            <w:shd w:fill="1F3864" w:color="auto" w:val="clear"/>
            <w:tcMar>
              <w:top w:type="dxa" w:w="60"/>
              <w:left w:type="dxa" w:w="80"/>
              <w:bottom w:type="dxa" w:w="60"/>
              <w:right w:type="dxa" w:w="80"/>
            </w:tcMar>
          </w:tcPr>
          <w:p>
            <w:r>
              <w:rPr>
                <w:b/>
                <w:bCs/>
                <w:color w:val="FFFFFF"/>
                <w:sz w:val="18"/>
                <w:szCs w:val="18"/>
              </w:rPr>
              <w:t xml:space="preserve">Why It Applies to GlobalTech's Engagement</w:t>
            </w:r>
          </w:p>
        </w:tc>
        <w:tc>
          <w:tcPr>
            <w:tcW w:type="dxa" w:w="1400"/>
            <w:shd w:fill="1F3864" w:color="auto" w:val="clear"/>
            <w:tcMar>
              <w:top w:type="dxa" w:w="60"/>
              <w:left w:type="dxa" w:w="80"/>
              <w:bottom w:type="dxa" w:w="60"/>
              <w:right w:type="dxa" w:w="80"/>
            </w:tcMar>
          </w:tcPr>
          <w:p>
            <w:r>
              <w:rPr>
                <w:b/>
                <w:bCs/>
                <w:color w:val="FFFFFF"/>
                <w:sz w:val="18"/>
                <w:szCs w:val="18"/>
              </w:rPr>
              <w:t xml:space="preserve">Source / Citation</w:t>
            </w:r>
          </w:p>
        </w:tc>
      </w:tr>
      <w:tr>
        <w:tc>
          <w:tcPr>
            <w:tcW w:type="dxa" w:w="450"/>
            <w:tcMar>
              <w:top w:type="dxa" w:w="60"/>
              <w:left w:type="dxa" w:w="80"/>
              <w:bottom w:type="dxa" w:w="60"/>
              <w:right w:type="dxa" w:w="80"/>
            </w:tcMar>
          </w:tcPr>
          <w:p>
            <w:pPr>
              <w:jc w:val="left"/>
            </w:pPr>
            <w:r>
              <w:rPr>
                <w:b w:val="false"/>
                <w:bCs w:val="false"/>
                <w:sz w:val="18"/>
                <w:szCs w:val="18"/>
              </w:rPr>
              <w:t xml:space="preserve">1</w:t>
            </w:r>
          </w:p>
        </w:tc>
        <w:tc>
          <w:tcPr>
            <w:tcW w:type="dxa" w:w="1550"/>
            <w:tcMar>
              <w:top w:type="dxa" w:w="60"/>
              <w:left w:type="dxa" w:w="80"/>
              <w:bottom w:type="dxa" w:w="60"/>
              <w:right w:type="dxa" w:w="80"/>
            </w:tcMar>
          </w:tcPr>
          <w:p>
            <w:pPr>
              <w:jc w:val="left"/>
            </w:pPr>
            <w:r>
              <w:rPr>
                <w:b w:val="false"/>
                <w:bCs w:val="false"/>
                <w:sz w:val="18"/>
                <w:szCs w:val="18"/>
              </w:rPr>
              <w:t xml:space="preserve">NIST Cybersecurity Framework (CSF) 2.0</w:t>
            </w:r>
          </w:p>
        </w:tc>
        <w:tc>
          <w:tcPr>
            <w:tcW w:type="dxa" w:w="1300"/>
            <w:tcMar>
              <w:top w:type="dxa" w:w="60"/>
              <w:left w:type="dxa" w:w="80"/>
              <w:bottom w:type="dxa" w:w="60"/>
              <w:right w:type="dxa" w:w="80"/>
            </w:tcMar>
          </w:tcPr>
          <w:p>
            <w:pPr>
              <w:jc w:val="left"/>
            </w:pPr>
            <w:r>
              <w:rPr>
                <w:b w:val="false"/>
                <w:bCs w:val="false"/>
                <w:sz w:val="18"/>
                <w:szCs w:val="18"/>
              </w:rPr>
              <w:t xml:space="preserve">U.S. National Institute of Standards and Technology (NIST)</w:t>
            </w:r>
          </w:p>
        </w:tc>
        <w:tc>
          <w:tcPr>
            <w:tcW w:type="dxa" w:w="1200"/>
            <w:tcMar>
              <w:top w:type="dxa" w:w="60"/>
              <w:left w:type="dxa" w:w="80"/>
              <w:bottom w:type="dxa" w:w="60"/>
              <w:right w:type="dxa" w:w="80"/>
            </w:tcMar>
          </w:tcPr>
          <w:p>
            <w:pPr>
              <w:jc w:val="left"/>
            </w:pPr>
            <w:r>
              <w:rPr>
                <w:b w:val="false"/>
                <w:bCs w:val="false"/>
                <w:sz w:val="18"/>
                <w:szCs w:val="18"/>
              </w:rPr>
              <w:t xml:space="preserve">United States / widely adopted internationally</w:t>
            </w:r>
          </w:p>
        </w:tc>
        <w:tc>
          <w:tcPr>
            <w:tcW w:type="dxa" w:w="1300"/>
            <w:tcMar>
              <w:top w:type="dxa" w:w="60"/>
              <w:left w:type="dxa" w:w="80"/>
              <w:bottom w:type="dxa" w:w="60"/>
              <w:right w:type="dxa" w:w="80"/>
            </w:tcMar>
          </w:tcPr>
          <w:p>
            <w:pPr>
              <w:jc w:val="left"/>
            </w:pPr>
            <w:r>
              <w:rPr>
                <w:b w:val="false"/>
                <w:bCs w:val="false"/>
                <w:sz w:val="18"/>
                <w:szCs w:val="18"/>
              </w:rPr>
              <w:t xml:space="preserve">Government, banking/fintech, healthcare, industry</w:t>
            </w:r>
          </w:p>
        </w:tc>
        <w:tc>
          <w:tcPr>
            <w:tcW w:type="dxa" w:w="1900"/>
            <w:tcMar>
              <w:top w:type="dxa" w:w="60"/>
              <w:left w:type="dxa" w:w="80"/>
              <w:bottom w:type="dxa" w:w="60"/>
              <w:right w:type="dxa" w:w="80"/>
            </w:tcMar>
          </w:tcPr>
          <w:p>
            <w:pPr>
              <w:jc w:val="left"/>
            </w:pPr>
            <w:r>
              <w:rPr>
                <w:b w:val="false"/>
                <w:bCs w:val="false"/>
                <w:sz w:val="18"/>
                <w:szCs w:val="18"/>
              </w:rPr>
              <w:t xml:space="preserve">Organise cybersecurity activity around six functions: Govern, Identify, Protect, Detect, Respond, Recover.</w:t>
            </w:r>
          </w:p>
        </w:tc>
        <w:tc>
          <w:tcPr>
            <w:tcW w:type="dxa" w:w="1700"/>
            <w:tcMar>
              <w:top w:type="dxa" w:w="60"/>
              <w:left w:type="dxa" w:w="80"/>
              <w:bottom w:type="dxa" w:w="60"/>
              <w:right w:type="dxa" w:w="80"/>
            </w:tcMar>
          </w:tcPr>
          <w:p>
            <w:pPr>
              <w:jc w:val="left"/>
            </w:pPr>
            <w:r>
              <w:rPr>
                <w:b w:val="false"/>
                <w:bCs w:val="false"/>
                <w:sz w:val="18"/>
                <w:szCs w:val="18"/>
              </w:rPr>
              <w:t xml:space="preserve">Baseline risk-management language GlobalTech's Blue and Red Teams use across nearly every engagement, including US clients.</w:t>
            </w:r>
          </w:p>
        </w:tc>
        <w:tc>
          <w:tcPr>
            <w:tcW w:type="dxa" w:w="1400"/>
            <w:tcMar>
              <w:top w:type="dxa" w:w="60"/>
              <w:left w:type="dxa" w:w="80"/>
              <w:bottom w:type="dxa" w:w="60"/>
              <w:right w:type="dxa" w:w="80"/>
            </w:tcMar>
          </w:tcPr>
          <w:p>
            <w:pPr>
              <w:jc w:val="left"/>
            </w:pPr>
            <w:r>
              <w:rPr>
                <w:b w:val="false"/>
                <w:bCs w:val="false"/>
                <w:sz w:val="18"/>
                <w:szCs w:val="18"/>
              </w:rPr>
              <w:t xml:space="preserve">NIST, “The NIST Cybersecurity Framework (CSF) 2.0,” nist.gov/cyberframework</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2</w:t>
            </w:r>
          </w:p>
        </w:tc>
        <w:tc>
          <w:tcPr>
            <w:tcW w:type="dxa" w:w="1550"/>
            <w:shd w:fill="D9E2F3" w:color="auto" w:val="clear"/>
            <w:tcMar>
              <w:top w:type="dxa" w:w="60"/>
              <w:left w:type="dxa" w:w="80"/>
              <w:bottom w:type="dxa" w:w="60"/>
              <w:right w:type="dxa" w:w="80"/>
            </w:tcMar>
          </w:tcPr>
          <w:p>
            <w:pPr>
              <w:jc w:val="left"/>
            </w:pPr>
            <w:r>
              <w:rPr>
                <w:b w:val="false"/>
                <w:bCs w:val="false"/>
                <w:sz w:val="18"/>
                <w:szCs w:val="18"/>
              </w:rPr>
              <w:t xml:space="preserve">ISO/IEC 27001:2022</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International Organization for Standardization (ISO) / IEC</w:t>
            </w:r>
          </w:p>
        </w:tc>
        <w:tc>
          <w:tcPr>
            <w:tcW w:type="dxa" w:w="1200"/>
            <w:shd w:fill="D9E2F3" w:color="auto" w:val="clear"/>
            <w:tcMar>
              <w:top w:type="dxa" w:w="60"/>
              <w:left w:type="dxa" w:w="80"/>
              <w:bottom w:type="dxa" w:w="60"/>
              <w:right w:type="dxa" w:w="80"/>
            </w:tcMar>
          </w:tcPr>
          <w:p>
            <w:pPr>
              <w:jc w:val="left"/>
            </w:pPr>
            <w:r>
              <w:rPr>
                <w:b w:val="false"/>
                <w:bCs w:val="false"/>
                <w:sz w:val="18"/>
                <w:szCs w:val="18"/>
              </w:rPr>
              <w:t xml:space="preserve">International (adopted in Nigeria, US, UK, across Africa)</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All client sectors, especially cross-border engagements</w:t>
            </w:r>
          </w:p>
        </w:tc>
        <w:tc>
          <w:tcPr>
            <w:tcW w:type="dxa" w:w="1900"/>
            <w:shd w:fill="D9E2F3" w:color="auto" w:val="clear"/>
            <w:tcMar>
              <w:top w:type="dxa" w:w="60"/>
              <w:left w:type="dxa" w:w="80"/>
              <w:bottom w:type="dxa" w:w="60"/>
              <w:right w:type="dxa" w:w="80"/>
            </w:tcMar>
          </w:tcPr>
          <w:p>
            <w:pPr>
              <w:jc w:val="left"/>
            </w:pPr>
            <w:r>
              <w:rPr>
                <w:b w:val="false"/>
                <w:bCs w:val="false"/>
                <w:sz w:val="18"/>
                <w:szCs w:val="18"/>
              </w:rPr>
              <w:t xml:space="preserve">Establish, implement, maintain and continually improve an Information Security Management System (ISMS).</w:t>
            </w:r>
          </w:p>
        </w:tc>
        <w:tc>
          <w:tcPr>
            <w:tcW w:type="dxa" w:w="1700"/>
            <w:shd w:fill="D9E2F3" w:color="auto" w:val="clear"/>
            <w:tcMar>
              <w:top w:type="dxa" w:w="60"/>
              <w:left w:type="dxa" w:w="80"/>
              <w:bottom w:type="dxa" w:w="60"/>
              <w:right w:type="dxa" w:w="80"/>
            </w:tcMar>
          </w:tcPr>
          <w:p>
            <w:pPr>
              <w:jc w:val="left"/>
            </w:pPr>
            <w:r>
              <w:rPr>
                <w:b w:val="false"/>
                <w:bCs w:val="false"/>
                <w:sz w:val="18"/>
                <w:szCs w:val="18"/>
              </w:rPr>
              <w:t xml:space="preserve">The common international benchmark GlobalTech's GRC function certifies client ISMS programmes against, regardless of client country.</w:t>
            </w:r>
          </w:p>
        </w:tc>
        <w:tc>
          <w:tcPr>
            <w:tcW w:type="dxa" w:w="1400"/>
            <w:shd w:fill="D9E2F3" w:color="auto" w:val="clear"/>
            <w:tcMar>
              <w:top w:type="dxa" w:w="60"/>
              <w:left w:type="dxa" w:w="80"/>
              <w:bottom w:type="dxa" w:w="60"/>
              <w:right w:type="dxa" w:w="80"/>
            </w:tcMar>
          </w:tcPr>
          <w:p>
            <w:pPr>
              <w:jc w:val="left"/>
            </w:pPr>
            <w:r>
              <w:rPr>
                <w:b w:val="false"/>
                <w:bCs w:val="false"/>
                <w:sz w:val="18"/>
                <w:szCs w:val="18"/>
              </w:rPr>
              <w:t xml:space="preserve">ISO/IEC 27001:2022, iso.org/standard/27001</w:t>
            </w:r>
          </w:p>
        </w:tc>
      </w:tr>
      <w:tr>
        <w:tc>
          <w:tcPr>
            <w:tcW w:type="dxa" w:w="450"/>
            <w:tcMar>
              <w:top w:type="dxa" w:w="60"/>
              <w:left w:type="dxa" w:w="80"/>
              <w:bottom w:type="dxa" w:w="60"/>
              <w:right w:type="dxa" w:w="80"/>
            </w:tcMar>
          </w:tcPr>
          <w:p>
            <w:pPr>
              <w:jc w:val="left"/>
            </w:pPr>
            <w:r>
              <w:rPr>
                <w:b w:val="false"/>
                <w:bCs w:val="false"/>
                <w:sz w:val="18"/>
                <w:szCs w:val="18"/>
              </w:rPr>
              <w:t xml:space="preserve">3</w:t>
            </w:r>
          </w:p>
        </w:tc>
        <w:tc>
          <w:tcPr>
            <w:tcW w:type="dxa" w:w="1550"/>
            <w:tcMar>
              <w:top w:type="dxa" w:w="60"/>
              <w:left w:type="dxa" w:w="80"/>
              <w:bottom w:type="dxa" w:w="60"/>
              <w:right w:type="dxa" w:w="80"/>
            </w:tcMar>
          </w:tcPr>
          <w:p>
            <w:pPr>
              <w:jc w:val="left"/>
            </w:pPr>
            <w:r>
              <w:rPr>
                <w:b w:val="false"/>
                <w:bCs w:val="false"/>
                <w:sz w:val="18"/>
                <w:szCs w:val="18"/>
              </w:rPr>
              <w:t xml:space="preserve">PCI DSS v4.0</w:t>
            </w:r>
          </w:p>
        </w:tc>
        <w:tc>
          <w:tcPr>
            <w:tcW w:type="dxa" w:w="1300"/>
            <w:tcMar>
              <w:top w:type="dxa" w:w="60"/>
              <w:left w:type="dxa" w:w="80"/>
              <w:bottom w:type="dxa" w:w="60"/>
              <w:right w:type="dxa" w:w="80"/>
            </w:tcMar>
          </w:tcPr>
          <w:p>
            <w:pPr>
              <w:jc w:val="left"/>
            </w:pPr>
            <w:r>
              <w:rPr>
                <w:b w:val="false"/>
                <w:bCs w:val="false"/>
                <w:sz w:val="18"/>
                <w:szCs w:val="18"/>
              </w:rPr>
              <w:t xml:space="preserve">PCI Security Standards Council</w:t>
            </w:r>
          </w:p>
        </w:tc>
        <w:tc>
          <w:tcPr>
            <w:tcW w:type="dxa" w:w="1200"/>
            <w:tcMar>
              <w:top w:type="dxa" w:w="60"/>
              <w:left w:type="dxa" w:w="80"/>
              <w:bottom w:type="dxa" w:w="60"/>
              <w:right w:type="dxa" w:w="80"/>
            </w:tcMar>
          </w:tcPr>
          <w:p>
            <w:pPr>
              <w:jc w:val="left"/>
            </w:pPr>
            <w:r>
              <w:rPr>
                <w:b w:val="false"/>
                <w:bCs w:val="false"/>
                <w:sz w:val="18"/>
                <w:szCs w:val="18"/>
              </w:rPr>
              <w:t xml:space="preserve">International</w:t>
            </w:r>
          </w:p>
        </w:tc>
        <w:tc>
          <w:tcPr>
            <w:tcW w:type="dxa" w:w="1300"/>
            <w:tcMar>
              <w:top w:type="dxa" w:w="60"/>
              <w:left w:type="dxa" w:w="80"/>
              <w:bottom w:type="dxa" w:w="60"/>
              <w:right w:type="dxa" w:w="80"/>
            </w:tcMar>
          </w:tcPr>
          <w:p>
            <w:pPr>
              <w:jc w:val="left"/>
            </w:pPr>
            <w:r>
              <w:rPr>
                <w:b w:val="false"/>
                <w:bCs w:val="false"/>
                <w:sz w:val="18"/>
                <w:szCs w:val="18"/>
              </w:rPr>
              <w:t xml:space="preserve">Banking and fintech (card payment processors)</w:t>
            </w:r>
          </w:p>
        </w:tc>
        <w:tc>
          <w:tcPr>
            <w:tcW w:type="dxa" w:w="1900"/>
            <w:tcMar>
              <w:top w:type="dxa" w:w="60"/>
              <w:left w:type="dxa" w:w="80"/>
              <w:bottom w:type="dxa" w:w="60"/>
              <w:right w:type="dxa" w:w="80"/>
            </w:tcMar>
          </w:tcPr>
          <w:p>
            <w:pPr>
              <w:jc w:val="left"/>
            </w:pPr>
            <w:r>
              <w:rPr>
                <w:b w:val="false"/>
                <w:bCs w:val="false"/>
                <w:sz w:val="18"/>
                <w:szCs w:val="18"/>
              </w:rPr>
              <w:t xml:space="preserve">Protect cardholder data through network security, access control, monitoring and testing requirements.</w:t>
            </w:r>
          </w:p>
        </w:tc>
        <w:tc>
          <w:tcPr>
            <w:tcW w:type="dxa" w:w="1700"/>
            <w:tcMar>
              <w:top w:type="dxa" w:w="60"/>
              <w:left w:type="dxa" w:w="80"/>
              <w:bottom w:type="dxa" w:w="60"/>
              <w:right w:type="dxa" w:w="80"/>
            </w:tcMar>
          </w:tcPr>
          <w:p>
            <w:pPr>
              <w:jc w:val="left"/>
            </w:pPr>
            <w:r>
              <w:rPr>
                <w:b w:val="false"/>
                <w:bCs w:val="false"/>
                <w:sz w:val="18"/>
                <w:szCs w:val="18"/>
              </w:rPr>
              <w:t xml:space="preserve">Mandatory for any GlobalTech banking/fintech client that stores, processes or transmits card data.</w:t>
            </w:r>
          </w:p>
        </w:tc>
        <w:tc>
          <w:tcPr>
            <w:tcW w:type="dxa" w:w="1400"/>
            <w:tcMar>
              <w:top w:type="dxa" w:w="60"/>
              <w:left w:type="dxa" w:w="80"/>
              <w:bottom w:type="dxa" w:w="60"/>
              <w:right w:type="dxa" w:w="80"/>
            </w:tcMar>
          </w:tcPr>
          <w:p>
            <w:pPr>
              <w:jc w:val="left"/>
            </w:pPr>
            <w:r>
              <w:rPr>
                <w:b w:val="false"/>
                <w:bCs w:val="false"/>
                <w:sz w:val="18"/>
                <w:szCs w:val="18"/>
              </w:rPr>
              <w:t xml:space="preserve">PCI Security Standards Council, “PCI DSS v4.0,” pcisecuritystandards.org</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4</w:t>
            </w:r>
          </w:p>
        </w:tc>
        <w:tc>
          <w:tcPr>
            <w:tcW w:type="dxa" w:w="1550"/>
            <w:shd w:fill="D9E2F3" w:color="auto" w:val="clear"/>
            <w:tcMar>
              <w:top w:type="dxa" w:w="60"/>
              <w:left w:type="dxa" w:w="80"/>
              <w:bottom w:type="dxa" w:w="60"/>
              <w:right w:type="dxa" w:w="80"/>
            </w:tcMar>
          </w:tcPr>
          <w:p>
            <w:pPr>
              <w:jc w:val="left"/>
            </w:pPr>
            <w:r>
              <w:rPr>
                <w:b w:val="false"/>
                <w:bCs w:val="false"/>
                <w:sz w:val="18"/>
                <w:szCs w:val="18"/>
              </w:rPr>
              <w:t xml:space="preserve">Health Insurance Portability and Accountability Act (HIPAA)</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U.S. Department of Health and Human Services (HHS)</w:t>
            </w:r>
          </w:p>
        </w:tc>
        <w:tc>
          <w:tcPr>
            <w:tcW w:type="dxa" w:w="1200"/>
            <w:shd w:fill="D9E2F3" w:color="auto" w:val="clear"/>
            <w:tcMar>
              <w:top w:type="dxa" w:w="60"/>
              <w:left w:type="dxa" w:w="80"/>
              <w:bottom w:type="dxa" w:w="60"/>
              <w:right w:type="dxa" w:w="80"/>
            </w:tcMar>
          </w:tcPr>
          <w:p>
            <w:pPr>
              <w:jc w:val="left"/>
            </w:pPr>
            <w:r>
              <w:rPr>
                <w:b w:val="false"/>
                <w:bCs w:val="false"/>
                <w:sz w:val="18"/>
                <w:szCs w:val="18"/>
              </w:rPr>
              <w:t xml:space="preserve">United States</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Healthcare (US and US-linked clients)</w:t>
            </w:r>
          </w:p>
        </w:tc>
        <w:tc>
          <w:tcPr>
            <w:tcW w:type="dxa" w:w="1900"/>
            <w:shd w:fill="D9E2F3" w:color="auto" w:val="clear"/>
            <w:tcMar>
              <w:top w:type="dxa" w:w="60"/>
              <w:left w:type="dxa" w:w="80"/>
              <w:bottom w:type="dxa" w:w="60"/>
              <w:right w:type="dxa" w:w="80"/>
            </w:tcMar>
          </w:tcPr>
          <w:p>
            <w:pPr>
              <w:jc w:val="left"/>
            </w:pPr>
            <w:r>
              <w:rPr>
                <w:b w:val="false"/>
                <w:bCs w:val="false"/>
                <w:sz w:val="18"/>
                <w:szCs w:val="18"/>
              </w:rPr>
              <w:t xml:space="preserve">Safeguard the privacy and security of protected health information (PHI).</w:t>
            </w:r>
          </w:p>
        </w:tc>
        <w:tc>
          <w:tcPr>
            <w:tcW w:type="dxa" w:w="1700"/>
            <w:shd w:fill="D9E2F3" w:color="auto" w:val="clear"/>
            <w:tcMar>
              <w:top w:type="dxa" w:w="60"/>
              <w:left w:type="dxa" w:w="80"/>
              <w:bottom w:type="dxa" w:w="60"/>
              <w:right w:type="dxa" w:w="80"/>
            </w:tcMar>
          </w:tcPr>
          <w:p>
            <w:pPr>
              <w:jc w:val="left"/>
            </w:pPr>
            <w:r>
              <w:rPr>
                <w:b w:val="false"/>
                <w:bCs w:val="false"/>
                <w:sz w:val="18"/>
                <w:szCs w:val="18"/>
              </w:rPr>
              <w:t xml:space="preserve">Applies whenever GlobalTech supports a hospital or healthcare client with US operations or US patient data.</w:t>
            </w:r>
          </w:p>
        </w:tc>
        <w:tc>
          <w:tcPr>
            <w:tcW w:type="dxa" w:w="1400"/>
            <w:shd w:fill="D9E2F3" w:color="auto" w:val="clear"/>
            <w:tcMar>
              <w:top w:type="dxa" w:w="60"/>
              <w:left w:type="dxa" w:w="80"/>
              <w:bottom w:type="dxa" w:w="60"/>
              <w:right w:type="dxa" w:w="80"/>
            </w:tcMar>
          </w:tcPr>
          <w:p>
            <w:pPr>
              <w:jc w:val="left"/>
            </w:pPr>
            <w:r>
              <w:rPr>
                <w:b w:val="false"/>
                <w:bCs w:val="false"/>
                <w:sz w:val="18"/>
                <w:szCs w:val="18"/>
              </w:rPr>
              <w:t xml:space="preserve">U.S. HHS, “HIPAA Security Rule,” hhs.gov/hipaa</w:t>
            </w:r>
          </w:p>
        </w:tc>
      </w:tr>
      <w:tr>
        <w:tc>
          <w:tcPr>
            <w:tcW w:type="dxa" w:w="450"/>
            <w:tcMar>
              <w:top w:type="dxa" w:w="60"/>
              <w:left w:type="dxa" w:w="80"/>
              <w:bottom w:type="dxa" w:w="60"/>
              <w:right w:type="dxa" w:w="80"/>
            </w:tcMar>
          </w:tcPr>
          <w:p>
            <w:pPr>
              <w:jc w:val="left"/>
            </w:pPr>
            <w:r>
              <w:rPr>
                <w:b w:val="false"/>
                <w:bCs w:val="false"/>
                <w:sz w:val="18"/>
                <w:szCs w:val="18"/>
              </w:rPr>
              <w:t xml:space="preserve">5</w:t>
            </w:r>
          </w:p>
        </w:tc>
        <w:tc>
          <w:tcPr>
            <w:tcW w:type="dxa" w:w="1550"/>
            <w:tcMar>
              <w:top w:type="dxa" w:w="60"/>
              <w:left w:type="dxa" w:w="80"/>
              <w:bottom w:type="dxa" w:w="60"/>
              <w:right w:type="dxa" w:w="80"/>
            </w:tcMar>
          </w:tcPr>
          <w:p>
            <w:pPr>
              <w:jc w:val="left"/>
            </w:pPr>
            <w:r>
              <w:rPr>
                <w:b w:val="false"/>
                <w:bCs w:val="false"/>
                <w:sz w:val="18"/>
                <w:szCs w:val="18"/>
              </w:rPr>
              <w:t xml:space="preserve">UK GDPR &amp; Data Protection Act 2018</w:t>
            </w:r>
          </w:p>
        </w:tc>
        <w:tc>
          <w:tcPr>
            <w:tcW w:type="dxa" w:w="1300"/>
            <w:tcMar>
              <w:top w:type="dxa" w:w="60"/>
              <w:left w:type="dxa" w:w="80"/>
              <w:bottom w:type="dxa" w:w="60"/>
              <w:right w:type="dxa" w:w="80"/>
            </w:tcMar>
          </w:tcPr>
          <w:p>
            <w:pPr>
              <w:jc w:val="left"/>
            </w:pPr>
            <w:r>
              <w:rPr>
                <w:b w:val="false"/>
                <w:bCs w:val="false"/>
                <w:sz w:val="18"/>
                <w:szCs w:val="18"/>
              </w:rPr>
              <w:t xml:space="preserve">UK Government / Information Commissioner's Office (ICO)</w:t>
            </w:r>
          </w:p>
        </w:tc>
        <w:tc>
          <w:tcPr>
            <w:tcW w:type="dxa" w:w="1200"/>
            <w:tcMar>
              <w:top w:type="dxa" w:w="60"/>
              <w:left w:type="dxa" w:w="80"/>
              <w:bottom w:type="dxa" w:w="60"/>
              <w:right w:type="dxa" w:w="80"/>
            </w:tcMar>
          </w:tcPr>
          <w:p>
            <w:pPr>
              <w:jc w:val="left"/>
            </w:pPr>
            <w:r>
              <w:rPr>
                <w:b w:val="false"/>
                <w:bCs w:val="false"/>
                <w:sz w:val="18"/>
                <w:szCs w:val="18"/>
              </w:rPr>
              <w:t xml:space="preserve">United Kingdom</w:t>
            </w:r>
          </w:p>
        </w:tc>
        <w:tc>
          <w:tcPr>
            <w:tcW w:type="dxa" w:w="1300"/>
            <w:tcMar>
              <w:top w:type="dxa" w:w="60"/>
              <w:left w:type="dxa" w:w="80"/>
              <w:bottom w:type="dxa" w:w="60"/>
              <w:right w:type="dxa" w:w="80"/>
            </w:tcMar>
          </w:tcPr>
          <w:p>
            <w:pPr>
              <w:jc w:val="left"/>
            </w:pPr>
            <w:r>
              <w:rPr>
                <w:b w:val="false"/>
                <w:bCs w:val="false"/>
                <w:sz w:val="18"/>
                <w:szCs w:val="18"/>
              </w:rPr>
              <w:t xml:space="preserve">Cross-border UK engagements, all sectors</w:t>
            </w:r>
          </w:p>
        </w:tc>
        <w:tc>
          <w:tcPr>
            <w:tcW w:type="dxa" w:w="1900"/>
            <w:tcMar>
              <w:top w:type="dxa" w:w="60"/>
              <w:left w:type="dxa" w:w="80"/>
              <w:bottom w:type="dxa" w:w="60"/>
              <w:right w:type="dxa" w:w="80"/>
            </w:tcMar>
          </w:tcPr>
          <w:p>
            <w:pPr>
              <w:jc w:val="left"/>
            </w:pPr>
            <w:r>
              <w:rPr>
                <w:b w:val="false"/>
                <w:bCs w:val="false"/>
                <w:sz w:val="18"/>
                <w:szCs w:val="18"/>
              </w:rPr>
              <w:t xml:space="preserve">Lawful, fair and transparent processing of personal data, with accountability and breach-notification duties.</w:t>
            </w:r>
          </w:p>
        </w:tc>
        <w:tc>
          <w:tcPr>
            <w:tcW w:type="dxa" w:w="1700"/>
            <w:tcMar>
              <w:top w:type="dxa" w:w="60"/>
              <w:left w:type="dxa" w:w="80"/>
              <w:bottom w:type="dxa" w:w="60"/>
              <w:right w:type="dxa" w:w="80"/>
            </w:tcMar>
          </w:tcPr>
          <w:p>
            <w:pPr>
              <w:jc w:val="left"/>
            </w:pPr>
            <w:r>
              <w:rPr>
                <w:b w:val="false"/>
                <w:bCs w:val="false"/>
                <w:sz w:val="18"/>
                <w:szCs w:val="18"/>
              </w:rPr>
              <w:t xml:space="preserve">Governs GlobalTech's UK-based client relationships and any UK personal data GlobalTech's teams handle.</w:t>
            </w:r>
          </w:p>
        </w:tc>
        <w:tc>
          <w:tcPr>
            <w:tcW w:type="dxa" w:w="1400"/>
            <w:tcMar>
              <w:top w:type="dxa" w:w="60"/>
              <w:left w:type="dxa" w:w="80"/>
              <w:bottom w:type="dxa" w:w="60"/>
              <w:right w:type="dxa" w:w="80"/>
            </w:tcMar>
          </w:tcPr>
          <w:p>
            <w:pPr>
              <w:jc w:val="left"/>
            </w:pPr>
            <w:r>
              <w:rPr>
                <w:b w:val="false"/>
                <w:bCs w:val="false"/>
                <w:sz w:val="18"/>
                <w:szCs w:val="18"/>
              </w:rPr>
              <w:t xml:space="preserve">UK ICO, “Guide to the UK GDPR,” ico.org.uk</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6</w:t>
            </w:r>
          </w:p>
        </w:tc>
        <w:tc>
          <w:tcPr>
            <w:tcW w:type="dxa" w:w="1550"/>
            <w:shd w:fill="D9E2F3" w:color="auto" w:val="clear"/>
            <w:tcMar>
              <w:top w:type="dxa" w:w="60"/>
              <w:left w:type="dxa" w:w="80"/>
              <w:bottom w:type="dxa" w:w="60"/>
              <w:right w:type="dxa" w:w="80"/>
            </w:tcMar>
          </w:tcPr>
          <w:p>
            <w:pPr>
              <w:jc w:val="left"/>
            </w:pPr>
            <w:r>
              <w:rPr>
                <w:b w:val="false"/>
                <w:bCs w:val="false"/>
                <w:sz w:val="18"/>
                <w:szCs w:val="18"/>
              </w:rPr>
              <w:t xml:space="preserve">EU General Data Protection Regulation (GDPR)</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European Union</w:t>
            </w:r>
          </w:p>
        </w:tc>
        <w:tc>
          <w:tcPr>
            <w:tcW w:type="dxa" w:w="1200"/>
            <w:shd w:fill="D9E2F3" w:color="auto" w:val="clear"/>
            <w:tcMar>
              <w:top w:type="dxa" w:w="60"/>
              <w:left w:type="dxa" w:w="80"/>
              <w:bottom w:type="dxa" w:w="60"/>
              <w:right w:type="dxa" w:w="80"/>
            </w:tcMar>
          </w:tcPr>
          <w:p>
            <w:pPr>
              <w:jc w:val="left"/>
            </w:pPr>
            <w:r>
              <w:rPr>
                <w:b w:val="false"/>
                <w:bCs w:val="false"/>
                <w:sz w:val="18"/>
                <w:szCs w:val="18"/>
              </w:rPr>
              <w:t xml:space="preserve">European Union (extraterritorial reach)</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Cross-border engagements involving EU data subjects</w:t>
            </w:r>
          </w:p>
        </w:tc>
        <w:tc>
          <w:tcPr>
            <w:tcW w:type="dxa" w:w="1900"/>
            <w:shd w:fill="D9E2F3" w:color="auto" w:val="clear"/>
            <w:tcMar>
              <w:top w:type="dxa" w:w="60"/>
              <w:left w:type="dxa" w:w="80"/>
              <w:bottom w:type="dxa" w:w="60"/>
              <w:right w:type="dxa" w:w="80"/>
            </w:tcMar>
          </w:tcPr>
          <w:p>
            <w:pPr>
              <w:jc w:val="left"/>
            </w:pPr>
            <w:r>
              <w:rPr>
                <w:b w:val="false"/>
                <w:bCs w:val="false"/>
                <w:sz w:val="18"/>
                <w:szCs w:val="18"/>
              </w:rPr>
              <w:t xml:space="preserve">Grants data-subject rights and imposes strict conditions on the processing and transfer of personal data.</w:t>
            </w:r>
          </w:p>
        </w:tc>
        <w:tc>
          <w:tcPr>
            <w:tcW w:type="dxa" w:w="1700"/>
            <w:shd w:fill="D9E2F3" w:color="auto" w:val="clear"/>
            <w:tcMar>
              <w:top w:type="dxa" w:w="60"/>
              <w:left w:type="dxa" w:w="80"/>
              <w:bottom w:type="dxa" w:w="60"/>
              <w:right w:type="dxa" w:w="80"/>
            </w:tcMar>
          </w:tcPr>
          <w:p>
            <w:pPr>
              <w:jc w:val="left"/>
            </w:pPr>
            <w:r>
              <w:rPr>
                <w:b w:val="false"/>
                <w:bCs w:val="false"/>
                <w:sz w:val="18"/>
                <w:szCs w:val="18"/>
              </w:rPr>
              <w:t xml:space="preserve">Applies whenever a GlobalTech client's data footprint touches EU citizens, even outside the EU.</w:t>
            </w:r>
          </w:p>
        </w:tc>
        <w:tc>
          <w:tcPr>
            <w:tcW w:type="dxa" w:w="1400"/>
            <w:shd w:fill="D9E2F3" w:color="auto" w:val="clear"/>
            <w:tcMar>
              <w:top w:type="dxa" w:w="60"/>
              <w:left w:type="dxa" w:w="80"/>
              <w:bottom w:type="dxa" w:w="60"/>
              <w:right w:type="dxa" w:w="80"/>
            </w:tcMar>
          </w:tcPr>
          <w:p>
            <w:pPr>
              <w:jc w:val="left"/>
            </w:pPr>
            <w:r>
              <w:rPr>
                <w:b w:val="false"/>
                <w:bCs w:val="false"/>
                <w:sz w:val="18"/>
                <w:szCs w:val="18"/>
              </w:rPr>
              <w:t xml:space="preserve">Regulation (EU) 2016/679, gdpr-info.eu</w:t>
            </w:r>
          </w:p>
        </w:tc>
      </w:tr>
      <w:tr>
        <w:tc>
          <w:tcPr>
            <w:tcW w:type="dxa" w:w="450"/>
            <w:tcMar>
              <w:top w:type="dxa" w:w="60"/>
              <w:left w:type="dxa" w:w="80"/>
              <w:bottom w:type="dxa" w:w="60"/>
              <w:right w:type="dxa" w:w="80"/>
            </w:tcMar>
          </w:tcPr>
          <w:p>
            <w:pPr>
              <w:jc w:val="left"/>
            </w:pPr>
            <w:r>
              <w:rPr>
                <w:b w:val="false"/>
                <w:bCs w:val="false"/>
                <w:sz w:val="18"/>
                <w:szCs w:val="18"/>
              </w:rPr>
              <w:t xml:space="preserve">7</w:t>
            </w:r>
          </w:p>
        </w:tc>
        <w:tc>
          <w:tcPr>
            <w:tcW w:type="dxa" w:w="1550"/>
            <w:tcMar>
              <w:top w:type="dxa" w:w="60"/>
              <w:left w:type="dxa" w:w="80"/>
              <w:bottom w:type="dxa" w:w="60"/>
              <w:right w:type="dxa" w:w="80"/>
            </w:tcMar>
          </w:tcPr>
          <w:p>
            <w:pPr>
              <w:jc w:val="left"/>
            </w:pPr>
            <w:r>
              <w:rPr>
                <w:b w:val="false"/>
                <w:bCs w:val="false"/>
                <w:sz w:val="18"/>
                <w:szCs w:val="18"/>
              </w:rPr>
              <w:t xml:space="preserve">Nigeria Data Protection Act, 2023 (NDPA)</w:t>
            </w:r>
          </w:p>
        </w:tc>
        <w:tc>
          <w:tcPr>
            <w:tcW w:type="dxa" w:w="1300"/>
            <w:tcMar>
              <w:top w:type="dxa" w:w="60"/>
              <w:left w:type="dxa" w:w="80"/>
              <w:bottom w:type="dxa" w:w="60"/>
              <w:right w:type="dxa" w:w="80"/>
            </w:tcMar>
          </w:tcPr>
          <w:p>
            <w:pPr>
              <w:jc w:val="left"/>
            </w:pPr>
            <w:r>
              <w:rPr>
                <w:b w:val="false"/>
                <w:bCs w:val="false"/>
                <w:sz w:val="18"/>
                <w:szCs w:val="18"/>
              </w:rPr>
              <w:t xml:space="preserve">Nigeria Data Protection Commission (NDPC)</w:t>
            </w:r>
          </w:p>
        </w:tc>
        <w:tc>
          <w:tcPr>
            <w:tcW w:type="dxa" w:w="1200"/>
            <w:tcMar>
              <w:top w:type="dxa" w:w="60"/>
              <w:left w:type="dxa" w:w="80"/>
              <w:bottom w:type="dxa" w:w="60"/>
              <w:right w:type="dxa" w:w="80"/>
            </w:tcMar>
          </w:tcPr>
          <w:p>
            <w:pPr>
              <w:jc w:val="left"/>
            </w:pPr>
            <w:r>
              <w:rPr>
                <w:b w:val="false"/>
                <w:bCs w:val="false"/>
                <w:sz w:val="18"/>
                <w:szCs w:val="18"/>
              </w:rPr>
              <w:t xml:space="preserve">Nigeria</w:t>
            </w:r>
          </w:p>
        </w:tc>
        <w:tc>
          <w:tcPr>
            <w:tcW w:type="dxa" w:w="1300"/>
            <w:tcMar>
              <w:top w:type="dxa" w:w="60"/>
              <w:left w:type="dxa" w:w="80"/>
              <w:bottom w:type="dxa" w:w="60"/>
              <w:right w:type="dxa" w:w="80"/>
            </w:tcMar>
          </w:tcPr>
          <w:p>
            <w:pPr>
              <w:jc w:val="left"/>
            </w:pPr>
            <w:r>
              <w:rPr>
                <w:b w:val="false"/>
                <w:bCs w:val="false"/>
                <w:sz w:val="18"/>
                <w:szCs w:val="18"/>
              </w:rPr>
              <w:t xml:space="preserve">All client sectors operating in or processing data in Nigeria</w:t>
            </w:r>
          </w:p>
        </w:tc>
        <w:tc>
          <w:tcPr>
            <w:tcW w:type="dxa" w:w="1900"/>
            <w:tcMar>
              <w:top w:type="dxa" w:w="60"/>
              <w:left w:type="dxa" w:w="80"/>
              <w:bottom w:type="dxa" w:w="60"/>
              <w:right w:type="dxa" w:w="80"/>
            </w:tcMar>
          </w:tcPr>
          <w:p>
            <w:pPr>
              <w:jc w:val="left"/>
            </w:pPr>
            <w:r>
              <w:rPr>
                <w:b w:val="false"/>
                <w:bCs w:val="false"/>
                <w:sz w:val="18"/>
                <w:szCs w:val="18"/>
              </w:rPr>
              <w:t xml:space="preserve">Legal framework safeguarding data-subject rights; establishes the NDPC as enforcement authority.</w:t>
            </w:r>
          </w:p>
        </w:tc>
        <w:tc>
          <w:tcPr>
            <w:tcW w:type="dxa" w:w="1700"/>
            <w:tcMar>
              <w:top w:type="dxa" w:w="60"/>
              <w:left w:type="dxa" w:w="80"/>
              <w:bottom w:type="dxa" w:w="60"/>
              <w:right w:type="dxa" w:w="80"/>
            </w:tcMar>
          </w:tcPr>
          <w:p>
            <w:pPr>
              <w:jc w:val="left"/>
            </w:pPr>
            <w:r>
              <w:rPr>
                <w:b w:val="false"/>
                <w:bCs w:val="false"/>
                <w:sz w:val="18"/>
                <w:szCs w:val="18"/>
              </w:rPr>
              <w:t xml:space="preserve">GlobalTech's home-jurisdiction data-protection law; governs every Nigerian engagement across all four client categories.</w:t>
            </w:r>
          </w:p>
        </w:tc>
        <w:tc>
          <w:tcPr>
            <w:tcW w:type="dxa" w:w="1400"/>
            <w:tcMar>
              <w:top w:type="dxa" w:w="60"/>
              <w:left w:type="dxa" w:w="80"/>
              <w:bottom w:type="dxa" w:w="60"/>
              <w:right w:type="dxa" w:w="80"/>
            </w:tcMar>
          </w:tcPr>
          <w:p>
            <w:pPr>
              <w:jc w:val="left"/>
            </w:pPr>
            <w:r>
              <w:rPr>
                <w:b w:val="false"/>
                <w:bCs w:val="false"/>
                <w:sz w:val="18"/>
                <w:szCs w:val="18"/>
              </w:rPr>
              <w:t xml:space="preserve">Nigeria Data Protection Act, 2023 (signed into law 12 June 2023)</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8</w:t>
            </w:r>
          </w:p>
        </w:tc>
        <w:tc>
          <w:tcPr>
            <w:tcW w:type="dxa" w:w="1550"/>
            <w:shd w:fill="D9E2F3" w:color="auto" w:val="clear"/>
            <w:tcMar>
              <w:top w:type="dxa" w:w="60"/>
              <w:left w:type="dxa" w:w="80"/>
              <w:bottom w:type="dxa" w:w="60"/>
              <w:right w:type="dxa" w:w="80"/>
            </w:tcMar>
          </w:tcPr>
          <w:p>
            <w:pPr>
              <w:jc w:val="left"/>
            </w:pPr>
            <w:r>
              <w:rPr>
                <w:b w:val="false"/>
                <w:bCs w:val="false"/>
                <w:sz w:val="18"/>
                <w:szCs w:val="18"/>
              </w:rPr>
              <w:t xml:space="preserve">CBN Risk-Based Cybersecurity Framework &amp; Guidelines for DMBs and PSBs (2024)</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Central Bank of Nigeria (CBN)</w:t>
            </w:r>
          </w:p>
        </w:tc>
        <w:tc>
          <w:tcPr>
            <w:tcW w:type="dxa" w:w="1200"/>
            <w:shd w:fill="D9E2F3" w:color="auto" w:val="clear"/>
            <w:tcMar>
              <w:top w:type="dxa" w:w="60"/>
              <w:left w:type="dxa" w:w="80"/>
              <w:bottom w:type="dxa" w:w="60"/>
              <w:right w:type="dxa" w:w="80"/>
            </w:tcMar>
          </w:tcPr>
          <w:p>
            <w:pPr>
              <w:jc w:val="left"/>
            </w:pPr>
            <w:r>
              <w:rPr>
                <w:b w:val="false"/>
                <w:bCs w:val="false"/>
                <w:sz w:val="18"/>
                <w:szCs w:val="18"/>
              </w:rPr>
              <w:t xml:space="preserve">Nigeria</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Banking and fintech (deposit money banks, payment service banks)</w:t>
            </w:r>
          </w:p>
        </w:tc>
        <w:tc>
          <w:tcPr>
            <w:tcW w:type="dxa" w:w="1900"/>
            <w:shd w:fill="D9E2F3" w:color="auto" w:val="clear"/>
            <w:tcMar>
              <w:top w:type="dxa" w:w="60"/>
              <w:left w:type="dxa" w:w="80"/>
              <w:bottom w:type="dxa" w:w="60"/>
              <w:right w:type="dxa" w:w="80"/>
            </w:tcMar>
          </w:tcPr>
          <w:p>
            <w:pPr>
              <w:jc w:val="left"/>
            </w:pPr>
            <w:r>
              <w:rPr>
                <w:b w:val="false"/>
                <w:bCs w:val="false"/>
                <w:sz w:val="18"/>
                <w:szCs w:val="18"/>
              </w:rPr>
              <w:t xml:space="preserve">Minimum cybersecurity governance, risk management, resilience and reporting requirements for supervised financial institutions.</w:t>
            </w:r>
          </w:p>
        </w:tc>
        <w:tc>
          <w:tcPr>
            <w:tcW w:type="dxa" w:w="1700"/>
            <w:shd w:fill="D9E2F3" w:color="auto" w:val="clear"/>
            <w:tcMar>
              <w:top w:type="dxa" w:w="60"/>
              <w:left w:type="dxa" w:w="80"/>
              <w:bottom w:type="dxa" w:w="60"/>
              <w:right w:type="dxa" w:w="80"/>
            </w:tcMar>
          </w:tcPr>
          <w:p>
            <w:pPr>
              <w:jc w:val="left"/>
            </w:pPr>
            <w:r>
              <w:rPr>
                <w:b w:val="false"/>
                <w:bCs w:val="false"/>
                <w:sz w:val="18"/>
                <w:szCs w:val="18"/>
              </w:rPr>
              <w:t xml:space="preserve">Directly governs GlobalTech's engagements with Nigerian banks and fintech clients under CBN supervision.</w:t>
            </w:r>
          </w:p>
        </w:tc>
        <w:tc>
          <w:tcPr>
            <w:tcW w:type="dxa" w:w="1400"/>
            <w:shd w:fill="D9E2F3" w:color="auto" w:val="clear"/>
            <w:tcMar>
              <w:top w:type="dxa" w:w="60"/>
              <w:left w:type="dxa" w:w="80"/>
              <w:bottom w:type="dxa" w:w="60"/>
              <w:right w:type="dxa" w:w="80"/>
            </w:tcMar>
          </w:tcPr>
          <w:p>
            <w:pPr>
              <w:jc w:val="left"/>
            </w:pPr>
            <w:r>
              <w:rPr>
                <w:b w:val="false"/>
                <w:bCs w:val="false"/>
                <w:sz w:val="18"/>
                <w:szCs w:val="18"/>
              </w:rPr>
              <w:t xml:space="preserve">CBN, “Risk-Based Cybersecurity Framework and Guidelines for DMBs and PSBs,” issued 31 May 2024, effective 1 July 2024, cbn.gov.ng</w:t>
            </w:r>
          </w:p>
        </w:tc>
      </w:tr>
      <w:tr>
        <w:tc>
          <w:tcPr>
            <w:tcW w:type="dxa" w:w="450"/>
            <w:tcMar>
              <w:top w:type="dxa" w:w="60"/>
              <w:left w:type="dxa" w:w="80"/>
              <w:bottom w:type="dxa" w:w="60"/>
              <w:right w:type="dxa" w:w="80"/>
            </w:tcMar>
          </w:tcPr>
          <w:p>
            <w:pPr>
              <w:jc w:val="left"/>
            </w:pPr>
            <w:r>
              <w:rPr>
                <w:b w:val="false"/>
                <w:bCs w:val="false"/>
                <w:sz w:val="18"/>
                <w:szCs w:val="18"/>
              </w:rPr>
              <w:t xml:space="preserve">9</w:t>
            </w:r>
          </w:p>
        </w:tc>
        <w:tc>
          <w:tcPr>
            <w:tcW w:type="dxa" w:w="1550"/>
            <w:tcMar>
              <w:top w:type="dxa" w:w="60"/>
              <w:left w:type="dxa" w:w="80"/>
              <w:bottom w:type="dxa" w:w="60"/>
              <w:right w:type="dxa" w:w="80"/>
            </w:tcMar>
          </w:tcPr>
          <w:p>
            <w:pPr>
              <w:jc w:val="left"/>
            </w:pPr>
            <w:r>
              <w:rPr>
                <w:b w:val="false"/>
                <w:bCs w:val="false"/>
                <w:sz w:val="18"/>
                <w:szCs w:val="18"/>
              </w:rPr>
              <w:t xml:space="preserve">Nigeria Data Protection Regulation, 2019 (NDPR) &amp; Implementation Framework</w:t>
            </w:r>
          </w:p>
        </w:tc>
        <w:tc>
          <w:tcPr>
            <w:tcW w:type="dxa" w:w="1300"/>
            <w:tcMar>
              <w:top w:type="dxa" w:w="60"/>
              <w:left w:type="dxa" w:w="80"/>
              <w:bottom w:type="dxa" w:w="60"/>
              <w:right w:type="dxa" w:w="80"/>
            </w:tcMar>
          </w:tcPr>
          <w:p>
            <w:pPr>
              <w:jc w:val="left"/>
            </w:pPr>
            <w:r>
              <w:rPr>
                <w:b w:val="false"/>
                <w:bCs w:val="false"/>
                <w:sz w:val="18"/>
                <w:szCs w:val="18"/>
              </w:rPr>
              <w:t xml:space="preserve">National Information Technology Development Agency (NITDA)</w:t>
            </w:r>
          </w:p>
        </w:tc>
        <w:tc>
          <w:tcPr>
            <w:tcW w:type="dxa" w:w="1200"/>
            <w:tcMar>
              <w:top w:type="dxa" w:w="60"/>
              <w:left w:type="dxa" w:w="80"/>
              <w:bottom w:type="dxa" w:w="60"/>
              <w:right w:type="dxa" w:w="80"/>
            </w:tcMar>
          </w:tcPr>
          <w:p>
            <w:pPr>
              <w:jc w:val="left"/>
            </w:pPr>
            <w:r>
              <w:rPr>
                <w:b w:val="false"/>
                <w:bCs w:val="false"/>
                <w:sz w:val="18"/>
                <w:szCs w:val="18"/>
              </w:rPr>
              <w:t xml:space="preserve">Nigeria</w:t>
            </w:r>
          </w:p>
        </w:tc>
        <w:tc>
          <w:tcPr>
            <w:tcW w:type="dxa" w:w="1300"/>
            <w:tcMar>
              <w:top w:type="dxa" w:w="60"/>
              <w:left w:type="dxa" w:w="80"/>
              <w:bottom w:type="dxa" w:w="60"/>
              <w:right w:type="dxa" w:w="80"/>
            </w:tcMar>
          </w:tcPr>
          <w:p>
            <w:pPr>
              <w:jc w:val="left"/>
            </w:pPr>
            <w:r>
              <w:rPr>
                <w:b w:val="false"/>
                <w:bCs w:val="false"/>
                <w:sz w:val="18"/>
                <w:szCs w:val="18"/>
              </w:rPr>
              <w:t xml:space="preserve">Government and industry clients (predecessor regime still referenced)</w:t>
            </w:r>
          </w:p>
        </w:tc>
        <w:tc>
          <w:tcPr>
            <w:tcW w:type="dxa" w:w="1900"/>
            <w:tcMar>
              <w:top w:type="dxa" w:w="60"/>
              <w:left w:type="dxa" w:w="80"/>
              <w:bottom w:type="dxa" w:w="60"/>
              <w:right w:type="dxa" w:w="80"/>
            </w:tcMar>
          </w:tcPr>
          <w:p>
            <w:pPr>
              <w:jc w:val="left"/>
            </w:pPr>
            <w:r>
              <w:rPr>
                <w:b w:val="false"/>
                <w:bCs w:val="false"/>
                <w:sz w:val="18"/>
                <w:szCs w:val="18"/>
              </w:rPr>
              <w:t xml:space="preserve">Set out earlier data-protection obligations for data controllers and processors before the NDPA.</w:t>
            </w:r>
          </w:p>
        </w:tc>
        <w:tc>
          <w:tcPr>
            <w:tcW w:type="dxa" w:w="1700"/>
            <w:tcMar>
              <w:top w:type="dxa" w:w="60"/>
              <w:left w:type="dxa" w:w="80"/>
              <w:bottom w:type="dxa" w:w="60"/>
              <w:right w:type="dxa" w:w="80"/>
            </w:tcMar>
          </w:tcPr>
          <w:p>
            <w:pPr>
              <w:jc w:val="left"/>
            </w:pPr>
            <w:r>
              <w:rPr>
                <w:b w:val="false"/>
                <w:bCs w:val="false"/>
                <w:sz w:val="18"/>
                <w:szCs w:val="18"/>
              </w:rPr>
              <w:t xml:space="preserve">Relevant historical/interim baseline for GlobalTech's government and legacy-industry clients transitioning to NDPA compliance.</w:t>
            </w:r>
          </w:p>
        </w:tc>
        <w:tc>
          <w:tcPr>
            <w:tcW w:type="dxa" w:w="1400"/>
            <w:tcMar>
              <w:top w:type="dxa" w:w="60"/>
              <w:left w:type="dxa" w:w="80"/>
              <w:bottom w:type="dxa" w:w="60"/>
              <w:right w:type="dxa" w:w="80"/>
            </w:tcMar>
          </w:tcPr>
          <w:p>
            <w:pPr>
              <w:jc w:val="left"/>
            </w:pPr>
            <w:r>
              <w:rPr>
                <w:b w:val="false"/>
                <w:bCs w:val="false"/>
                <w:sz w:val="18"/>
                <w:szCs w:val="18"/>
              </w:rPr>
              <w:t xml:space="preserve">NITDA, “Nigeria Data Protection Regulation 2019”</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10</w:t>
            </w:r>
          </w:p>
        </w:tc>
        <w:tc>
          <w:tcPr>
            <w:tcW w:type="dxa" w:w="1550"/>
            <w:shd w:fill="D9E2F3" w:color="auto" w:val="clear"/>
            <w:tcMar>
              <w:top w:type="dxa" w:w="60"/>
              <w:left w:type="dxa" w:w="80"/>
              <w:bottom w:type="dxa" w:w="60"/>
              <w:right w:type="dxa" w:w="80"/>
            </w:tcMar>
          </w:tcPr>
          <w:p>
            <w:pPr>
              <w:jc w:val="left"/>
            </w:pPr>
            <w:r>
              <w:rPr>
                <w:b w:val="false"/>
                <w:bCs w:val="false"/>
                <w:sz w:val="18"/>
                <w:szCs w:val="18"/>
              </w:rPr>
              <w:t xml:space="preserve">ISO 27799:2016 — Health informatics — Information security management in health</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International Organization for Standardization (ISO)</w:t>
            </w:r>
          </w:p>
        </w:tc>
        <w:tc>
          <w:tcPr>
            <w:tcW w:type="dxa" w:w="1200"/>
            <w:shd w:fill="D9E2F3" w:color="auto" w:val="clear"/>
            <w:tcMar>
              <w:top w:type="dxa" w:w="60"/>
              <w:left w:type="dxa" w:w="80"/>
              <w:bottom w:type="dxa" w:w="60"/>
              <w:right w:type="dxa" w:w="80"/>
            </w:tcMar>
          </w:tcPr>
          <w:p>
            <w:pPr>
              <w:jc w:val="left"/>
            </w:pPr>
            <w:r>
              <w:rPr>
                <w:b w:val="false"/>
                <w:bCs w:val="false"/>
                <w:sz w:val="18"/>
                <w:szCs w:val="18"/>
              </w:rPr>
              <w:t xml:space="preserve">International</w:t>
            </w:r>
          </w:p>
        </w:tc>
        <w:tc>
          <w:tcPr>
            <w:tcW w:type="dxa" w:w="1300"/>
            <w:shd w:fill="D9E2F3" w:color="auto" w:val="clear"/>
            <w:tcMar>
              <w:top w:type="dxa" w:w="60"/>
              <w:left w:type="dxa" w:w="80"/>
              <w:bottom w:type="dxa" w:w="60"/>
              <w:right w:type="dxa" w:w="80"/>
            </w:tcMar>
          </w:tcPr>
          <w:p>
            <w:pPr>
              <w:jc w:val="left"/>
            </w:pPr>
            <w:r>
              <w:rPr>
                <w:b w:val="false"/>
                <w:bCs w:val="false"/>
                <w:sz w:val="18"/>
                <w:szCs w:val="18"/>
              </w:rPr>
              <w:t xml:space="preserve">Healthcare</w:t>
            </w:r>
          </w:p>
        </w:tc>
        <w:tc>
          <w:tcPr>
            <w:tcW w:type="dxa" w:w="1900"/>
            <w:shd w:fill="D9E2F3" w:color="auto" w:val="clear"/>
            <w:tcMar>
              <w:top w:type="dxa" w:w="60"/>
              <w:left w:type="dxa" w:w="80"/>
              <w:bottom w:type="dxa" w:w="60"/>
              <w:right w:type="dxa" w:w="80"/>
            </w:tcMar>
          </w:tcPr>
          <w:p>
            <w:pPr>
              <w:jc w:val="left"/>
            </w:pPr>
            <w:r>
              <w:rPr>
                <w:b w:val="false"/>
                <w:bCs w:val="false"/>
                <w:sz w:val="18"/>
                <w:szCs w:val="18"/>
              </w:rPr>
              <w:t xml:space="preserve">Sector-specific implementation guidance for ISO/IEC 27002 controls applied to health information.</w:t>
            </w:r>
          </w:p>
        </w:tc>
        <w:tc>
          <w:tcPr>
            <w:tcW w:type="dxa" w:w="1700"/>
            <w:shd w:fill="D9E2F3" w:color="auto" w:val="clear"/>
            <w:tcMar>
              <w:top w:type="dxa" w:w="60"/>
              <w:left w:type="dxa" w:w="80"/>
              <w:bottom w:type="dxa" w:w="60"/>
              <w:right w:type="dxa" w:w="80"/>
            </w:tcMar>
          </w:tcPr>
          <w:p>
            <w:pPr>
              <w:jc w:val="left"/>
            </w:pPr>
            <w:r>
              <w:rPr>
                <w:b w:val="false"/>
                <w:bCs w:val="false"/>
                <w:sz w:val="18"/>
                <w:szCs w:val="18"/>
              </w:rPr>
              <w:t xml:space="preserve">Supplements ISO 27001 for GlobalTech's hospital and healthcare-provider engagements.</w:t>
            </w:r>
          </w:p>
        </w:tc>
        <w:tc>
          <w:tcPr>
            <w:tcW w:type="dxa" w:w="1400"/>
            <w:shd w:fill="D9E2F3" w:color="auto" w:val="clear"/>
            <w:tcMar>
              <w:top w:type="dxa" w:w="60"/>
              <w:left w:type="dxa" w:w="80"/>
              <w:bottom w:type="dxa" w:w="60"/>
              <w:right w:type="dxa" w:w="80"/>
            </w:tcMar>
          </w:tcPr>
          <w:p>
            <w:pPr>
              <w:jc w:val="left"/>
            </w:pPr>
            <w:r>
              <w:rPr>
                <w:b w:val="false"/>
                <w:bCs w:val="false"/>
                <w:sz w:val="18"/>
                <w:szCs w:val="18"/>
              </w:rPr>
              <w:t xml:space="preserve">ISO 27799:2016, iso.org/standard/62777</w:t>
            </w:r>
          </w:p>
        </w:tc>
      </w:tr>
      <w:tr>
        <w:tc>
          <w:tcPr>
            <w:tcW w:type="dxa" w:w="450"/>
            <w:tcMar>
              <w:top w:type="dxa" w:w="60"/>
              <w:left w:type="dxa" w:w="80"/>
              <w:bottom w:type="dxa" w:w="60"/>
              <w:right w:type="dxa" w:w="80"/>
            </w:tcMar>
          </w:tcPr>
          <w:p>
            <w:pPr>
              <w:jc w:val="left"/>
            </w:pPr>
            <w:r>
              <w:rPr>
                <w:b w:val="false"/>
                <w:bCs w:val="false"/>
                <w:sz w:val="18"/>
                <w:szCs w:val="18"/>
              </w:rPr>
              <w:t xml:space="preserve">11</w:t>
            </w:r>
          </w:p>
        </w:tc>
        <w:tc>
          <w:tcPr>
            <w:tcW w:type="dxa" w:w="1550"/>
            <w:tcMar>
              <w:top w:type="dxa" w:w="60"/>
              <w:left w:type="dxa" w:w="80"/>
              <w:bottom w:type="dxa" w:w="60"/>
              <w:right w:type="dxa" w:w="80"/>
            </w:tcMar>
          </w:tcPr>
          <w:p>
            <w:pPr>
              <w:jc w:val="left"/>
            </w:pPr>
            <w:r>
              <w:rPr>
                <w:b w:val="false"/>
                <w:bCs w:val="false"/>
                <w:sz w:val="18"/>
                <w:szCs w:val="18"/>
              </w:rPr>
              <w:t xml:space="preserve">NIST SP 800-53 Rev. 5</w:t>
            </w:r>
          </w:p>
        </w:tc>
        <w:tc>
          <w:tcPr>
            <w:tcW w:type="dxa" w:w="1300"/>
            <w:tcMar>
              <w:top w:type="dxa" w:w="60"/>
              <w:left w:type="dxa" w:w="80"/>
              <w:bottom w:type="dxa" w:w="60"/>
              <w:right w:type="dxa" w:w="80"/>
            </w:tcMar>
          </w:tcPr>
          <w:p>
            <w:pPr>
              <w:jc w:val="left"/>
            </w:pPr>
            <w:r>
              <w:rPr>
                <w:b w:val="false"/>
                <w:bCs w:val="false"/>
                <w:sz w:val="18"/>
                <w:szCs w:val="18"/>
              </w:rPr>
              <w:t xml:space="preserve">U.S. National Institute of Standards and Technology (NIST)</w:t>
            </w:r>
          </w:p>
        </w:tc>
        <w:tc>
          <w:tcPr>
            <w:tcW w:type="dxa" w:w="1200"/>
            <w:tcMar>
              <w:top w:type="dxa" w:w="60"/>
              <w:left w:type="dxa" w:w="80"/>
              <w:bottom w:type="dxa" w:w="60"/>
              <w:right w:type="dxa" w:w="80"/>
            </w:tcMar>
          </w:tcPr>
          <w:p>
            <w:pPr>
              <w:jc w:val="left"/>
            </w:pPr>
            <w:r>
              <w:rPr>
                <w:b w:val="false"/>
                <w:bCs w:val="false"/>
                <w:sz w:val="18"/>
                <w:szCs w:val="18"/>
              </w:rPr>
              <w:t xml:space="preserve">United States (federal)</w:t>
            </w:r>
          </w:p>
        </w:tc>
        <w:tc>
          <w:tcPr>
            <w:tcW w:type="dxa" w:w="1300"/>
            <w:tcMar>
              <w:top w:type="dxa" w:w="60"/>
              <w:left w:type="dxa" w:w="80"/>
              <w:bottom w:type="dxa" w:w="60"/>
              <w:right w:type="dxa" w:w="80"/>
            </w:tcMar>
          </w:tcPr>
          <w:p>
            <w:pPr>
              <w:jc w:val="left"/>
            </w:pPr>
            <w:r>
              <w:rPr>
                <w:b w:val="false"/>
                <w:bCs w:val="false"/>
                <w:sz w:val="18"/>
                <w:szCs w:val="18"/>
              </w:rPr>
              <w:t xml:space="preserve">Government agencies, cross-border US engagements</w:t>
            </w:r>
          </w:p>
        </w:tc>
        <w:tc>
          <w:tcPr>
            <w:tcW w:type="dxa" w:w="1900"/>
            <w:tcMar>
              <w:top w:type="dxa" w:w="60"/>
              <w:left w:type="dxa" w:w="80"/>
              <w:bottom w:type="dxa" w:w="60"/>
              <w:right w:type="dxa" w:w="80"/>
            </w:tcMar>
          </w:tcPr>
          <w:p>
            <w:pPr>
              <w:jc w:val="left"/>
            </w:pPr>
            <w:r>
              <w:rPr>
                <w:b w:val="false"/>
                <w:bCs w:val="false"/>
                <w:sz w:val="18"/>
                <w:szCs w:val="18"/>
              </w:rPr>
              <w:t xml:space="preserve">Catalogue of security and privacy controls for federal information systems and organisations.</w:t>
            </w:r>
          </w:p>
        </w:tc>
        <w:tc>
          <w:tcPr>
            <w:tcW w:type="dxa" w:w="1700"/>
            <w:tcMar>
              <w:top w:type="dxa" w:w="60"/>
              <w:left w:type="dxa" w:w="80"/>
              <w:bottom w:type="dxa" w:w="60"/>
              <w:right w:type="dxa" w:w="80"/>
            </w:tcMar>
          </w:tcPr>
          <w:p>
            <w:pPr>
              <w:jc w:val="left"/>
            </w:pPr>
            <w:r>
              <w:rPr>
                <w:b w:val="false"/>
                <w:bCs w:val="false"/>
                <w:sz w:val="18"/>
                <w:szCs w:val="18"/>
              </w:rPr>
              <w:t xml:space="preserve">Reference control set GlobalTech's GRC team maps to when a US or US-linked government client requires federal-grade controls.</w:t>
            </w:r>
          </w:p>
        </w:tc>
        <w:tc>
          <w:tcPr>
            <w:tcW w:type="dxa" w:w="1400"/>
            <w:tcMar>
              <w:top w:type="dxa" w:w="60"/>
              <w:left w:type="dxa" w:w="80"/>
              <w:bottom w:type="dxa" w:w="60"/>
              <w:right w:type="dxa" w:w="80"/>
            </w:tcMar>
          </w:tcPr>
          <w:p>
            <w:pPr>
              <w:jc w:val="left"/>
            </w:pPr>
            <w:r>
              <w:rPr>
                <w:b w:val="false"/>
                <w:bCs w:val="false"/>
                <w:sz w:val="18"/>
                <w:szCs w:val="18"/>
              </w:rPr>
              <w:t xml:space="preserve">NIST Special Publication 800-53 Rev. 5, csrc.nist.gov</w:t>
            </w:r>
          </w:p>
        </w:tc>
      </w:tr>
    </w:tbl>
    <w:p>
      <w:pPr>
        <w:spacing w:before="240"/>
      </w:pPr>
    </w:p>
    <w:p>
      <w:pPr>
        <w:pStyle w:val="Heading1"/>
        <w:spacing w:after="160" w:before="320"/>
      </w:pPr>
      <w:r>
        <w:rPr>
          <w:b/>
          <w:bCs/>
          <w:color w:val="1F3864"/>
        </w:rPr>
        <w:t xml:space="preserve">Part B — Internal Ethics: ISC2 Code of Ethics &amp; Canons</w:t>
      </w:r>
    </w:p>
    <w:p>
      <w:pPr>
        <w:spacing w:after="160" w:line="276"/>
      </w:pPr>
      <w:r>
        <w:t xml:space="preserve">The ISC2 Code of Ethics consists of a preamble and four mandatory canons, listed in order of precedence. Because ISC2 also publishes supporting guidance beneath each canon, the table below draws six distinct, individually citable principles from that Code — the four canons themselves plus two of ISC2's official supporting guidance points — rather than folding all of ISC2's guidance into four rows.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900"/>
        <w:gridCol w:w="2900"/>
        <w:gridCol w:w="2750"/>
      </w:tblGrid>
      <w:tr>
        <w:trPr>
          <w:tblHeader/>
        </w:trPr>
        <w:tc>
          <w:tcPr>
            <w:tcW w:type="dxa" w:w="450"/>
            <w:shd w:fill="1F3864" w:color="auto" w:val="clear"/>
            <w:tcMar>
              <w:top w:type="dxa" w:w="60"/>
              <w:left w:type="dxa" w:w="80"/>
              <w:bottom w:type="dxa" w:w="60"/>
              <w:right w:type="dxa" w:w="80"/>
            </w:tcMar>
          </w:tcPr>
          <w:p>
            <w:r>
              <w:rPr>
                <w:b/>
                <w:bCs/>
                <w:color w:val="FFFFFF"/>
                <w:sz w:val="18"/>
                <w:szCs w:val="18"/>
              </w:rPr>
              <w:t xml:space="preserve">#</w:t>
            </w:r>
          </w:p>
        </w:tc>
        <w:tc>
          <w:tcPr>
            <w:tcW w:type="dxa" w:w="1800"/>
            <w:shd w:fill="1F3864" w:color="auto" w:val="clear"/>
            <w:tcMar>
              <w:top w:type="dxa" w:w="60"/>
              <w:left w:type="dxa" w:w="80"/>
              <w:bottom w:type="dxa" w:w="60"/>
              <w:right w:type="dxa" w:w="80"/>
            </w:tcMar>
          </w:tcPr>
          <w:p>
            <w:r>
              <w:rPr>
                <w:b/>
                <w:bCs/>
                <w:color w:val="FFFFFF"/>
                <w:sz w:val="18"/>
                <w:szCs w:val="18"/>
              </w:rPr>
              <w:t xml:space="preserve">Canon / Code Principle</w:t>
            </w:r>
          </w:p>
        </w:tc>
        <w:tc>
          <w:tcPr>
            <w:tcW w:type="dxa" w:w="2900"/>
            <w:shd w:fill="1F3864" w:color="auto" w:val="clear"/>
            <w:tcMar>
              <w:top w:type="dxa" w:w="60"/>
              <w:left w:type="dxa" w:w="80"/>
              <w:bottom w:type="dxa" w:w="60"/>
              <w:right w:type="dxa" w:w="80"/>
            </w:tcMar>
          </w:tcPr>
          <w:p>
            <w:r>
              <w:rPr>
                <w:b/>
                <w:bCs/>
                <w:color w:val="FFFFFF"/>
                <w:sz w:val="18"/>
                <w:szCs w:val="18"/>
              </w:rPr>
              <w:t xml:space="preserve">Official Wording or Paraphrase (cited)</w:t>
            </w:r>
          </w:p>
        </w:tc>
        <w:tc>
          <w:tcPr>
            <w:tcW w:type="dxa" w:w="2900"/>
            <w:shd w:fill="1F3864" w:color="auto" w:val="clear"/>
            <w:tcMar>
              <w:top w:type="dxa" w:w="60"/>
              <w:left w:type="dxa" w:w="80"/>
              <w:bottom w:type="dxa" w:w="60"/>
              <w:right w:type="dxa" w:w="80"/>
            </w:tcMar>
          </w:tcPr>
          <w:p>
            <w:r>
              <w:rPr>
                <w:b/>
                <w:bCs/>
                <w:color w:val="FFFFFF"/>
                <w:sz w:val="18"/>
                <w:szCs w:val="18"/>
              </w:rPr>
              <w:t xml:space="preserve">GlobalTech's Internal Policy Application</w:t>
            </w:r>
          </w:p>
        </w:tc>
        <w:tc>
          <w:tcPr>
            <w:tcW w:type="dxa" w:w="2750"/>
            <w:shd w:fill="1F3864" w:color="auto" w:val="clear"/>
            <w:tcMar>
              <w:top w:type="dxa" w:w="60"/>
              <w:left w:type="dxa" w:w="80"/>
              <w:bottom w:type="dxa" w:w="60"/>
              <w:right w:type="dxa" w:w="80"/>
            </w:tcMar>
          </w:tcPr>
          <w:p>
            <w:r>
              <w:rPr>
                <w:b/>
                <w:bCs/>
                <w:color w:val="FFFFFF"/>
                <w:sz w:val="18"/>
                <w:szCs w:val="18"/>
              </w:rPr>
              <w:t xml:space="preserve">Why It Matters in Practice</w:t>
            </w:r>
          </w:p>
        </w:tc>
      </w:tr>
      <w:tr>
        <w:tc>
          <w:tcPr>
            <w:tcW w:type="dxa" w:w="450"/>
            <w:tcMar>
              <w:top w:type="dxa" w:w="60"/>
              <w:left w:type="dxa" w:w="80"/>
              <w:bottom w:type="dxa" w:w="60"/>
              <w:right w:type="dxa" w:w="80"/>
            </w:tcMar>
          </w:tcPr>
          <w:p>
            <w:pPr>
              <w:jc w:val="left"/>
            </w:pPr>
            <w:r>
              <w:rPr>
                <w:b w:val="false"/>
                <w:bCs w:val="false"/>
                <w:sz w:val="18"/>
                <w:szCs w:val="18"/>
              </w:rPr>
              <w:t xml:space="preserve">1</w:t>
            </w:r>
          </w:p>
        </w:tc>
        <w:tc>
          <w:tcPr>
            <w:tcW w:type="dxa" w:w="1800"/>
            <w:tcMar>
              <w:top w:type="dxa" w:w="60"/>
              <w:left w:type="dxa" w:w="80"/>
              <w:bottom w:type="dxa" w:w="60"/>
              <w:right w:type="dxa" w:w="80"/>
            </w:tcMar>
          </w:tcPr>
          <w:p>
            <w:pPr>
              <w:jc w:val="left"/>
            </w:pPr>
            <w:r>
              <w:rPr>
                <w:b w:val="false"/>
                <w:bCs w:val="false"/>
                <w:sz w:val="18"/>
                <w:szCs w:val="18"/>
              </w:rPr>
              <w:t xml:space="preserve">Canon I — Protect Society</w:t>
            </w:r>
          </w:p>
        </w:tc>
        <w:tc>
          <w:tcPr>
            <w:tcW w:type="dxa" w:w="2900"/>
            <w:tcMar>
              <w:top w:type="dxa" w:w="60"/>
              <w:left w:type="dxa" w:w="80"/>
              <w:bottom w:type="dxa" w:w="60"/>
              <w:right w:type="dxa" w:w="80"/>
            </w:tcMar>
          </w:tcPr>
          <w:p>
            <w:pPr>
              <w:jc w:val="left"/>
            </w:pPr>
            <w:r>
              <w:rPr>
                <w:b w:val="false"/>
                <w:bCs w:val="false"/>
                <w:sz w:val="18"/>
                <w:szCs w:val="18"/>
              </w:rPr>
              <w:t xml:space="preserve">“Protect society, the common good, necessary public trust and confidence, and the infrastructure.” (ISC2 Code of Ethics)</w:t>
            </w:r>
          </w:p>
        </w:tc>
        <w:tc>
          <w:tcPr>
            <w:tcW w:type="dxa" w:w="2900"/>
            <w:tcMar>
              <w:top w:type="dxa" w:w="60"/>
              <w:left w:type="dxa" w:w="80"/>
              <w:bottom w:type="dxa" w:w="60"/>
              <w:right w:type="dxa" w:w="80"/>
            </w:tcMar>
          </w:tcPr>
          <w:p>
            <w:pPr>
              <w:jc w:val="left"/>
            </w:pPr>
            <w:r>
              <w:rPr>
                <w:b w:val="false"/>
                <w:bCs w:val="false"/>
                <w:sz w:val="18"/>
                <w:szCs w:val="18"/>
              </w:rPr>
              <w:t xml:space="preserve">Interns and staff must never take an action — even in a simulated engagement — that could weaken a client's real-world security posture or public trust in GlobalTech.</w:t>
            </w:r>
          </w:p>
        </w:tc>
        <w:tc>
          <w:tcPr>
            <w:tcW w:type="dxa" w:w="2750"/>
            <w:tcMar>
              <w:top w:type="dxa" w:w="60"/>
              <w:left w:type="dxa" w:w="80"/>
              <w:bottom w:type="dxa" w:w="60"/>
              <w:right w:type="dxa" w:w="80"/>
            </w:tcMar>
          </w:tcPr>
          <w:p>
            <w:pPr>
              <w:jc w:val="left"/>
            </w:pPr>
            <w:r>
              <w:rPr>
                <w:b w:val="false"/>
                <w:bCs w:val="false"/>
                <w:sz w:val="18"/>
                <w:szCs w:val="18"/>
              </w:rPr>
              <w:t xml:space="preserve">This is the highest-ranked canon; when it conflicts with any other duty, protecting society and public infrastructure takes priority.</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2</w:t>
            </w:r>
          </w:p>
        </w:tc>
        <w:tc>
          <w:tcPr>
            <w:tcW w:type="dxa" w:w="1800"/>
            <w:shd w:fill="D9E2F3" w:color="auto" w:val="clear"/>
            <w:tcMar>
              <w:top w:type="dxa" w:w="60"/>
              <w:left w:type="dxa" w:w="80"/>
              <w:bottom w:type="dxa" w:w="60"/>
              <w:right w:type="dxa" w:w="80"/>
            </w:tcMar>
          </w:tcPr>
          <w:p>
            <w:pPr>
              <w:jc w:val="left"/>
            </w:pPr>
            <w:r>
              <w:rPr>
                <w:b w:val="false"/>
                <w:bCs w:val="false"/>
                <w:sz w:val="18"/>
                <w:szCs w:val="18"/>
              </w:rPr>
              <w:t xml:space="preserve">Canon I (supporting guidance) — Discourage Unsafe Practice</w:t>
            </w:r>
          </w:p>
        </w:tc>
        <w:tc>
          <w:tcPr>
            <w:tcW w:type="dxa" w:w="2900"/>
            <w:shd w:fill="D9E2F3" w:color="auto" w:val="clear"/>
            <w:tcMar>
              <w:top w:type="dxa" w:w="60"/>
              <w:left w:type="dxa" w:w="80"/>
              <w:bottom w:type="dxa" w:w="60"/>
              <w:right w:type="dxa" w:w="80"/>
            </w:tcMar>
          </w:tcPr>
          <w:p>
            <w:pPr>
              <w:jc w:val="left"/>
            </w:pPr>
            <w:r>
              <w:rPr>
                <w:b w:val="false"/>
                <w:bCs w:val="false"/>
                <w:sz w:val="18"/>
                <w:szCs w:val="18"/>
              </w:rPr>
              <w:t xml:space="preserve">ISC2 guidance under Canon I instructs members to “discourage unsafe practice” and promote acceptance of prudent security measures.</w:t>
            </w:r>
          </w:p>
        </w:tc>
        <w:tc>
          <w:tcPr>
            <w:tcW w:type="dxa" w:w="2900"/>
            <w:shd w:fill="D9E2F3" w:color="auto" w:val="clear"/>
            <w:tcMar>
              <w:top w:type="dxa" w:w="60"/>
              <w:left w:type="dxa" w:w="80"/>
              <w:bottom w:type="dxa" w:w="60"/>
              <w:right w:type="dxa" w:w="80"/>
            </w:tcMar>
          </w:tcPr>
          <w:p>
            <w:pPr>
              <w:jc w:val="left"/>
            </w:pPr>
            <w:r>
              <w:rPr>
                <w:b w:val="false"/>
                <w:bCs w:val="false"/>
                <w:sz w:val="18"/>
                <w:szCs w:val="18"/>
              </w:rPr>
              <w:t xml:space="preserve">Interns are expected to flag, not quietly work around, any process at GlobalTech or a client site that looks unsafe.</w:t>
            </w:r>
          </w:p>
        </w:tc>
        <w:tc>
          <w:tcPr>
            <w:tcW w:type="dxa" w:w="2750"/>
            <w:shd w:fill="D9E2F3" w:color="auto" w:val="clear"/>
            <w:tcMar>
              <w:top w:type="dxa" w:w="60"/>
              <w:left w:type="dxa" w:w="80"/>
              <w:bottom w:type="dxa" w:w="60"/>
              <w:right w:type="dxa" w:w="80"/>
            </w:tcMar>
          </w:tcPr>
          <w:p>
            <w:pPr>
              <w:jc w:val="left"/>
            </w:pPr>
            <w:r>
              <w:rPr>
                <w:b w:val="false"/>
                <w:bCs w:val="false"/>
                <w:sz w:val="18"/>
                <w:szCs w:val="18"/>
              </w:rPr>
              <w:t xml:space="preserve">Turns a broad principle into a concrete daily behaviour: speak up rather than stay silent.</w:t>
            </w:r>
          </w:p>
        </w:tc>
      </w:tr>
      <w:tr>
        <w:tc>
          <w:tcPr>
            <w:tcW w:type="dxa" w:w="450"/>
            <w:tcMar>
              <w:top w:type="dxa" w:w="60"/>
              <w:left w:type="dxa" w:w="80"/>
              <w:bottom w:type="dxa" w:w="60"/>
              <w:right w:type="dxa" w:w="80"/>
            </w:tcMar>
          </w:tcPr>
          <w:p>
            <w:pPr>
              <w:jc w:val="left"/>
            </w:pPr>
            <w:r>
              <w:rPr>
                <w:b w:val="false"/>
                <w:bCs w:val="false"/>
                <w:sz w:val="18"/>
                <w:szCs w:val="18"/>
              </w:rPr>
              <w:t xml:space="preserve">3</w:t>
            </w:r>
          </w:p>
        </w:tc>
        <w:tc>
          <w:tcPr>
            <w:tcW w:type="dxa" w:w="1800"/>
            <w:tcMar>
              <w:top w:type="dxa" w:w="60"/>
              <w:left w:type="dxa" w:w="80"/>
              <w:bottom w:type="dxa" w:w="60"/>
              <w:right w:type="dxa" w:w="80"/>
            </w:tcMar>
          </w:tcPr>
          <w:p>
            <w:pPr>
              <w:jc w:val="left"/>
            </w:pPr>
            <w:r>
              <w:rPr>
                <w:b w:val="false"/>
                <w:bCs w:val="false"/>
                <w:sz w:val="18"/>
                <w:szCs w:val="18"/>
              </w:rPr>
              <w:t xml:space="preserve">Canon II — Act Honorably, Honestly, Justly, Responsibly and Legally</w:t>
            </w:r>
          </w:p>
        </w:tc>
        <w:tc>
          <w:tcPr>
            <w:tcW w:type="dxa" w:w="2900"/>
            <w:tcMar>
              <w:top w:type="dxa" w:w="60"/>
              <w:left w:type="dxa" w:w="80"/>
              <w:bottom w:type="dxa" w:w="60"/>
              <w:right w:type="dxa" w:w="80"/>
            </w:tcMar>
          </w:tcPr>
          <w:p>
            <w:pPr>
              <w:jc w:val="left"/>
            </w:pPr>
            <w:r>
              <w:rPr>
                <w:b w:val="false"/>
                <w:bCs w:val="false"/>
                <w:sz w:val="18"/>
                <w:szCs w:val="18"/>
              </w:rPr>
              <w:t xml:space="preserve">“Act honorably, honestly, justly, responsibly, and legally.” (ISC2 Code of Ethics)</w:t>
            </w:r>
          </w:p>
        </w:tc>
        <w:tc>
          <w:tcPr>
            <w:tcW w:type="dxa" w:w="2900"/>
            <w:tcMar>
              <w:top w:type="dxa" w:w="60"/>
              <w:left w:type="dxa" w:w="80"/>
              <w:bottom w:type="dxa" w:w="60"/>
              <w:right w:type="dxa" w:w="80"/>
            </w:tcMar>
          </w:tcPr>
          <w:p>
            <w:pPr>
              <w:jc w:val="left"/>
            </w:pPr>
            <w:r>
              <w:rPr>
                <w:b w:val="false"/>
                <w:bCs w:val="false"/>
                <w:sz w:val="18"/>
                <w:szCs w:val="18"/>
              </w:rPr>
              <w:t xml:space="preserve">Every report, log entry, and client communication an intern produces must be accurate and never inflate findings or hide mistakes.</w:t>
            </w:r>
          </w:p>
        </w:tc>
        <w:tc>
          <w:tcPr>
            <w:tcW w:type="dxa" w:w="2750"/>
            <w:tcMar>
              <w:top w:type="dxa" w:w="60"/>
              <w:left w:type="dxa" w:w="80"/>
              <w:bottom w:type="dxa" w:w="60"/>
              <w:right w:type="dxa" w:w="80"/>
            </w:tcMar>
          </w:tcPr>
          <w:p>
            <w:pPr>
              <w:jc w:val="left"/>
            </w:pPr>
            <w:r>
              <w:rPr>
                <w:b w:val="false"/>
                <w:bCs w:val="false"/>
                <w:sz w:val="18"/>
                <w:szCs w:val="18"/>
              </w:rPr>
              <w:t xml:space="preserve">Underpins GlobalTech's credibility with regulators and clients across every sector it serves.</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4</w:t>
            </w:r>
          </w:p>
        </w:tc>
        <w:tc>
          <w:tcPr>
            <w:tcW w:type="dxa" w:w="1800"/>
            <w:shd w:fill="D9E2F3" w:color="auto" w:val="clear"/>
            <w:tcMar>
              <w:top w:type="dxa" w:w="60"/>
              <w:left w:type="dxa" w:w="80"/>
              <w:bottom w:type="dxa" w:w="60"/>
              <w:right w:type="dxa" w:w="80"/>
            </w:tcMar>
          </w:tcPr>
          <w:p>
            <w:pPr>
              <w:jc w:val="left"/>
            </w:pPr>
            <w:r>
              <w:rPr>
                <w:b w:val="false"/>
                <w:bCs w:val="false"/>
                <w:sz w:val="18"/>
                <w:szCs w:val="18"/>
              </w:rPr>
              <w:t xml:space="preserve">Canon II (supporting guidance) — Tell the Truth</w:t>
            </w:r>
          </w:p>
        </w:tc>
        <w:tc>
          <w:tcPr>
            <w:tcW w:type="dxa" w:w="2900"/>
            <w:shd w:fill="D9E2F3" w:color="auto" w:val="clear"/>
            <w:tcMar>
              <w:top w:type="dxa" w:w="60"/>
              <w:left w:type="dxa" w:w="80"/>
              <w:bottom w:type="dxa" w:w="60"/>
              <w:right w:type="dxa" w:w="80"/>
            </w:tcMar>
          </w:tcPr>
          <w:p>
            <w:pPr>
              <w:jc w:val="left"/>
            </w:pPr>
            <w:r>
              <w:rPr>
                <w:b w:val="false"/>
                <w:bCs w:val="false"/>
                <w:sz w:val="18"/>
                <w:szCs w:val="18"/>
              </w:rPr>
              <w:t xml:space="preserve">ISC2 guidance under Canon II instructs members to “tell the truth; make all stakeholders aware of your actions on a timely basis.”</w:t>
            </w:r>
          </w:p>
        </w:tc>
        <w:tc>
          <w:tcPr>
            <w:tcW w:type="dxa" w:w="2900"/>
            <w:shd w:fill="D9E2F3" w:color="auto" w:val="clear"/>
            <w:tcMar>
              <w:top w:type="dxa" w:w="60"/>
              <w:left w:type="dxa" w:w="80"/>
              <w:bottom w:type="dxa" w:w="60"/>
              <w:right w:type="dxa" w:w="80"/>
            </w:tcMar>
          </w:tcPr>
          <w:p>
            <w:pPr>
              <w:jc w:val="left"/>
            </w:pPr>
            <w:r>
              <w:rPr>
                <w:b w:val="false"/>
                <w:bCs w:val="false"/>
                <w:sz w:val="18"/>
                <w:szCs w:val="18"/>
              </w:rPr>
              <w:t xml:space="preserve">Interns must escalate errors or scope concerns to their manager immediately rather than after the fact.</w:t>
            </w:r>
          </w:p>
        </w:tc>
        <w:tc>
          <w:tcPr>
            <w:tcW w:type="dxa" w:w="2750"/>
            <w:shd w:fill="D9E2F3" w:color="auto" w:val="clear"/>
            <w:tcMar>
              <w:top w:type="dxa" w:w="60"/>
              <w:left w:type="dxa" w:w="80"/>
              <w:bottom w:type="dxa" w:w="60"/>
              <w:right w:type="dxa" w:w="80"/>
            </w:tcMar>
          </w:tcPr>
          <w:p>
            <w:pPr>
              <w:jc w:val="left"/>
            </w:pPr>
            <w:r>
              <w:rPr>
                <w:b w:val="false"/>
                <w:bCs w:val="false"/>
                <w:sz w:val="18"/>
                <w:szCs w:val="18"/>
              </w:rPr>
              <w:t xml:space="preserve">Timely honesty is what lets GRC and leadership manage client risk before it compounds.</w:t>
            </w:r>
          </w:p>
        </w:tc>
      </w:tr>
      <w:tr>
        <w:tc>
          <w:tcPr>
            <w:tcW w:type="dxa" w:w="450"/>
            <w:tcMar>
              <w:top w:type="dxa" w:w="60"/>
              <w:left w:type="dxa" w:w="80"/>
              <w:bottom w:type="dxa" w:w="60"/>
              <w:right w:type="dxa" w:w="80"/>
            </w:tcMar>
          </w:tcPr>
          <w:p>
            <w:pPr>
              <w:jc w:val="left"/>
            </w:pPr>
            <w:r>
              <w:rPr>
                <w:b w:val="false"/>
                <w:bCs w:val="false"/>
                <w:sz w:val="18"/>
                <w:szCs w:val="18"/>
              </w:rPr>
              <w:t xml:space="preserve">5</w:t>
            </w:r>
          </w:p>
        </w:tc>
        <w:tc>
          <w:tcPr>
            <w:tcW w:type="dxa" w:w="1800"/>
            <w:tcMar>
              <w:top w:type="dxa" w:w="60"/>
              <w:left w:type="dxa" w:w="80"/>
              <w:bottom w:type="dxa" w:w="60"/>
              <w:right w:type="dxa" w:w="80"/>
            </w:tcMar>
          </w:tcPr>
          <w:p>
            <w:pPr>
              <w:jc w:val="left"/>
            </w:pPr>
            <w:r>
              <w:rPr>
                <w:b w:val="false"/>
                <w:bCs w:val="false"/>
                <w:sz w:val="18"/>
                <w:szCs w:val="18"/>
              </w:rPr>
              <w:t xml:space="preserve">Canon III — Provide Diligent and Competent Service to Principals</w:t>
            </w:r>
          </w:p>
        </w:tc>
        <w:tc>
          <w:tcPr>
            <w:tcW w:type="dxa" w:w="2900"/>
            <w:tcMar>
              <w:top w:type="dxa" w:w="60"/>
              <w:left w:type="dxa" w:w="80"/>
              <w:bottom w:type="dxa" w:w="60"/>
              <w:right w:type="dxa" w:w="80"/>
            </w:tcMar>
          </w:tcPr>
          <w:p>
            <w:pPr>
              <w:jc w:val="left"/>
            </w:pPr>
            <w:r>
              <w:rPr>
                <w:b w:val="false"/>
                <w:bCs w:val="false"/>
                <w:sz w:val="18"/>
                <w:szCs w:val="18"/>
              </w:rPr>
              <w:t xml:space="preserve">“Provide diligent and competent service to principals.” (ISC2 Code of Ethics)</w:t>
            </w:r>
          </w:p>
        </w:tc>
        <w:tc>
          <w:tcPr>
            <w:tcW w:type="dxa" w:w="2900"/>
            <w:tcMar>
              <w:top w:type="dxa" w:w="60"/>
              <w:left w:type="dxa" w:w="80"/>
              <w:bottom w:type="dxa" w:w="60"/>
              <w:right w:type="dxa" w:w="80"/>
            </w:tcMar>
          </w:tcPr>
          <w:p>
            <w:pPr>
              <w:jc w:val="left"/>
            </w:pPr>
            <w:r>
              <w:rPr>
                <w:b w:val="false"/>
                <w:bCs w:val="false"/>
                <w:sz w:val="18"/>
                <w:szCs w:val="18"/>
              </w:rPr>
              <w:t xml:space="preserve">Interns only take on tasks matching their current skill level and ask for supervision on anything beyond it, rather than guessing.</w:t>
            </w:r>
          </w:p>
        </w:tc>
        <w:tc>
          <w:tcPr>
            <w:tcW w:type="dxa" w:w="2750"/>
            <w:tcMar>
              <w:top w:type="dxa" w:w="60"/>
              <w:left w:type="dxa" w:w="80"/>
              <w:bottom w:type="dxa" w:w="60"/>
              <w:right w:type="dxa" w:w="80"/>
            </w:tcMar>
          </w:tcPr>
          <w:p>
            <w:pPr>
              <w:jc w:val="left"/>
            </w:pPr>
            <w:r>
              <w:rPr>
                <w:b w:val="false"/>
                <w:bCs w:val="false"/>
                <w:sz w:val="18"/>
                <w:szCs w:val="18"/>
              </w:rPr>
              <w:t xml:space="preserve">Protects clients from under-qualified work and protects GlobalTech's professional standing.</w:t>
            </w:r>
          </w:p>
        </w:tc>
      </w:tr>
      <w:tr>
        <w:tc>
          <w:tcPr>
            <w:tcW w:type="dxa" w:w="450"/>
            <w:shd w:fill="D9E2F3" w:color="auto" w:val="clear"/>
            <w:tcMar>
              <w:top w:type="dxa" w:w="60"/>
              <w:left w:type="dxa" w:w="80"/>
              <w:bottom w:type="dxa" w:w="60"/>
              <w:right w:type="dxa" w:w="80"/>
            </w:tcMar>
          </w:tcPr>
          <w:p>
            <w:pPr>
              <w:jc w:val="left"/>
            </w:pPr>
            <w:r>
              <w:rPr>
                <w:b w:val="false"/>
                <w:bCs w:val="false"/>
                <w:sz w:val="18"/>
                <w:szCs w:val="18"/>
              </w:rPr>
              <w:t xml:space="preserve">6</w:t>
            </w:r>
          </w:p>
        </w:tc>
        <w:tc>
          <w:tcPr>
            <w:tcW w:type="dxa" w:w="1800"/>
            <w:shd w:fill="D9E2F3" w:color="auto" w:val="clear"/>
            <w:tcMar>
              <w:top w:type="dxa" w:w="60"/>
              <w:left w:type="dxa" w:w="80"/>
              <w:bottom w:type="dxa" w:w="60"/>
              <w:right w:type="dxa" w:w="80"/>
            </w:tcMar>
          </w:tcPr>
          <w:p>
            <w:pPr>
              <w:jc w:val="left"/>
            </w:pPr>
            <w:r>
              <w:rPr>
                <w:b w:val="false"/>
                <w:bCs w:val="false"/>
                <w:sz w:val="18"/>
                <w:szCs w:val="18"/>
              </w:rPr>
              <w:t xml:space="preserve">Canon IV — Advance and Protect the Profession</w:t>
            </w:r>
          </w:p>
        </w:tc>
        <w:tc>
          <w:tcPr>
            <w:tcW w:type="dxa" w:w="2900"/>
            <w:shd w:fill="D9E2F3" w:color="auto" w:val="clear"/>
            <w:tcMar>
              <w:top w:type="dxa" w:w="60"/>
              <w:left w:type="dxa" w:w="80"/>
              <w:bottom w:type="dxa" w:w="60"/>
              <w:right w:type="dxa" w:w="80"/>
            </w:tcMar>
          </w:tcPr>
          <w:p>
            <w:pPr>
              <w:jc w:val="left"/>
            </w:pPr>
            <w:r>
              <w:rPr>
                <w:b w:val="false"/>
                <w:bCs w:val="false"/>
                <w:sz w:val="18"/>
                <w:szCs w:val="18"/>
              </w:rPr>
              <w:t xml:space="preserve">“Advance and protect the profession.” (ISC2 Code of Ethics)</w:t>
            </w:r>
          </w:p>
        </w:tc>
        <w:tc>
          <w:tcPr>
            <w:tcW w:type="dxa" w:w="2900"/>
            <w:shd w:fill="D9E2F3" w:color="auto" w:val="clear"/>
            <w:tcMar>
              <w:top w:type="dxa" w:w="60"/>
              <w:left w:type="dxa" w:w="80"/>
              <w:bottom w:type="dxa" w:w="60"/>
              <w:right w:type="dxa" w:w="80"/>
            </w:tcMar>
          </w:tcPr>
          <w:p>
            <w:pPr>
              <w:jc w:val="left"/>
            </w:pPr>
            <w:r>
              <w:rPr>
                <w:b w:val="false"/>
                <w:bCs w:val="false"/>
                <w:sz w:val="18"/>
                <w:szCs w:val="18"/>
              </w:rPr>
              <w:t xml:space="preserve">Interns represent GlobalTech and the cybersecurity profession publicly (e.g. the D3 LinkedIn/X post) in a way that reflects well on both.</w:t>
            </w:r>
          </w:p>
        </w:tc>
        <w:tc>
          <w:tcPr>
            <w:tcW w:type="dxa" w:w="2750"/>
            <w:shd w:fill="D9E2F3" w:color="auto" w:val="clear"/>
            <w:tcMar>
              <w:top w:type="dxa" w:w="60"/>
              <w:left w:type="dxa" w:w="80"/>
              <w:bottom w:type="dxa" w:w="60"/>
              <w:right w:type="dxa" w:w="80"/>
            </w:tcMar>
          </w:tcPr>
          <w:p>
            <w:pPr>
              <w:jc w:val="left"/>
            </w:pPr>
            <w:r>
              <w:rPr>
                <w:b w:val="false"/>
                <w:bCs w:val="false"/>
                <w:sz w:val="18"/>
                <w:szCs w:val="18"/>
              </w:rPr>
              <w:t xml:space="preserve">Public conduct outside client work still shapes trust in the profession GlobalTech operates within.</w:t>
            </w:r>
          </w:p>
        </w:tc>
      </w:tr>
    </w:tbl>
    <w:p>
      <w:pPr>
        <w:spacing w:before="240"/>
      </w:pPr>
    </w:p>
    <w:p>
      <w:pPr>
        <w:pStyle w:val="Heading1"/>
        <w:spacing w:after="160" w:before="320"/>
      </w:pPr>
      <w:r>
        <w:rPr>
          <w:b/>
          <w:bCs/>
          <w:color w:val="1F3864"/>
        </w:rPr>
        <w:t xml:space="preserve">Part C — Compliance Note</w:t>
      </w:r>
    </w:p>
    <w:p>
      <w:pPr>
        <w:spacing w:after="160" w:line="276"/>
      </w:pPr>
      <w:r>
        <w:t xml:space="preserve">I will comply with the frameworks identified in Table 1 in the following concrete ways during this internship and beyond:</w:t>
      </w:r>
    </w:p>
    <w:p>
      <w:pPr>
        <w:pStyle w:val="ListParagraph"/>
        <w:numPr>
          <w:ilvl w:val="0"/>
          <w:numId w:val="1"/>
        </w:numPr>
        <w:spacing w:after="80"/>
      </w:pPr>
      <w:r>
        <w:t xml:space="preserve">Nigeria Data Protection Act, 2023 (row 7): I will treat any personal data I encounter in simulated or real client materials as regulated data — collecting only what a task requires, never exporting it outside GlobalTech-approved systems, and flagging any handling I am unsure about to my supervisor before proceeding.</w:t>
      </w:r>
    </w:p>
    <w:p>
      <w:pPr>
        <w:pStyle w:val="ListParagraph"/>
        <w:numPr>
          <w:ilvl w:val="0"/>
          <w:numId w:val="1"/>
        </w:numPr>
        <w:spacing w:after="80"/>
      </w:pPr>
      <w:r>
        <w:t xml:space="preserve">ISO/IEC 27001:2022 (row 2): I will follow GlobalTech's documented information-security procedures (access control, secure handling of credentials and findings, clean-desk practice) exactly as an ISMS requires, rather than treating them as optional during an internship.</w:t>
      </w:r>
    </w:p>
    <w:p>
      <w:pPr>
        <w:pStyle w:val="ListParagraph"/>
        <w:numPr>
          <w:ilvl w:val="0"/>
          <w:numId w:val="1"/>
        </w:numPr>
        <w:spacing w:after="80"/>
      </w:pPr>
      <w:r>
        <w:t xml:space="preserve">CBN Risk-Based Cybersecurity Framework and Guidelines for DMBs and PSBs (row 8): on any banking-sector-linked task, I will assume CBN's governance and reporting expectations apply, escalate findings through the correct internal channel rather than acting unilaterally, and never discuss client-specific details outside authorised channels.</w:t>
      </w:r>
    </w:p>
    <w:p>
      <w:pPr>
        <w:spacing w:after="160" w:line="276"/>
      </w:pPr>
      <w:r>
        <w:t xml:space="preserve">Across all frameworks in Table 1, my baseline rule is: when in doubt about whether an action is compliant, I ask my supervisor before acting, not after.</w:t>
      </w:r>
    </w:p>
    <w:p>
      <w:pPr>
        <w:pStyle w:val="Heading1"/>
        <w:spacing w:after="160" w:before="320"/>
      </w:pPr>
      <w:r>
        <w:rPr>
          <w:b/>
          <w:bCs/>
          <w:color w:val="1F3864"/>
        </w:rPr>
        <w:t xml:space="preserve">Part D — Oath of Compliance and Alignment</w:t>
      </w:r>
    </w:p>
    <w:p>
      <w:pPr>
        <w:spacing w:after="160" w:line="276"/>
      </w:pPr>
      <w:r>
        <w:t xml:space="preserve">I, [Your Full Name], acknowledge that I have researched and understood the frameworks, standards, and internal ethical canons that govern GlobalTech's engagement with its clients. I commit to upholding these in every task I undertake during this internship, simulated or real, and to conducting myself in line with the ISC2 Code of Ethics and GlobalTech's internal policy.</w:t>
      </w:r>
    </w:p>
    <w:p>
      <w:pPr>
        <w:spacing w:after="100" w:before="300"/>
      </w:pPr>
      <w:r>
        <w:t xml:space="preserve">Signed: </w:t>
      </w:r>
      <w:r>
        <w:t xml:space="preserve">_____________________________</w:t>
      </w:r>
      <w:ptab w:alignment="right" w:relativeTo="margin" w:leader="none"/>
    </w:p>
    <w:p>
      <w:pPr>
        <w:spacing w:after="100"/>
      </w:pPr>
      <w:r>
        <w:t xml:space="preserve">Name (printed): [Your Full Name]</w:t>
      </w:r>
    </w:p>
    <w:p>
      <w:pPr>
        <w:spacing w:after="100"/>
      </w:pPr>
      <w:r>
        <w:t xml:space="preserve">Date: ____________________</w:t>
      </w:r>
    </w:p>
    <w:p>
      <w:pPr>
        <w:pStyle w:val="Heading1"/>
        <w:spacing w:after="160" w:before="320"/>
      </w:pPr>
      <w:r>
        <w:rPr>
          <w:b/>
          <w:bCs/>
          <w:color w:val="1F3864"/>
        </w:rPr>
        <w:t xml:space="preserve">Part E — References</w:t>
      </w:r>
    </w:p>
    <w:p>
      <w:pPr>
        <w:pStyle w:val="ListParagraph"/>
        <w:numPr>
          <w:ilvl w:val="0"/>
          <w:numId w:val="1"/>
        </w:numPr>
        <w:spacing w:after="80"/>
      </w:pPr>
      <w:r>
        <w:t xml:space="preserve">Central Bank of Nigeria (CBN). “Risk-Based Cybersecurity Framework and Guidelines for Deposit Money Banks and Payment Service Banks.” Issued 31 May 2024, effective 1 July 2024. cbn.gov.ng.</w:t>
      </w:r>
    </w:p>
    <w:p>
      <w:pPr>
        <w:pStyle w:val="ListParagraph"/>
        <w:numPr>
          <w:ilvl w:val="0"/>
          <w:numId w:val="1"/>
        </w:numPr>
        <w:spacing w:after="80"/>
      </w:pPr>
      <w:r>
        <w:t xml:space="preserve">European Union. Regulation (EU) 2016/679 (General Data Protection Regulation). gdpr-info.eu.</w:t>
      </w:r>
    </w:p>
    <w:p>
      <w:pPr>
        <w:pStyle w:val="ListParagraph"/>
        <w:numPr>
          <w:ilvl w:val="0"/>
          <w:numId w:val="1"/>
        </w:numPr>
        <w:spacing w:after="80"/>
      </w:pPr>
      <w:r>
        <w:t xml:space="preserve">International Organization for Standardization. ISO/IEC 27001:2022 — Information security management systems — Requirements. iso.org/standard/27001.</w:t>
      </w:r>
    </w:p>
    <w:p>
      <w:pPr>
        <w:pStyle w:val="ListParagraph"/>
        <w:numPr>
          <w:ilvl w:val="0"/>
          <w:numId w:val="1"/>
        </w:numPr>
        <w:spacing w:after="80"/>
      </w:pPr>
      <w:r>
        <w:t xml:space="preserve">International Organization for Standardization. ISO 27799:2016 — Health informatics — Information security management in health using ISO/IEC 27002. iso.org/standard/62777.</w:t>
      </w:r>
    </w:p>
    <w:p>
      <w:pPr>
        <w:pStyle w:val="ListParagraph"/>
        <w:numPr>
          <w:ilvl w:val="0"/>
          <w:numId w:val="1"/>
        </w:numPr>
        <w:spacing w:after="80"/>
      </w:pPr>
      <w:r>
        <w:t xml:space="preserve">ISC2. “ISC2 Code of Ethics.” isc2.org/ethics.</w:t>
      </w:r>
    </w:p>
    <w:p>
      <w:pPr>
        <w:pStyle w:val="ListParagraph"/>
        <w:numPr>
          <w:ilvl w:val="0"/>
          <w:numId w:val="1"/>
        </w:numPr>
        <w:spacing w:after="80"/>
      </w:pPr>
      <w:r>
        <w:t xml:space="preserve">National Information Technology Development Agency (NITDA). Nigeria Data Protection Regulation, 2019.</w:t>
      </w:r>
    </w:p>
    <w:p>
      <w:pPr>
        <w:pStyle w:val="ListParagraph"/>
        <w:numPr>
          <w:ilvl w:val="0"/>
          <w:numId w:val="1"/>
        </w:numPr>
        <w:spacing w:after="80"/>
      </w:pPr>
      <w:r>
        <w:t xml:space="preserve">Nigeria Data Protection Act, 2023 (signed into law 12 June 2023 by President Bola Ahmed Tinubu, establishing the Nigeria Data Protection Commission).</w:t>
      </w:r>
    </w:p>
    <w:p>
      <w:pPr>
        <w:pStyle w:val="ListParagraph"/>
        <w:numPr>
          <w:ilvl w:val="0"/>
          <w:numId w:val="1"/>
        </w:numPr>
        <w:spacing w:after="80"/>
      </w:pPr>
      <w:r>
        <w:t xml:space="preserve">PCI Security Standards Council. Payment Card Industry Data Security Standard (PCI DSS) v4.0. pcisecuritystandards.org.</w:t>
      </w:r>
    </w:p>
    <w:p>
      <w:pPr>
        <w:pStyle w:val="ListParagraph"/>
        <w:numPr>
          <w:ilvl w:val="0"/>
          <w:numId w:val="1"/>
        </w:numPr>
        <w:spacing w:after="80"/>
      </w:pPr>
      <w:r>
        <w:t xml:space="preserve">U.S. Department of Health and Human Services. HIPAA Security Rule. hhs.gov/hipaa.</w:t>
      </w:r>
    </w:p>
    <w:p>
      <w:pPr>
        <w:pStyle w:val="ListParagraph"/>
        <w:numPr>
          <w:ilvl w:val="0"/>
          <w:numId w:val="1"/>
        </w:numPr>
        <w:spacing w:after="80"/>
      </w:pPr>
      <w:r>
        <w:t xml:space="preserve">U.S. National Institute of Standards and Technology (NIST). The NIST Cybersecurity Framework (CSF) 2.0. nist.gov/cyberframework.</w:t>
      </w:r>
    </w:p>
    <w:p>
      <w:pPr>
        <w:pStyle w:val="ListParagraph"/>
        <w:numPr>
          <w:ilvl w:val="0"/>
          <w:numId w:val="1"/>
        </w:numPr>
        <w:spacing w:after="80"/>
      </w:pPr>
      <w:r>
        <w:t xml:space="preserve">U.S. National Institute of Standards and Technology (NIST). Special Publication 800-53 Revision 5: Security and Privacy Controls for Information Systems and Organizations. csrc.nist.gov.</w:t>
      </w:r>
    </w:p>
    <w:p>
      <w:pPr>
        <w:pStyle w:val="ListParagraph"/>
        <w:numPr>
          <w:ilvl w:val="0"/>
          <w:numId w:val="1"/>
        </w:numPr>
        <w:spacing w:after="80"/>
      </w:pPr>
      <w:r>
        <w:t xml:space="preserve">UK Information Commissioner's Office (ICO). “Guide to the UK GDPR.” ico.org.uk. Data Protection Act 2018 (UK).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2026-09-23T10:26:26.790Z</dcterms:created>
  <dcterms:modified xsi:type="dcterms:W3CDTF">2026-09-23T10:26:26.799Z</dcterms:modified>
</cp:coreProperties>
</file>

<file path=docProps/custom.xml><?xml version="1.0" encoding="utf-8"?>
<Properties xmlns="http://schemas.openxmlformats.org/officeDocument/2006/custom-properties" xmlns:vt="http://schemas.openxmlformats.org/officeDocument/2006/docPropsVTypes"/>
</file>