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C8D49">
      <w:pPr>
        <w:spacing w:before="1400" w:after="40"/>
        <w:jc w:val="both"/>
        <w:rPr>
          <w:rFonts w:ascii="Calibri" w:hAnsi="Calibri" w:eastAsia="Calibri" w:cs="Calibri"/>
          <w:b/>
          <w:bCs/>
          <w:color w:val="auto"/>
          <w:sz w:val="22"/>
          <w:szCs w:val="22"/>
        </w:rPr>
      </w:pPr>
    </w:p>
    <w:p w14:paraId="63778690">
      <w:pPr>
        <w:spacing w:before="1400" w:after="40"/>
        <w:jc w:val="both"/>
        <w:rPr>
          <w:rFonts w:ascii="Calibri" w:hAnsi="Calibri" w:eastAsia="Calibri" w:cs="Calibri"/>
          <w:b/>
          <w:bCs/>
          <w:color w:val="auto"/>
          <w:sz w:val="22"/>
          <w:szCs w:val="22"/>
        </w:rPr>
      </w:pPr>
    </w:p>
    <w:p w14:paraId="5E48C244">
      <w:pPr>
        <w:spacing w:before="1400" w:after="40"/>
        <w:jc w:val="both"/>
        <w:rPr>
          <w:color w:val="auto"/>
        </w:rPr>
      </w:pPr>
      <w:r>
        <w:rPr>
          <w:rFonts w:ascii="Calibri" w:hAnsi="Calibri" w:eastAsia="Calibri" w:cs="Calibri"/>
          <w:b/>
          <w:bCs/>
          <w:color w:val="auto"/>
          <w:sz w:val="22"/>
          <w:szCs w:val="22"/>
        </w:rPr>
        <w:t>GlobalTech Cybersecurity Internship — Cohort 1</w:t>
      </w:r>
      <w:bookmarkStart w:id="0" w:name="_GoBack"/>
      <w:bookmarkEnd w:id="0"/>
    </w:p>
    <w:p w14:paraId="12EF1CD2">
      <w:pPr>
        <w:spacing w:after="40"/>
        <w:jc w:val="both"/>
        <w:rPr>
          <w:color w:val="auto"/>
        </w:rPr>
      </w:pPr>
      <w:r>
        <w:rPr>
          <w:rFonts w:ascii="Calibri" w:hAnsi="Calibri" w:eastAsia="Calibri" w:cs="Calibri"/>
          <w:b/>
          <w:bCs/>
          <w:color w:val="auto"/>
          <w:sz w:val="40"/>
          <w:szCs w:val="40"/>
        </w:rPr>
        <w:t>OPERATION FROZEN TRAIL</w:t>
      </w:r>
    </w:p>
    <w:p w14:paraId="7B4D630F">
      <w:pPr>
        <w:spacing w:after="300"/>
        <w:jc w:val="both"/>
        <w:rPr>
          <w:color w:val="auto"/>
        </w:rPr>
      </w:pPr>
      <w:r>
        <w:rPr>
          <w:rFonts w:ascii="Calibri" w:hAnsi="Calibri" w:eastAsia="Calibri" w:cs="Calibri"/>
          <w:color w:val="auto"/>
          <w:sz w:val="28"/>
          <w:szCs w:val="28"/>
        </w:rPr>
        <w:t>Week 4 Submission Package — D1, D2, D3 &amp; D4</w:t>
      </w:r>
    </w:p>
    <w:p w14:paraId="40EA077A">
      <w:pPr>
        <w:spacing w:after="60"/>
        <w:jc w:val="both"/>
        <w:rPr>
          <w:rFonts w:ascii="Calibri" w:hAnsi="Calibri" w:eastAsia="Calibri" w:cs="Calibri"/>
          <w:b/>
          <w:bCs/>
          <w:i/>
          <w:iCs/>
          <w:color w:val="auto"/>
        </w:rPr>
      </w:pPr>
      <w:r>
        <w:rPr>
          <w:rFonts w:ascii="Calibri" w:hAnsi="Calibri" w:eastAsia="Calibri" w:cs="Calibri"/>
          <w:b/>
          <w:bCs/>
          <w:color w:val="auto"/>
        </w:rPr>
        <w:t xml:space="preserve">PREPARED BY: </w:t>
      </w:r>
      <w:r>
        <w:rPr>
          <w:rFonts w:ascii="Calibri" w:hAnsi="Calibri" w:eastAsia="Calibri" w:cs="Calibri"/>
          <w:b/>
          <w:bCs/>
          <w:i/>
          <w:iCs/>
          <w:color w:val="auto"/>
        </w:rPr>
        <w:t>HAMZAT ADEYEMI (MOXART), CYBERSECURITY INTERNSHIP</w:t>
      </w:r>
    </w:p>
    <w:p w14:paraId="2D21D2C4">
      <w:pPr>
        <w:spacing w:after="60"/>
        <w:jc w:val="both"/>
        <w:rPr>
          <w:b/>
          <w:bCs/>
          <w:color w:val="auto"/>
        </w:rPr>
      </w:pPr>
      <w:r>
        <w:rPr>
          <w:rFonts w:ascii="Calibri" w:hAnsi="Calibri" w:eastAsia="Calibri" w:cs="Calibri"/>
          <w:b/>
          <w:bCs/>
          <w:color w:val="auto"/>
        </w:rPr>
        <w:t xml:space="preserve">CLIENT (SIMULATED): </w:t>
      </w:r>
      <w:r>
        <w:rPr>
          <w:rFonts w:ascii="Calibri" w:hAnsi="Calibri" w:eastAsia="Calibri" w:cs="Calibri"/>
          <w:b/>
          <w:bCs/>
          <w:i/>
          <w:iCs/>
          <w:color w:val="auto"/>
        </w:rPr>
        <w:t>FROZEN YOGHURT LTD, PORTSMOUTH, UK</w:t>
      </w:r>
    </w:p>
    <w:p w14:paraId="05F1729C">
      <w:pPr>
        <w:spacing w:after="60"/>
        <w:jc w:val="both"/>
        <w:rPr>
          <w:b/>
          <w:bCs/>
          <w:color w:val="auto"/>
        </w:rPr>
      </w:pPr>
      <w:r>
        <w:rPr>
          <w:rFonts w:ascii="Calibri" w:hAnsi="Calibri" w:eastAsia="Calibri" w:cs="Calibri"/>
          <w:b/>
          <w:bCs/>
          <w:color w:val="auto"/>
        </w:rPr>
        <w:t xml:space="preserve">EVIDENCE WINDOW: </w:t>
      </w:r>
      <w:r>
        <w:rPr>
          <w:rFonts w:ascii="Calibri" w:hAnsi="Calibri" w:eastAsia="Calibri" w:cs="Calibri"/>
          <w:b/>
          <w:bCs/>
          <w:i/>
          <w:iCs/>
          <w:color w:val="auto"/>
        </w:rPr>
        <w:t>7–8 MARCH 2022</w:t>
      </w:r>
    </w:p>
    <w:p w14:paraId="42BABD92">
      <w:pPr>
        <w:spacing w:after="60"/>
        <w:jc w:val="both"/>
        <w:rPr>
          <w:b/>
          <w:bCs/>
          <w:color w:val="auto"/>
        </w:rPr>
      </w:pPr>
      <w:r>
        <w:rPr>
          <w:rFonts w:ascii="Calibri" w:hAnsi="Calibri" w:eastAsia="Calibri" w:cs="Calibri"/>
          <w:b/>
          <w:bCs/>
          <w:color w:val="auto"/>
        </w:rPr>
        <w:t xml:space="preserve">EVIDENCE FILES: </w:t>
      </w:r>
      <w:r>
        <w:rPr>
          <w:rFonts w:ascii="Calibri" w:hAnsi="Calibri" w:eastAsia="Calibri" w:cs="Calibri"/>
          <w:b/>
          <w:bCs/>
          <w:i/>
          <w:iCs/>
          <w:color w:val="auto"/>
        </w:rPr>
        <w:t>AUTH.LOG, KERN.LOG, SYSLOG, SURICATALOGS.LOG, NETWORK_PACKET_CAPTURE.PCAPNG</w:t>
      </w:r>
    </w:p>
    <w:p w14:paraId="61BD46DD">
      <w:pPr>
        <w:pStyle w:val="16"/>
        <w:numPr>
          <w:numId w:val="0"/>
        </w:numPr>
        <w:spacing w:after="60"/>
        <w:ind w:left="360" w:leftChars="0"/>
        <w:jc w:val="both"/>
        <w:rPr>
          <w:color w:val="auto"/>
        </w:rPr>
      </w:pPr>
    </w:p>
    <w:p w14:paraId="7F7CFE16">
      <w:pPr>
        <w:jc w:val="both"/>
        <w:rPr>
          <w:color w:val="auto"/>
        </w:rPr>
      </w:pPr>
      <w:r>
        <w:rPr>
          <w:color w:val="auto"/>
        </w:rPr>
        <w:br w:type="page"/>
      </w:r>
    </w:p>
    <w:p w14:paraId="65B1D91A">
      <w:pPr>
        <w:rPr>
          <w:b/>
          <w:bCs/>
          <w:sz w:val="36"/>
          <w:szCs w:val="40"/>
        </w:rPr>
      </w:pPr>
      <w:r>
        <w:rPr>
          <w:b/>
          <w:bCs/>
          <w:sz w:val="36"/>
          <w:szCs w:val="40"/>
        </w:rPr>
        <w:t>D1 — MULTI-LOG THREAT HUNTING REPORT</w:t>
      </w:r>
    </w:p>
    <w:p w14:paraId="0DFCEFF9">
      <w:pPr>
        <w:spacing w:after="200"/>
        <w:rPr>
          <w:color w:val="auto"/>
        </w:rPr>
      </w:pPr>
    </w:p>
    <w:p w14:paraId="4B463617">
      <w:pPr>
        <w:pStyle w:val="2"/>
        <w:spacing w:before="240" w:after="120"/>
        <w:rPr>
          <w:color w:val="auto"/>
        </w:rPr>
      </w:pPr>
      <w:r>
        <w:rPr>
          <w:rFonts w:ascii="Calibri" w:hAnsi="Calibri" w:eastAsia="Calibri" w:cs="Calibri"/>
          <w:b/>
          <w:bCs/>
          <w:color w:val="auto"/>
        </w:rPr>
        <w:t>METHODOLOGY</w:t>
      </w:r>
    </w:p>
    <w:p w14:paraId="6C421A7D">
      <w:pPr>
        <w:pStyle w:val="3"/>
        <w:spacing w:before="240" w:after="120"/>
        <w:rPr>
          <w:color w:val="auto"/>
        </w:rPr>
      </w:pPr>
      <w:r>
        <w:rPr>
          <w:rFonts w:ascii="Calibri" w:hAnsi="Calibri" w:eastAsia="Calibri" w:cs="Calibri"/>
          <w:b/>
          <w:bCs/>
          <w:color w:val="auto"/>
        </w:rPr>
        <w:t>Analysis Approach</w:t>
      </w:r>
    </w:p>
    <w:p w14:paraId="5235EE46">
      <w:pPr>
        <w:spacing w:after="120"/>
        <w:rPr>
          <w:color w:val="auto"/>
        </w:rPr>
      </w:pPr>
      <w:r>
        <w:rPr>
          <w:rFonts w:ascii="Calibri" w:hAnsi="Calibri" w:eastAsia="Calibri" w:cs="Calibri"/>
          <w:b w:val="0"/>
          <w:bCs w:val="0"/>
          <w:i w:val="0"/>
          <w:iCs w:val="0"/>
          <w:color w:val="auto"/>
        </w:rPr>
        <w:t>All five evidence files were opened and reviewed before any claim was written. They were worked in the following order:</w:t>
      </w:r>
    </w:p>
    <w:p w14:paraId="745502CD">
      <w:pPr>
        <w:pStyle w:val="16"/>
        <w:numPr>
          <w:ilvl w:val="0"/>
          <w:numId w:val="1"/>
        </w:numPr>
        <w:spacing w:after="60"/>
        <w:rPr>
          <w:color w:val="auto"/>
        </w:rPr>
      </w:pPr>
      <w:r>
        <w:rPr>
          <w:rFonts w:ascii="Calibri" w:hAnsi="Calibri" w:eastAsia="Calibri" w:cs="Calibri"/>
          <w:color w:val="auto"/>
        </w:rPr>
        <w:t>1. suricatalogs.log first — the IDS alerts give the highest-level view of “something happened” and establish a first-pass timeline across both days.</w:t>
      </w:r>
    </w:p>
    <w:p w14:paraId="6F3C7488">
      <w:pPr>
        <w:pStyle w:val="16"/>
        <w:numPr>
          <w:ilvl w:val="0"/>
          <w:numId w:val="1"/>
        </w:numPr>
        <w:spacing w:after="60"/>
        <w:rPr>
          <w:color w:val="auto"/>
        </w:rPr>
      </w:pPr>
      <w:r>
        <w:rPr>
          <w:rFonts w:ascii="Calibri" w:hAnsi="Calibri" w:eastAsia="Calibri" w:cs="Calibri"/>
          <w:color w:val="auto"/>
        </w:rPr>
        <w:t>2. syslog second — confirms whether an alerted attempt (TELNET in particular) was actually accepted at the service level, not just attempted.</w:t>
      </w:r>
    </w:p>
    <w:p w14:paraId="65350392">
      <w:pPr>
        <w:pStyle w:val="16"/>
        <w:numPr>
          <w:ilvl w:val="0"/>
          <w:numId w:val="1"/>
        </w:numPr>
        <w:spacing w:after="60"/>
        <w:rPr>
          <w:color w:val="auto"/>
        </w:rPr>
      </w:pPr>
      <w:r>
        <w:rPr>
          <w:rFonts w:ascii="Calibri" w:hAnsi="Calibri" w:eastAsia="Calibri" w:cs="Calibri"/>
          <w:color w:val="auto"/>
        </w:rPr>
        <w:t>3. auth.log third — the authentication ground truth, where “attempted” becomes “successful.”</w:t>
      </w:r>
    </w:p>
    <w:p w14:paraId="56503AEC">
      <w:pPr>
        <w:pStyle w:val="16"/>
        <w:numPr>
          <w:ilvl w:val="0"/>
          <w:numId w:val="1"/>
        </w:numPr>
        <w:spacing w:after="60"/>
        <w:rPr>
          <w:color w:val="auto"/>
        </w:rPr>
      </w:pPr>
      <w:r>
        <w:rPr>
          <w:rFonts w:ascii="Calibri" w:hAnsi="Calibri" w:eastAsia="Calibri" w:cs="Calibri"/>
          <w:color w:val="auto"/>
        </w:rPr>
        <w:t>4. kern.log fourth — the largest, highest-noise file (8,694 lines). Used to corroborate volume and exact packet-level timestamps for patterns already identified elsewhere.</w:t>
      </w:r>
    </w:p>
    <w:p w14:paraId="22E3F9D8">
      <w:pPr>
        <w:pStyle w:val="16"/>
        <w:numPr>
          <w:ilvl w:val="0"/>
          <w:numId w:val="1"/>
        </w:numPr>
        <w:spacing w:after="60"/>
        <w:rPr>
          <w:color w:val="auto"/>
        </w:rPr>
      </w:pPr>
      <w:r>
        <w:rPr>
          <w:rFonts w:ascii="Calibri" w:hAnsi="Calibri" w:eastAsia="Calibri" w:cs="Calibri"/>
          <w:color w:val="auto"/>
        </w:rPr>
        <w:t>5. Network_Packet_Capture.pcapng — reviewed in Wireshark's Statistics &gt; Conversations view (Ethernet, IPv4, IPv6, TCP and UDP tabs) to identify high-volume streams and cross-check them against timestamps already established from the four text logs. This step directly produced Row 11 and the revised Row 5 below.</w:t>
      </w:r>
    </w:p>
    <w:p w14:paraId="66F02451">
      <w:pPr>
        <w:pStyle w:val="3"/>
        <w:spacing w:before="240" w:after="120"/>
        <w:rPr>
          <w:color w:val="auto"/>
        </w:rPr>
      </w:pPr>
      <w:r>
        <w:rPr>
          <w:rFonts w:ascii="Calibri" w:hAnsi="Calibri" w:eastAsia="Calibri" w:cs="Calibri"/>
          <w:b/>
          <w:bCs/>
          <w:color w:val="auto"/>
        </w:rPr>
        <w:t>CONFIDENCE SCALE</w:t>
      </w:r>
    </w:p>
    <w:p w14:paraId="2FF0D88A">
      <w:pPr>
        <w:spacing w:after="120"/>
        <w:rPr>
          <w:color w:val="auto"/>
        </w:rPr>
      </w:pPr>
      <w:r>
        <w:rPr>
          <w:rFonts w:ascii="Calibri" w:hAnsi="Calibri" w:eastAsia="Calibri" w:cs="Calibri"/>
          <w:b w:val="0"/>
          <w:bCs w:val="0"/>
          <w:i w:val="0"/>
          <w:iCs w:val="0"/>
          <w:color w:val="auto"/>
        </w:rPr>
        <w:t>High — a directly logged event, exact timestamp, corroborated in two or more independent log files. Example: Row 5, corroborated across auth.log, syslog, kern.log and pcapng.</w:t>
      </w:r>
    </w:p>
    <w:p w14:paraId="288BAD67">
      <w:pPr>
        <w:spacing w:after="120"/>
        <w:rPr>
          <w:color w:val="auto"/>
        </w:rPr>
      </w:pPr>
      <w:r>
        <w:rPr>
          <w:rFonts w:ascii="Calibri" w:hAnsi="Calibri" w:eastAsia="Calibri" w:cs="Calibri"/>
          <w:b w:val="0"/>
          <w:bCs w:val="0"/>
          <w:i w:val="0"/>
          <w:iCs w:val="0"/>
          <w:color w:val="auto"/>
        </w:rPr>
        <w:t>Medium — a directly logged event that is either single-file only, or whose causal effect is inferred rather than directly logged. Example: Row 6, the iptables LOG rule.</w:t>
      </w:r>
    </w:p>
    <w:p w14:paraId="47CD861E">
      <w:pPr>
        <w:spacing w:after="120"/>
        <w:rPr>
          <w:color w:val="auto"/>
        </w:rPr>
      </w:pPr>
      <w:r>
        <w:rPr>
          <w:rFonts w:ascii="Calibri" w:hAnsi="Calibri" w:eastAsia="Calibri" w:cs="Calibri"/>
          <w:b w:val="0"/>
          <w:bCs w:val="0"/>
          <w:i w:val="0"/>
          <w:iCs w:val="0"/>
          <w:color w:val="auto"/>
        </w:rPr>
        <w:t>Low — pattern-based or circumstantial inference not directly documented in the evidence set. No row in this report was rated Low.</w:t>
      </w:r>
    </w:p>
    <w:p w14:paraId="531019E8">
      <w:pPr>
        <w:pStyle w:val="3"/>
        <w:spacing w:before="240" w:after="120"/>
        <w:rPr>
          <w:color w:val="auto"/>
        </w:rPr>
      </w:pPr>
      <w:r>
        <w:rPr>
          <w:rFonts w:ascii="Calibri" w:hAnsi="Calibri" w:eastAsia="Calibri" w:cs="Calibri"/>
          <w:b/>
          <w:bCs/>
          <w:color w:val="auto"/>
        </w:rPr>
        <w:t>SCOPE</w:t>
      </w:r>
    </w:p>
    <w:p w14:paraId="1FDB5497">
      <w:pPr>
        <w:spacing w:after="120"/>
        <w:rPr>
          <w:color w:val="auto"/>
        </w:rPr>
      </w:pPr>
      <w:r>
        <w:rPr>
          <w:rFonts w:ascii="Calibri" w:hAnsi="Calibri" w:eastAsia="Calibri" w:cs="Calibri"/>
          <w:b w:val="0"/>
          <w:bCs w:val="0"/>
          <w:i w:val="0"/>
          <w:iCs w:val="0"/>
          <w:color w:val="auto"/>
        </w:rPr>
        <w:t>Victim host: frozenyoghurt-pc (192.168.56.102). Attacker IPs/identifiers confirmed active against the victim host: 192.168.56.1 (Attacker A — confirmed successful breach via TELNET), 192.168.56.100 (Attacker B — automated SSH brute force, failed), and 1.capita.vpn.port.ac.uk (external, TTY brute-force actor, failed). Date range examined: 7–8 March 2022, all five evidence files.</w:t>
      </w:r>
    </w:p>
    <w:p w14:paraId="4530811E">
      <w:pPr>
        <w:spacing w:after="120"/>
        <w:rPr>
          <w:color w:val="auto"/>
        </w:rPr>
      </w:pPr>
      <w:r>
        <w:rPr>
          <w:rFonts w:ascii="Calibri" w:hAnsi="Calibri" w:eastAsia="Calibri" w:cs="Calibri"/>
          <w:b w:val="0"/>
          <w:bCs w:val="0"/>
          <w:i w:val="0"/>
          <w:iCs w:val="0"/>
          <w:color w:val="auto"/>
        </w:rPr>
        <w:t>Ruled out as attack traffic: 91.189.91.42 (Ubuntu package server) and 157.240.221.16/.35 (Meta infrastructure) — both destined for the host's own outbound interface, not the victim server. Also ruled out: 192.168.56.21/.22/.23/.54/.230, which sent only mDNS broadcast traffic per the pcapng conversation view.</w:t>
      </w:r>
    </w:p>
    <w:p w14:paraId="3237C4EF">
      <w:pPr>
        <w:pStyle w:val="3"/>
        <w:spacing w:before="240" w:after="120"/>
        <w:rPr>
          <w:color w:val="auto"/>
        </w:rPr>
      </w:pPr>
      <w:r>
        <w:rPr>
          <w:rFonts w:ascii="Calibri" w:hAnsi="Calibri" w:eastAsia="Calibri" w:cs="Calibri"/>
          <w:b/>
          <w:bCs/>
          <w:color w:val="auto"/>
        </w:rPr>
        <w:t>TOOLS USED</w:t>
      </w:r>
    </w:p>
    <w:p w14:paraId="33850446">
      <w:pPr>
        <w:spacing w:after="120"/>
        <w:rPr>
          <w:color w:val="auto"/>
        </w:rPr>
      </w:pPr>
      <w:r>
        <w:rPr>
          <w:rFonts w:ascii="Calibri" w:hAnsi="Calibri" w:eastAsia="Calibri" w:cs="Calibri"/>
          <w:b w:val="0"/>
          <w:bCs w:val="0"/>
          <w:i w:val="0"/>
          <w:iCs w:val="0"/>
          <w:color w:val="auto"/>
        </w:rPr>
        <w:t>grep/wc for pattern extraction and packet-volume counts across the four text logs; Wireshark (Statistics &gt; Conversations) for the packet capture; manual cross-file timestamp correlation to build the evidence table and timeline below.</w:t>
      </w:r>
    </w:p>
    <w:p w14:paraId="5C982DE4">
      <w:pPr>
        <w:rPr>
          <w:color w:val="auto"/>
        </w:rPr>
      </w:pPr>
      <w:r>
        <w:rPr>
          <w:color w:val="auto"/>
        </w:rPr>
        <w:br w:type="page"/>
      </w:r>
    </w:p>
    <w:p w14:paraId="429FE446">
      <w:pPr>
        <w:pStyle w:val="2"/>
        <w:spacing w:before="240" w:after="120"/>
        <w:rPr>
          <w:color w:val="auto"/>
        </w:rPr>
      </w:pPr>
      <w:r>
        <w:rPr>
          <w:rFonts w:ascii="Calibri" w:hAnsi="Calibri" w:eastAsia="Calibri" w:cs="Calibri"/>
          <w:b/>
          <w:bCs/>
          <w:color w:val="auto"/>
        </w:rPr>
        <w:t>EVIDENCE TABLE</w:t>
      </w:r>
    </w:p>
    <w:p w14:paraId="6E96ADE3">
      <w:pPr>
        <w:spacing w:after="120"/>
        <w:rPr>
          <w:color w:val="auto"/>
        </w:rPr>
      </w:pPr>
      <w:r>
        <w:rPr>
          <w:rFonts w:ascii="Calibri" w:hAnsi="Calibri" w:eastAsia="Calibri" w:cs="Calibri"/>
          <w:b w:val="0"/>
          <w:bCs w:val="0"/>
          <w:i/>
          <w:iCs/>
          <w:color w:val="auto"/>
        </w:rPr>
        <w:t>Eleven rows below. Rows 1–5 are the mandatory rows from the mission brief; rows 6–10 are additional defensible findings from the four text logs; Row 11 was added after packet-capture review.</w:t>
      </w:r>
    </w:p>
    <w:p w14:paraId="62952C16">
      <w:pPr>
        <w:spacing w:before="200" w:after="60"/>
        <w:rPr>
          <w:color w:val="auto"/>
        </w:rPr>
      </w:pPr>
      <w:r>
        <w:rPr>
          <w:rFonts w:ascii="Calibri" w:hAnsi="Calibri" w:eastAsia="Calibri" w:cs="Calibri"/>
          <w:b/>
          <w:bCs/>
          <w:color w:val="auto"/>
          <w:sz w:val="20"/>
          <w:szCs w:val="20"/>
        </w:rPr>
        <w:t>Row 1  [MANDATORY ROW]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424"/>
        <w:gridCol w:w="1346"/>
        <w:gridCol w:w="1336"/>
        <w:gridCol w:w="1319"/>
        <w:gridCol w:w="2225"/>
        <w:gridCol w:w="1501"/>
        <w:gridCol w:w="1209"/>
      </w:tblGrid>
      <w:tr w14:paraId="52FAC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453B6014">
            <w:pPr>
              <w:rPr>
                <w:color w:val="auto"/>
              </w:rPr>
            </w:pPr>
          </w:p>
        </w:tc>
        <w:tc>
          <w:tcPr>
            <w:tcW w:w="1400" w:type="dxa"/>
            <w:shd w:val="clear" w:color="auto" w:fill="auto"/>
            <w:tcMar>
              <w:top w:w="80" w:type="dxa"/>
              <w:left w:w="100" w:type="dxa"/>
              <w:bottom w:w="80" w:type="dxa"/>
              <w:right w:w="100" w:type="dxa"/>
            </w:tcMar>
            <w:vAlign w:val="top"/>
          </w:tcPr>
          <w:p w14:paraId="65AE4BC1">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1755E8FE">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3CF004B6">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1A1F43B7">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40C0F956">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03DED445">
            <w:pPr>
              <w:rPr>
                <w:color w:val="auto"/>
              </w:rPr>
            </w:pPr>
            <w:r>
              <w:rPr>
                <w:rFonts w:ascii="Calibri" w:hAnsi="Calibri" w:eastAsia="Calibri" w:cs="Calibri"/>
                <w:b/>
                <w:bCs/>
                <w:color w:val="auto"/>
                <w:sz w:val="17"/>
                <w:szCs w:val="17"/>
              </w:rPr>
              <w:t>Confidence</w:t>
            </w:r>
          </w:p>
        </w:tc>
      </w:tr>
      <w:tr w14:paraId="7247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50" w:type="dxa"/>
            <w:shd w:val="clear" w:color="auto" w:fill="auto"/>
            <w:tcMar>
              <w:top w:w="80" w:type="dxa"/>
              <w:left w:w="100" w:type="dxa"/>
              <w:bottom w:w="80" w:type="dxa"/>
              <w:right w:w="100" w:type="dxa"/>
            </w:tcMar>
            <w:vAlign w:val="top"/>
          </w:tcPr>
          <w:p w14:paraId="5BAEA2BC">
            <w:pPr>
              <w:rPr>
                <w:color w:val="auto"/>
              </w:rPr>
            </w:pPr>
            <w:r>
              <w:rPr>
                <w:rFonts w:ascii="Calibri" w:hAnsi="Calibri" w:eastAsia="Calibri" w:cs="Calibri"/>
                <w:b/>
                <w:bCs/>
                <w:color w:val="auto"/>
                <w:sz w:val="18"/>
                <w:szCs w:val="18"/>
              </w:rPr>
              <w:t>1</w:t>
            </w:r>
          </w:p>
        </w:tc>
        <w:tc>
          <w:tcPr>
            <w:tcW w:w="1400" w:type="dxa"/>
            <w:shd w:val="clear" w:color="auto" w:fill="auto"/>
            <w:tcMar>
              <w:top w:w="80" w:type="dxa"/>
              <w:left w:w="100" w:type="dxa"/>
              <w:bottom w:w="80" w:type="dxa"/>
              <w:right w:w="100" w:type="dxa"/>
            </w:tcMar>
            <w:vAlign w:val="top"/>
          </w:tcPr>
          <w:p w14:paraId="1B556D5E">
            <w:pPr>
              <w:rPr>
                <w:color w:val="auto"/>
              </w:rPr>
            </w:pPr>
            <w:r>
              <w:rPr>
                <w:rFonts w:ascii="Calibri" w:hAnsi="Calibri" w:eastAsia="Calibri" w:cs="Calibri"/>
                <w:b w:val="0"/>
                <w:bCs w:val="0"/>
                <w:color w:val="auto"/>
                <w:sz w:val="18"/>
                <w:szCs w:val="18"/>
              </w:rPr>
              <w:t>03/07/2022 15:56:43</w:t>
            </w:r>
          </w:p>
        </w:tc>
        <w:tc>
          <w:tcPr>
            <w:tcW w:w="1000" w:type="dxa"/>
            <w:shd w:val="clear" w:color="auto" w:fill="auto"/>
            <w:tcMar>
              <w:top w:w="80" w:type="dxa"/>
              <w:left w:w="100" w:type="dxa"/>
              <w:bottom w:w="80" w:type="dxa"/>
              <w:right w:w="100" w:type="dxa"/>
            </w:tcMar>
            <w:vAlign w:val="top"/>
          </w:tcPr>
          <w:p w14:paraId="361B67DA">
            <w:pPr>
              <w:rPr>
                <w:color w:val="auto"/>
              </w:rPr>
            </w:pPr>
            <w:r>
              <w:rPr>
                <w:rFonts w:ascii="Calibri" w:hAnsi="Calibri" w:eastAsia="Calibri" w:cs="Calibri"/>
                <w:b w:val="0"/>
                <w:bCs w:val="0"/>
                <w:color w:val="auto"/>
                <w:sz w:val="18"/>
                <w:szCs w:val="18"/>
              </w:rPr>
              <w:t>suricatalogs.log</w:t>
            </w:r>
          </w:p>
        </w:tc>
        <w:tc>
          <w:tcPr>
            <w:tcW w:w="1350" w:type="dxa"/>
            <w:shd w:val="clear" w:color="auto" w:fill="auto"/>
            <w:tcMar>
              <w:top w:w="80" w:type="dxa"/>
              <w:left w:w="100" w:type="dxa"/>
              <w:bottom w:w="80" w:type="dxa"/>
              <w:right w:w="100" w:type="dxa"/>
            </w:tcMar>
            <w:vAlign w:val="top"/>
          </w:tcPr>
          <w:p w14:paraId="3BB48434">
            <w:pPr>
              <w:rPr>
                <w:color w:val="auto"/>
              </w:rPr>
            </w:pPr>
            <w:r>
              <w:rPr>
                <w:rFonts w:ascii="Calibri" w:hAnsi="Calibri" w:eastAsia="Calibri" w:cs="Calibri"/>
                <w:b w:val="0"/>
                <w:bCs w:val="0"/>
                <w:color w:val="auto"/>
                <w:sz w:val="18"/>
                <w:szCs w:val="18"/>
              </w:rPr>
              <w:t>192.168.56.1 (Attacker A)</w:t>
            </w:r>
          </w:p>
        </w:tc>
        <w:tc>
          <w:tcPr>
            <w:tcW w:w="2350" w:type="dxa"/>
            <w:shd w:val="clear" w:color="auto" w:fill="auto"/>
            <w:tcMar>
              <w:top w:w="80" w:type="dxa"/>
              <w:left w:w="100" w:type="dxa"/>
              <w:bottom w:w="80" w:type="dxa"/>
              <w:right w:w="100" w:type="dxa"/>
            </w:tcMar>
            <w:vAlign w:val="top"/>
          </w:tcPr>
          <w:p w14:paraId="726A13B6">
            <w:pPr>
              <w:rPr>
                <w:color w:val="auto"/>
              </w:rPr>
            </w:pPr>
            <w:r>
              <w:rPr>
                <w:rFonts w:ascii="Calibri" w:hAnsi="Calibri" w:eastAsia="Calibri" w:cs="Calibri"/>
                <w:b w:val="0"/>
                <w:bCs w:val="0"/>
                <w:color w:val="auto"/>
                <w:sz w:val="17"/>
                <w:szCs w:val="17"/>
              </w:rPr>
              <w:t>Suricata alert “TELNET connection attempt” (SID 1:1000003:1, Priority 3), TCP 192.168.56.1:47240 → 192.168.56.102:23. First of three attempts within 9 seconds (15:56:43 / 15:56:49 / 15:56:52).</w:t>
            </w:r>
          </w:p>
        </w:tc>
        <w:tc>
          <w:tcPr>
            <w:tcW w:w="1560" w:type="dxa"/>
            <w:shd w:val="clear" w:color="auto" w:fill="auto"/>
            <w:tcMar>
              <w:top w:w="80" w:type="dxa"/>
              <w:left w:w="100" w:type="dxa"/>
              <w:bottom w:w="80" w:type="dxa"/>
              <w:right w:w="100" w:type="dxa"/>
            </w:tcMar>
            <w:vAlign w:val="top"/>
          </w:tcPr>
          <w:p w14:paraId="01A96829">
            <w:pPr>
              <w:rPr>
                <w:color w:val="auto"/>
              </w:rPr>
            </w:pPr>
            <w:r>
              <w:rPr>
                <w:rFonts w:ascii="Calibri" w:hAnsi="Calibri" w:eastAsia="Calibri" w:cs="Calibri"/>
                <w:b w:val="0"/>
                <w:bCs w:val="0"/>
                <w:color w:val="auto"/>
                <w:sz w:val="17"/>
                <w:szCs w:val="17"/>
              </w:rPr>
              <w:t>kern.log logs 2,883 total packets to DPT=23 from the same source IP across both days — this line is the start of that sustained campaign, not an isolated probe (see Row 9).</w:t>
            </w:r>
          </w:p>
        </w:tc>
        <w:tc>
          <w:tcPr>
            <w:tcW w:w="1250" w:type="dxa"/>
            <w:shd w:val="clear" w:color="auto" w:fill="auto"/>
            <w:tcMar>
              <w:top w:w="80" w:type="dxa"/>
              <w:left w:w="100" w:type="dxa"/>
              <w:bottom w:w="80" w:type="dxa"/>
              <w:right w:w="100" w:type="dxa"/>
            </w:tcMar>
            <w:vAlign w:val="top"/>
          </w:tcPr>
          <w:p w14:paraId="6D5FD89D">
            <w:pPr>
              <w:rPr>
                <w:color w:val="auto"/>
              </w:rPr>
            </w:pPr>
            <w:r>
              <w:rPr>
                <w:rFonts w:ascii="Calibri" w:hAnsi="Calibri" w:eastAsia="Calibri" w:cs="Calibri"/>
                <w:b/>
                <w:bCs/>
                <w:color w:val="auto"/>
                <w:sz w:val="18"/>
                <w:szCs w:val="18"/>
              </w:rPr>
              <w:t>H</w:t>
            </w:r>
          </w:p>
        </w:tc>
      </w:tr>
    </w:tbl>
    <w:p w14:paraId="7A921EF8">
      <w:pPr>
        <w:spacing w:before="200" w:after="60"/>
        <w:rPr>
          <w:rFonts w:hint="default" w:ascii="Calibri" w:hAnsi="Calibri" w:eastAsia="Calibri" w:cs="Calibri"/>
          <w:b w:val="0"/>
          <w:bCs w:val="0"/>
          <w:i/>
          <w:iCs/>
          <w:color w:val="auto"/>
          <w:sz w:val="20"/>
          <w:szCs w:val="20"/>
        </w:rPr>
      </w:pPr>
      <w:r>
        <w:rPr>
          <w:rFonts w:hint="default" w:ascii="Calibri" w:hAnsi="Calibri" w:eastAsia="Calibri" w:cs="Calibri"/>
          <w:b w:val="0"/>
          <w:bCs w:val="0"/>
          <w:i/>
          <w:iCs/>
          <w:color w:val="auto"/>
          <w:sz w:val="20"/>
          <w:szCs w:val="20"/>
        </w:rPr>
        <w:t>The first sign of trouble showed up around 22 hours before the breach actually happened. Suricata flagged a TELNET attempt on port 23 so it looks like the tool already knew that port was open and worth going after. TELNET is all cleartext so any connection would just give up the login details right away. They kept trying it which probably set up the rest of what came later.The gap between the first two tries was only six seconds. That does not feel like normal typing at all. It seems more like a script running the attempts and the packet numbers in kern.log back that up too. I am not totally sure how much that spacing alone proves though.</w:t>
      </w:r>
    </w:p>
    <w:p w14:paraId="52881636">
      <w:pPr>
        <w:spacing w:before="200" w:after="60"/>
        <w:rPr>
          <w:color w:val="auto"/>
        </w:rPr>
      </w:pPr>
      <w:r>
        <w:rPr>
          <w:rFonts w:ascii="Calibri" w:hAnsi="Calibri" w:eastAsia="Calibri" w:cs="Calibri"/>
          <w:b/>
          <w:bCs/>
          <w:color w:val="auto"/>
          <w:sz w:val="20"/>
          <w:szCs w:val="20"/>
        </w:rPr>
        <w:t>Row 2  [MANDATORY ROW]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450"/>
        <w:gridCol w:w="1400"/>
        <w:gridCol w:w="1000"/>
        <w:gridCol w:w="1350"/>
        <w:gridCol w:w="2350"/>
        <w:gridCol w:w="1560"/>
        <w:gridCol w:w="1250"/>
      </w:tblGrid>
      <w:tr w14:paraId="64BE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07D619EA">
            <w:pPr>
              <w:rPr>
                <w:color w:val="auto"/>
              </w:rPr>
            </w:pPr>
          </w:p>
        </w:tc>
        <w:tc>
          <w:tcPr>
            <w:tcW w:w="1400" w:type="dxa"/>
            <w:shd w:val="clear" w:color="auto" w:fill="auto"/>
            <w:tcMar>
              <w:top w:w="80" w:type="dxa"/>
              <w:left w:w="100" w:type="dxa"/>
              <w:bottom w:w="80" w:type="dxa"/>
              <w:right w:w="100" w:type="dxa"/>
            </w:tcMar>
            <w:vAlign w:val="top"/>
          </w:tcPr>
          <w:p w14:paraId="5D317E6F">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35A0D93A">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71A79A6A">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0C899E6F">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3A246C00">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6BAB88D2">
            <w:pPr>
              <w:rPr>
                <w:color w:val="auto"/>
              </w:rPr>
            </w:pPr>
            <w:r>
              <w:rPr>
                <w:rFonts w:ascii="Calibri" w:hAnsi="Calibri" w:eastAsia="Calibri" w:cs="Calibri"/>
                <w:b/>
                <w:bCs/>
                <w:color w:val="auto"/>
                <w:sz w:val="17"/>
                <w:szCs w:val="17"/>
              </w:rPr>
              <w:t>Confidence</w:t>
            </w:r>
          </w:p>
        </w:tc>
      </w:tr>
      <w:tr w14:paraId="443F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50" w:type="dxa"/>
            <w:shd w:val="clear" w:color="auto" w:fill="auto"/>
            <w:tcMar>
              <w:top w:w="80" w:type="dxa"/>
              <w:left w:w="100" w:type="dxa"/>
              <w:bottom w:w="80" w:type="dxa"/>
              <w:right w:w="100" w:type="dxa"/>
            </w:tcMar>
            <w:vAlign w:val="top"/>
          </w:tcPr>
          <w:p w14:paraId="7B10DBBA">
            <w:pPr>
              <w:rPr>
                <w:color w:val="auto"/>
              </w:rPr>
            </w:pPr>
            <w:r>
              <w:rPr>
                <w:rFonts w:ascii="Calibri" w:hAnsi="Calibri" w:eastAsia="Calibri" w:cs="Calibri"/>
                <w:b/>
                <w:bCs/>
                <w:color w:val="auto"/>
                <w:sz w:val="18"/>
                <w:szCs w:val="18"/>
              </w:rPr>
              <w:t>2</w:t>
            </w:r>
          </w:p>
        </w:tc>
        <w:tc>
          <w:tcPr>
            <w:tcW w:w="1400" w:type="dxa"/>
            <w:shd w:val="clear" w:color="auto" w:fill="auto"/>
            <w:tcMar>
              <w:top w:w="80" w:type="dxa"/>
              <w:left w:w="100" w:type="dxa"/>
              <w:bottom w:w="80" w:type="dxa"/>
              <w:right w:w="100" w:type="dxa"/>
            </w:tcMar>
            <w:vAlign w:val="top"/>
          </w:tcPr>
          <w:p w14:paraId="5C77C8F7">
            <w:pPr>
              <w:rPr>
                <w:color w:val="auto"/>
              </w:rPr>
            </w:pPr>
            <w:r>
              <w:rPr>
                <w:rFonts w:ascii="Calibri" w:hAnsi="Calibri" w:eastAsia="Calibri" w:cs="Calibri"/>
                <w:b w:val="0"/>
                <w:bCs w:val="0"/>
                <w:color w:val="auto"/>
                <w:sz w:val="18"/>
                <w:szCs w:val="18"/>
              </w:rPr>
              <w:t>Mar 8 14:32:45</w:t>
            </w:r>
          </w:p>
        </w:tc>
        <w:tc>
          <w:tcPr>
            <w:tcW w:w="1000" w:type="dxa"/>
            <w:shd w:val="clear" w:color="auto" w:fill="auto"/>
            <w:tcMar>
              <w:top w:w="80" w:type="dxa"/>
              <w:left w:w="100" w:type="dxa"/>
              <w:bottom w:w="80" w:type="dxa"/>
              <w:right w:w="100" w:type="dxa"/>
            </w:tcMar>
            <w:vAlign w:val="top"/>
          </w:tcPr>
          <w:p w14:paraId="015914A0">
            <w:pPr>
              <w:rPr>
                <w:color w:val="auto"/>
              </w:rPr>
            </w:pPr>
            <w:r>
              <w:rPr>
                <w:rFonts w:ascii="Calibri" w:hAnsi="Calibri" w:eastAsia="Calibri" w:cs="Calibri"/>
                <w:b w:val="0"/>
                <w:bCs w:val="0"/>
                <w:color w:val="auto"/>
                <w:sz w:val="18"/>
                <w:szCs w:val="18"/>
              </w:rPr>
              <w:t>syslog</w:t>
            </w:r>
          </w:p>
        </w:tc>
        <w:tc>
          <w:tcPr>
            <w:tcW w:w="1350" w:type="dxa"/>
            <w:shd w:val="clear" w:color="auto" w:fill="auto"/>
            <w:tcMar>
              <w:top w:w="80" w:type="dxa"/>
              <w:left w:w="100" w:type="dxa"/>
              <w:bottom w:w="80" w:type="dxa"/>
              <w:right w:w="100" w:type="dxa"/>
            </w:tcMar>
            <w:vAlign w:val="top"/>
          </w:tcPr>
          <w:p w14:paraId="105BE731">
            <w:pPr>
              <w:rPr>
                <w:color w:val="auto"/>
              </w:rPr>
            </w:pPr>
            <w:r>
              <w:rPr>
                <w:rFonts w:ascii="Calibri" w:hAnsi="Calibri" w:eastAsia="Calibri" w:cs="Calibri"/>
                <w:b w:val="0"/>
                <w:bCs w:val="0"/>
                <w:color w:val="auto"/>
                <w:sz w:val="18"/>
                <w:szCs w:val="18"/>
              </w:rPr>
              <w:t>192.168.56.1 (Attacker A)</w:t>
            </w:r>
          </w:p>
        </w:tc>
        <w:tc>
          <w:tcPr>
            <w:tcW w:w="2350" w:type="dxa"/>
            <w:shd w:val="clear" w:color="auto" w:fill="auto"/>
            <w:tcMar>
              <w:top w:w="80" w:type="dxa"/>
              <w:left w:w="100" w:type="dxa"/>
              <w:bottom w:w="80" w:type="dxa"/>
              <w:right w:w="100" w:type="dxa"/>
            </w:tcMar>
            <w:vAlign w:val="top"/>
          </w:tcPr>
          <w:p w14:paraId="42B11003">
            <w:pPr>
              <w:rPr>
                <w:color w:val="auto"/>
              </w:rPr>
            </w:pPr>
            <w:r>
              <w:rPr>
                <w:rFonts w:ascii="Calibri" w:hAnsi="Calibri" w:eastAsia="Calibri" w:cs="Calibri"/>
                <w:b w:val="0"/>
                <w:bCs w:val="0"/>
                <w:color w:val="auto"/>
                <w:sz w:val="17"/>
                <w:szCs w:val="17"/>
              </w:rPr>
              <w:t>in.telnetd[2285]: connect from 192.168.56.1 (192.168.56.1) — the TELNET daemon logs an accepted, established connection, not merely an attempted one.</w:t>
            </w:r>
          </w:p>
        </w:tc>
        <w:tc>
          <w:tcPr>
            <w:tcW w:w="1560" w:type="dxa"/>
            <w:shd w:val="clear" w:color="auto" w:fill="auto"/>
            <w:tcMar>
              <w:top w:w="80" w:type="dxa"/>
              <w:left w:w="100" w:type="dxa"/>
              <w:bottom w:w="80" w:type="dxa"/>
              <w:right w:w="100" w:type="dxa"/>
            </w:tcMar>
            <w:vAlign w:val="top"/>
          </w:tcPr>
          <w:p w14:paraId="549F28B1">
            <w:pPr>
              <w:rPr>
                <w:color w:val="auto"/>
              </w:rPr>
            </w:pPr>
            <w:r>
              <w:rPr>
                <w:rFonts w:ascii="Calibri" w:hAnsi="Calibri" w:eastAsia="Calibri" w:cs="Calibri"/>
                <w:b w:val="0"/>
                <w:bCs w:val="0"/>
                <w:color w:val="auto"/>
                <w:sz w:val="17"/>
                <w:szCs w:val="17"/>
              </w:rPr>
              <w:t>kern.log's first DPT=23 packet is timestamped the identical second (Mar 8 14:32:45, SYN, SPT=53210); suricatalogs.log shows a matching TELNET alert in the same window.</w:t>
            </w:r>
          </w:p>
        </w:tc>
        <w:tc>
          <w:tcPr>
            <w:tcW w:w="1250" w:type="dxa"/>
            <w:shd w:val="clear" w:color="auto" w:fill="auto"/>
            <w:tcMar>
              <w:top w:w="80" w:type="dxa"/>
              <w:left w:w="100" w:type="dxa"/>
              <w:bottom w:w="80" w:type="dxa"/>
              <w:right w:w="100" w:type="dxa"/>
            </w:tcMar>
            <w:vAlign w:val="top"/>
          </w:tcPr>
          <w:p w14:paraId="156A6355">
            <w:pPr>
              <w:rPr>
                <w:color w:val="auto"/>
              </w:rPr>
            </w:pPr>
            <w:r>
              <w:rPr>
                <w:rFonts w:ascii="Calibri" w:hAnsi="Calibri" w:eastAsia="Calibri" w:cs="Calibri"/>
                <w:b/>
                <w:bCs/>
                <w:color w:val="auto"/>
                <w:sz w:val="18"/>
                <w:szCs w:val="18"/>
              </w:rPr>
              <w:t>H</w:t>
            </w:r>
          </w:p>
        </w:tc>
      </w:tr>
    </w:tbl>
    <w:p w14:paraId="659462E6">
      <w:pPr>
        <w:spacing w:before="200" w:after="60"/>
        <w:rPr>
          <w:rFonts w:hint="default" w:ascii="Calibri" w:hAnsi="Calibri" w:eastAsia="Calibri" w:cs="Calibri"/>
          <w:b/>
          <w:bCs/>
          <w:i/>
          <w:iCs/>
          <w:color w:val="auto"/>
          <w:sz w:val="20"/>
          <w:szCs w:val="20"/>
        </w:rPr>
      </w:pPr>
      <w:r>
        <w:rPr>
          <w:rFonts w:hint="default" w:ascii="Calibri" w:hAnsi="Calibri" w:eastAsia="Calibri" w:cs="Calibri"/>
          <w:b/>
          <w:bCs/>
          <w:i/>
          <w:iCs/>
          <w:color w:val="auto"/>
          <w:sz w:val="20"/>
          <w:szCs w:val="20"/>
        </w:rPr>
        <w:t>The distinction here is important I think. One alert only means a packet went toward the port but the log shows the handshake finished and the service started a handler. That confirms telnet was really running and reachable from inside where the attacker sat. This looks like the start of several connections by the same actor that day. The last one turned into the breach later on. Maybe the packet part gets overlooked but the log changes what it means overall. It seems like more tries happened after this but not all of them mattered the same way.</w:t>
      </w:r>
    </w:p>
    <w:p w14:paraId="2ABF3C88">
      <w:pPr>
        <w:spacing w:before="200" w:after="60"/>
        <w:rPr>
          <w:color w:val="auto"/>
        </w:rPr>
      </w:pPr>
      <w:r>
        <w:rPr>
          <w:rFonts w:ascii="Calibri" w:hAnsi="Calibri" w:eastAsia="Calibri" w:cs="Calibri"/>
          <w:b/>
          <w:bCs/>
          <w:color w:val="auto"/>
          <w:sz w:val="20"/>
          <w:szCs w:val="20"/>
        </w:rPr>
        <w:t>Row 3  [MANDATORY ROW]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450"/>
        <w:gridCol w:w="1400"/>
        <w:gridCol w:w="1000"/>
        <w:gridCol w:w="1350"/>
        <w:gridCol w:w="2350"/>
        <w:gridCol w:w="1560"/>
        <w:gridCol w:w="1250"/>
      </w:tblGrid>
      <w:tr w14:paraId="2B13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569BA086">
            <w:pPr>
              <w:rPr>
                <w:color w:val="auto"/>
              </w:rPr>
            </w:pPr>
          </w:p>
        </w:tc>
        <w:tc>
          <w:tcPr>
            <w:tcW w:w="1400" w:type="dxa"/>
            <w:shd w:val="clear" w:color="auto" w:fill="auto"/>
            <w:tcMar>
              <w:top w:w="80" w:type="dxa"/>
              <w:left w:w="100" w:type="dxa"/>
              <w:bottom w:w="80" w:type="dxa"/>
              <w:right w:w="100" w:type="dxa"/>
            </w:tcMar>
            <w:vAlign w:val="top"/>
          </w:tcPr>
          <w:p w14:paraId="433367A2">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5FB1BBED">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6128455F">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0D309BA1">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204FE2BB">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18676BAE">
            <w:pPr>
              <w:rPr>
                <w:color w:val="auto"/>
              </w:rPr>
            </w:pPr>
            <w:r>
              <w:rPr>
                <w:rFonts w:ascii="Calibri" w:hAnsi="Calibri" w:eastAsia="Calibri" w:cs="Calibri"/>
                <w:b/>
                <w:bCs/>
                <w:color w:val="auto"/>
                <w:sz w:val="17"/>
                <w:szCs w:val="17"/>
              </w:rPr>
              <w:t>Confidence</w:t>
            </w:r>
          </w:p>
        </w:tc>
      </w:tr>
      <w:tr w14:paraId="58FC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50" w:type="dxa"/>
            <w:shd w:val="clear" w:color="auto" w:fill="auto"/>
            <w:tcMar>
              <w:top w:w="80" w:type="dxa"/>
              <w:left w:w="100" w:type="dxa"/>
              <w:bottom w:w="80" w:type="dxa"/>
              <w:right w:w="100" w:type="dxa"/>
            </w:tcMar>
            <w:vAlign w:val="top"/>
          </w:tcPr>
          <w:p w14:paraId="179B31CE">
            <w:pPr>
              <w:rPr>
                <w:color w:val="auto"/>
              </w:rPr>
            </w:pPr>
            <w:r>
              <w:rPr>
                <w:rFonts w:ascii="Calibri" w:hAnsi="Calibri" w:eastAsia="Calibri" w:cs="Calibri"/>
                <w:b/>
                <w:bCs/>
                <w:color w:val="auto"/>
                <w:sz w:val="18"/>
                <w:szCs w:val="18"/>
              </w:rPr>
              <w:t>3</w:t>
            </w:r>
          </w:p>
        </w:tc>
        <w:tc>
          <w:tcPr>
            <w:tcW w:w="1400" w:type="dxa"/>
            <w:shd w:val="clear" w:color="auto" w:fill="auto"/>
            <w:tcMar>
              <w:top w:w="80" w:type="dxa"/>
              <w:left w:w="100" w:type="dxa"/>
              <w:bottom w:w="80" w:type="dxa"/>
              <w:right w:w="100" w:type="dxa"/>
            </w:tcMar>
            <w:vAlign w:val="top"/>
          </w:tcPr>
          <w:p w14:paraId="3A355C48">
            <w:pPr>
              <w:rPr>
                <w:color w:val="auto"/>
              </w:rPr>
            </w:pPr>
            <w:r>
              <w:rPr>
                <w:rFonts w:ascii="Calibri" w:hAnsi="Calibri" w:eastAsia="Calibri" w:cs="Calibri"/>
                <w:b w:val="0"/>
                <w:bCs w:val="0"/>
                <w:color w:val="auto"/>
                <w:sz w:val="18"/>
                <w:szCs w:val="18"/>
              </w:rPr>
              <w:t>Mar 8 14:44:23</w:t>
            </w:r>
          </w:p>
        </w:tc>
        <w:tc>
          <w:tcPr>
            <w:tcW w:w="1000" w:type="dxa"/>
            <w:shd w:val="clear" w:color="auto" w:fill="auto"/>
            <w:tcMar>
              <w:top w:w="80" w:type="dxa"/>
              <w:left w:w="100" w:type="dxa"/>
              <w:bottom w:w="80" w:type="dxa"/>
              <w:right w:w="100" w:type="dxa"/>
            </w:tcMar>
            <w:vAlign w:val="top"/>
          </w:tcPr>
          <w:p w14:paraId="5711827F">
            <w:pPr>
              <w:rPr>
                <w:color w:val="auto"/>
              </w:rPr>
            </w:pPr>
            <w:r>
              <w:rPr>
                <w:rFonts w:ascii="Calibri" w:hAnsi="Calibri" w:eastAsia="Calibri" w:cs="Calibri"/>
                <w:b w:val="0"/>
                <w:bCs w:val="0"/>
                <w:color w:val="auto"/>
                <w:sz w:val="18"/>
                <w:szCs w:val="18"/>
              </w:rPr>
              <w:t>auth.log</w:t>
            </w:r>
          </w:p>
        </w:tc>
        <w:tc>
          <w:tcPr>
            <w:tcW w:w="1350" w:type="dxa"/>
            <w:shd w:val="clear" w:color="auto" w:fill="auto"/>
            <w:tcMar>
              <w:top w:w="80" w:type="dxa"/>
              <w:left w:w="100" w:type="dxa"/>
              <w:bottom w:w="80" w:type="dxa"/>
              <w:right w:w="100" w:type="dxa"/>
            </w:tcMar>
            <w:vAlign w:val="top"/>
          </w:tcPr>
          <w:p w14:paraId="5851C20A">
            <w:pPr>
              <w:rPr>
                <w:color w:val="auto"/>
              </w:rPr>
            </w:pPr>
            <w:r>
              <w:rPr>
                <w:rFonts w:ascii="Calibri" w:hAnsi="Calibri" w:eastAsia="Calibri" w:cs="Calibri"/>
                <w:b w:val="0"/>
                <w:bCs w:val="0"/>
                <w:color w:val="auto"/>
                <w:sz w:val="18"/>
                <w:szCs w:val="18"/>
              </w:rPr>
              <w:t>192.168.56.100 (Attacker B)</w:t>
            </w:r>
          </w:p>
        </w:tc>
        <w:tc>
          <w:tcPr>
            <w:tcW w:w="2350" w:type="dxa"/>
            <w:shd w:val="clear" w:color="auto" w:fill="auto"/>
            <w:tcMar>
              <w:top w:w="80" w:type="dxa"/>
              <w:left w:w="100" w:type="dxa"/>
              <w:bottom w:w="80" w:type="dxa"/>
              <w:right w:w="100" w:type="dxa"/>
            </w:tcMar>
            <w:vAlign w:val="top"/>
          </w:tcPr>
          <w:p w14:paraId="3BDA07CB">
            <w:pPr>
              <w:rPr>
                <w:color w:val="auto"/>
              </w:rPr>
            </w:pPr>
            <w:r>
              <w:rPr>
                <w:rFonts w:ascii="Calibri" w:hAnsi="Calibri" w:eastAsia="Calibri" w:cs="Calibri"/>
                <w:b w:val="0"/>
                <w:bCs w:val="0"/>
                <w:color w:val="auto"/>
                <w:sz w:val="17"/>
                <w:szCs w:val="17"/>
              </w:rPr>
              <w:t>sshd[2786]: Invalid user malware-bot from 192.168.56.100 port 36548 — an SSH login attempt using the username “malware-bot.”</w:t>
            </w:r>
          </w:p>
        </w:tc>
        <w:tc>
          <w:tcPr>
            <w:tcW w:w="1560" w:type="dxa"/>
            <w:shd w:val="clear" w:color="auto" w:fill="auto"/>
            <w:tcMar>
              <w:top w:w="80" w:type="dxa"/>
              <w:left w:w="100" w:type="dxa"/>
              <w:bottom w:w="80" w:type="dxa"/>
              <w:right w:w="100" w:type="dxa"/>
            </w:tcMar>
            <w:vAlign w:val="top"/>
          </w:tcPr>
          <w:p w14:paraId="103C59C6">
            <w:pPr>
              <w:rPr>
                <w:color w:val="auto"/>
              </w:rPr>
            </w:pPr>
            <w:r>
              <w:rPr>
                <w:rFonts w:ascii="Calibri" w:hAnsi="Calibri" w:eastAsia="Calibri" w:cs="Calibri"/>
                <w:b w:val="0"/>
                <w:bCs w:val="0"/>
                <w:color w:val="auto"/>
                <w:sz w:val="17"/>
                <w:szCs w:val="17"/>
              </w:rPr>
              <w:t>kern.log shows the first SYN packet to DPT=22 from 192.168.56.100 at the identical timestamp (14:44:23). The pcapng TCP conversation view independently lists this same connection as stream 28, port 36548→22, confirming the event across three files.</w:t>
            </w:r>
          </w:p>
        </w:tc>
        <w:tc>
          <w:tcPr>
            <w:tcW w:w="1250" w:type="dxa"/>
            <w:shd w:val="clear" w:color="auto" w:fill="auto"/>
            <w:tcMar>
              <w:top w:w="80" w:type="dxa"/>
              <w:left w:w="100" w:type="dxa"/>
              <w:bottom w:w="80" w:type="dxa"/>
              <w:right w:w="100" w:type="dxa"/>
            </w:tcMar>
            <w:vAlign w:val="top"/>
          </w:tcPr>
          <w:p w14:paraId="0657F08F">
            <w:pPr>
              <w:rPr>
                <w:color w:val="auto"/>
              </w:rPr>
            </w:pPr>
            <w:r>
              <w:rPr>
                <w:rFonts w:ascii="Calibri" w:hAnsi="Calibri" w:eastAsia="Calibri" w:cs="Calibri"/>
                <w:b/>
                <w:bCs/>
                <w:color w:val="auto"/>
                <w:sz w:val="18"/>
                <w:szCs w:val="18"/>
              </w:rPr>
              <w:t>H</w:t>
            </w:r>
          </w:p>
        </w:tc>
      </w:tr>
    </w:tbl>
    <w:p w14:paraId="6F0A305C">
      <w:pPr>
        <w:spacing w:before="100" w:after="200"/>
        <w:rPr>
          <w:color w:val="auto"/>
        </w:rPr>
      </w:pPr>
      <w:r>
        <w:rPr>
          <w:rFonts w:ascii="Calibri" w:hAnsi="Calibri" w:eastAsia="Calibri" w:cs="Calibri"/>
          <w:i/>
          <w:iCs/>
          <w:color w:val="auto"/>
          <w:sz w:val="20"/>
          <w:szCs w:val="20"/>
        </w:rPr>
        <w:t>No legitimate Frozen Yoghurt Ltd account is named “malware-bot.” Its appearance is a strong behavioural indicator that 192.168.56.100 is running scripted attack tooling with a default/placeholder credential list, not a human operator manually guessing passwords. This distinguishes Attacker B's tradecraft from Attacker A, who targeted plausible human usernames. The pcapng shows five further SSH streams from the same host (ports 36550–36558) immediately following — the tool automatically pivoting through a username/account list.</w:t>
      </w:r>
    </w:p>
    <w:p w14:paraId="0FA1342E">
      <w:pPr>
        <w:spacing w:before="200" w:after="60"/>
        <w:rPr>
          <w:color w:val="auto"/>
        </w:rPr>
      </w:pPr>
      <w:r>
        <w:rPr>
          <w:rFonts w:ascii="Calibri" w:hAnsi="Calibri" w:eastAsia="Calibri" w:cs="Calibri"/>
          <w:b/>
          <w:bCs/>
          <w:color w:val="auto"/>
          <w:sz w:val="20"/>
          <w:szCs w:val="20"/>
        </w:rPr>
        <w:t>Row 4  [MANDATORY ROW]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400"/>
        <w:gridCol w:w="1000"/>
        <w:gridCol w:w="1350"/>
        <w:gridCol w:w="2350"/>
        <w:gridCol w:w="1560"/>
        <w:gridCol w:w="1250"/>
      </w:tblGrid>
      <w:tr w14:paraId="1E35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3795AC40">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057B799F">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333988B9">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1581852C">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581D9651">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628225AF">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70E4F95E">
            <w:pPr>
              <w:rPr>
                <w:color w:val="auto"/>
              </w:rPr>
            </w:pPr>
            <w:r>
              <w:rPr>
                <w:rFonts w:ascii="Calibri" w:hAnsi="Calibri" w:eastAsia="Calibri" w:cs="Calibri"/>
                <w:b/>
                <w:bCs/>
                <w:color w:val="auto"/>
                <w:sz w:val="17"/>
                <w:szCs w:val="17"/>
              </w:rPr>
              <w:t>Confidence</w:t>
            </w:r>
          </w:p>
        </w:tc>
      </w:tr>
      <w:tr w14:paraId="2E51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2E6B69D6">
            <w:pPr>
              <w:rPr>
                <w:color w:val="auto"/>
              </w:rPr>
            </w:pPr>
            <w:r>
              <w:rPr>
                <w:rFonts w:ascii="Calibri" w:hAnsi="Calibri" w:eastAsia="Calibri" w:cs="Calibri"/>
                <w:b/>
                <w:bCs/>
                <w:color w:val="auto"/>
                <w:sz w:val="18"/>
                <w:szCs w:val="18"/>
              </w:rPr>
              <w:t>4</w:t>
            </w:r>
          </w:p>
        </w:tc>
        <w:tc>
          <w:tcPr>
            <w:tcW w:w="1400" w:type="dxa"/>
            <w:tcMar>
              <w:top w:w="80" w:type="dxa"/>
              <w:left w:w="100" w:type="dxa"/>
              <w:bottom w:w="80" w:type="dxa"/>
              <w:right w:w="100" w:type="dxa"/>
            </w:tcMar>
            <w:vAlign w:val="top"/>
          </w:tcPr>
          <w:p w14:paraId="1283A9D1">
            <w:pPr>
              <w:rPr>
                <w:color w:val="auto"/>
              </w:rPr>
            </w:pPr>
            <w:r>
              <w:rPr>
                <w:rFonts w:ascii="Calibri" w:hAnsi="Calibri" w:eastAsia="Calibri" w:cs="Calibri"/>
                <w:b w:val="0"/>
                <w:bCs w:val="0"/>
                <w:color w:val="auto"/>
                <w:sz w:val="18"/>
                <w:szCs w:val="18"/>
              </w:rPr>
              <w:t>Mar 8 14:44:59 – 14:45:14</w:t>
            </w:r>
          </w:p>
        </w:tc>
        <w:tc>
          <w:tcPr>
            <w:tcW w:w="1000" w:type="dxa"/>
            <w:tcMar>
              <w:top w:w="80" w:type="dxa"/>
              <w:left w:w="100" w:type="dxa"/>
              <w:bottom w:w="80" w:type="dxa"/>
              <w:right w:w="100" w:type="dxa"/>
            </w:tcMar>
            <w:vAlign w:val="top"/>
          </w:tcPr>
          <w:p w14:paraId="16B2AAB1">
            <w:pPr>
              <w:rPr>
                <w:color w:val="auto"/>
              </w:rPr>
            </w:pPr>
            <w:r>
              <w:rPr>
                <w:rFonts w:ascii="Calibri" w:hAnsi="Calibri" w:eastAsia="Calibri" w:cs="Calibri"/>
                <w:b w:val="0"/>
                <w:bCs w:val="0"/>
                <w:color w:val="auto"/>
                <w:sz w:val="18"/>
                <w:szCs w:val="18"/>
              </w:rPr>
              <w:t>auth.log</w:t>
            </w:r>
          </w:p>
        </w:tc>
        <w:tc>
          <w:tcPr>
            <w:tcW w:w="1350" w:type="dxa"/>
            <w:tcMar>
              <w:top w:w="80" w:type="dxa"/>
              <w:left w:w="100" w:type="dxa"/>
              <w:bottom w:w="80" w:type="dxa"/>
              <w:right w:w="100" w:type="dxa"/>
            </w:tcMar>
            <w:vAlign w:val="top"/>
          </w:tcPr>
          <w:p w14:paraId="68EB4567">
            <w:pPr>
              <w:rPr>
                <w:color w:val="auto"/>
              </w:rPr>
            </w:pPr>
            <w:r>
              <w:rPr>
                <w:rFonts w:ascii="Calibri" w:hAnsi="Calibri" w:eastAsia="Calibri" w:cs="Calibri"/>
                <w:b w:val="0"/>
                <w:bCs w:val="0"/>
                <w:color w:val="auto"/>
                <w:sz w:val="18"/>
                <w:szCs w:val="18"/>
              </w:rPr>
              <w:t>192.168.56.100 (Attacker B)</w:t>
            </w:r>
          </w:p>
        </w:tc>
        <w:tc>
          <w:tcPr>
            <w:tcW w:w="2350" w:type="dxa"/>
            <w:tcMar>
              <w:top w:w="80" w:type="dxa"/>
              <w:left w:w="100" w:type="dxa"/>
              <w:bottom w:w="80" w:type="dxa"/>
              <w:right w:w="100" w:type="dxa"/>
            </w:tcMar>
            <w:vAlign w:val="top"/>
          </w:tcPr>
          <w:p w14:paraId="2E90BE36">
            <w:pPr>
              <w:rPr>
                <w:color w:val="auto"/>
              </w:rPr>
            </w:pPr>
            <w:r>
              <w:rPr>
                <w:rFonts w:ascii="Calibri" w:hAnsi="Calibri" w:eastAsia="Calibri" w:cs="Calibri"/>
                <w:b w:val="0"/>
                <w:bCs w:val="0"/>
                <w:color w:val="auto"/>
                <w:sz w:val="17"/>
                <w:szCs w:val="17"/>
              </w:rPr>
              <w:t>Four parallel SSH sessions (PIDs 2790–2793) simultaneously brute-forcing “root.” First “Failed password for root” events at 14:44:59 across all four PIDs; each session logs “error: maximum authentication attempts exceeded for root” at 14:45:14. 24 total failed-password lines recorded in under 16 seconds.</w:t>
            </w:r>
          </w:p>
        </w:tc>
        <w:tc>
          <w:tcPr>
            <w:tcW w:w="1560" w:type="dxa"/>
            <w:tcMar>
              <w:top w:w="80" w:type="dxa"/>
              <w:left w:w="100" w:type="dxa"/>
              <w:bottom w:w="80" w:type="dxa"/>
              <w:right w:w="100" w:type="dxa"/>
            </w:tcMar>
            <w:vAlign w:val="top"/>
          </w:tcPr>
          <w:p w14:paraId="031413A5">
            <w:pPr>
              <w:rPr>
                <w:color w:val="auto"/>
              </w:rPr>
            </w:pPr>
            <w:r>
              <w:rPr>
                <w:rFonts w:ascii="Calibri" w:hAnsi="Calibri" w:eastAsia="Calibri" w:cs="Calibri"/>
                <w:b w:val="0"/>
                <w:bCs w:val="0"/>
                <w:color w:val="auto"/>
                <w:sz w:val="17"/>
                <w:szCs w:val="17"/>
              </w:rPr>
              <w:t>kern.log shows 109 packets from 192.168.56.100 to DPT=22 between 14:44:23–14:45:14. The pcapng conversation view confirms four concurrent TCP streams (ports 36552, 36554, 36556, 36558 → 22), each 44–45 packets, consistent with four parallel brute-force sessions.</w:t>
            </w:r>
          </w:p>
        </w:tc>
        <w:tc>
          <w:tcPr>
            <w:tcW w:w="1250" w:type="dxa"/>
            <w:tcMar>
              <w:top w:w="80" w:type="dxa"/>
              <w:left w:w="100" w:type="dxa"/>
              <w:bottom w:w="80" w:type="dxa"/>
              <w:right w:w="100" w:type="dxa"/>
            </w:tcMar>
            <w:vAlign w:val="top"/>
          </w:tcPr>
          <w:p w14:paraId="5AFBE29C">
            <w:pPr>
              <w:rPr>
                <w:color w:val="auto"/>
              </w:rPr>
            </w:pPr>
            <w:r>
              <w:rPr>
                <w:rFonts w:ascii="Calibri" w:hAnsi="Calibri" w:eastAsia="Calibri" w:cs="Calibri"/>
                <w:b/>
                <w:bCs/>
                <w:color w:val="auto"/>
                <w:sz w:val="18"/>
                <w:szCs w:val="18"/>
              </w:rPr>
              <w:t>H</w:t>
            </w:r>
          </w:p>
        </w:tc>
      </w:tr>
    </w:tbl>
    <w:p w14:paraId="2689D19E">
      <w:pPr>
        <w:spacing w:before="100" w:after="200"/>
        <w:rPr>
          <w:color w:val="auto"/>
        </w:rPr>
      </w:pPr>
      <w:r>
        <w:rPr>
          <w:rFonts w:ascii="Calibri" w:hAnsi="Calibri" w:eastAsia="Calibri" w:cs="Calibri"/>
          <w:i/>
          <w:iCs/>
          <w:color w:val="auto"/>
          <w:sz w:val="20"/>
          <w:szCs w:val="20"/>
        </w:rPr>
        <w:t>Running four SSH sessions in parallel against a single privileged account is a hallmark of automated brute-force tooling (e.g., Hydra, Medusa), not manual activity. The target, root, is the highest-value credential on the host; a successful guess would have granted immediate full compromise with no privilege-escalation step needed. This attempt failed — all four sessions hit the retry ceiling — which is itself significant: Attacker B's tooling was more aggressive but less successful than Attacker A's approach (see Row 5).</w:t>
      </w:r>
    </w:p>
    <w:p w14:paraId="5EBAD1D4">
      <w:pPr>
        <w:spacing w:before="200" w:after="60"/>
        <w:rPr>
          <w:color w:val="auto"/>
        </w:rPr>
      </w:pPr>
      <w:r>
        <w:rPr>
          <w:rFonts w:ascii="Calibri" w:hAnsi="Calibri" w:eastAsia="Calibri" w:cs="Calibri"/>
          <w:b/>
          <w:bCs/>
          <w:color w:val="auto"/>
          <w:sz w:val="20"/>
          <w:szCs w:val="20"/>
        </w:rPr>
        <w:t>Row 5  [MANDATORY ROW]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3"/>
        <w:gridCol w:w="1382"/>
        <w:gridCol w:w="991"/>
        <w:gridCol w:w="1341"/>
        <w:gridCol w:w="2331"/>
        <w:gridCol w:w="1633"/>
        <w:gridCol w:w="1239"/>
      </w:tblGrid>
      <w:tr w14:paraId="6590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235BC552">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3B1FE8C3">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374AF260">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26B1544B">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0FBC1530">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3F13BCCC">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281EAE83">
            <w:pPr>
              <w:rPr>
                <w:color w:val="auto"/>
              </w:rPr>
            </w:pPr>
            <w:r>
              <w:rPr>
                <w:rFonts w:ascii="Calibri" w:hAnsi="Calibri" w:eastAsia="Calibri" w:cs="Calibri"/>
                <w:b/>
                <w:bCs/>
                <w:color w:val="auto"/>
                <w:sz w:val="17"/>
                <w:szCs w:val="17"/>
              </w:rPr>
              <w:t>Confidence</w:t>
            </w:r>
          </w:p>
        </w:tc>
      </w:tr>
      <w:tr w14:paraId="7DC3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288A342B">
            <w:pPr>
              <w:rPr>
                <w:color w:val="auto"/>
              </w:rPr>
            </w:pPr>
            <w:r>
              <w:rPr>
                <w:rFonts w:ascii="Calibri" w:hAnsi="Calibri" w:eastAsia="Calibri" w:cs="Calibri"/>
                <w:b/>
                <w:bCs/>
                <w:color w:val="auto"/>
                <w:sz w:val="18"/>
                <w:szCs w:val="18"/>
              </w:rPr>
              <w:t>5</w:t>
            </w:r>
          </w:p>
        </w:tc>
        <w:tc>
          <w:tcPr>
            <w:tcW w:w="1400" w:type="dxa"/>
            <w:tcMar>
              <w:top w:w="80" w:type="dxa"/>
              <w:left w:w="100" w:type="dxa"/>
              <w:bottom w:w="80" w:type="dxa"/>
              <w:right w:w="100" w:type="dxa"/>
            </w:tcMar>
            <w:vAlign w:val="top"/>
          </w:tcPr>
          <w:p w14:paraId="7B920FA9">
            <w:pPr>
              <w:rPr>
                <w:color w:val="auto"/>
              </w:rPr>
            </w:pPr>
            <w:r>
              <w:rPr>
                <w:rFonts w:ascii="Calibri" w:hAnsi="Calibri" w:eastAsia="Calibri" w:cs="Calibri"/>
                <w:b w:val="0"/>
                <w:bCs w:val="0"/>
                <w:color w:val="auto"/>
                <w:sz w:val="18"/>
                <w:szCs w:val="18"/>
              </w:rPr>
              <w:t>Mar 8 14:35:56 – 14:38:38</w:t>
            </w:r>
          </w:p>
        </w:tc>
        <w:tc>
          <w:tcPr>
            <w:tcW w:w="1000" w:type="dxa"/>
            <w:tcMar>
              <w:top w:w="80" w:type="dxa"/>
              <w:left w:w="100" w:type="dxa"/>
              <w:bottom w:w="80" w:type="dxa"/>
              <w:right w:w="100" w:type="dxa"/>
            </w:tcMar>
            <w:vAlign w:val="top"/>
          </w:tcPr>
          <w:p w14:paraId="39833EE9">
            <w:pPr>
              <w:rPr>
                <w:color w:val="auto"/>
              </w:rPr>
            </w:pPr>
            <w:r>
              <w:rPr>
                <w:rFonts w:ascii="Calibri" w:hAnsi="Calibri" w:eastAsia="Calibri" w:cs="Calibri"/>
                <w:b w:val="0"/>
                <w:bCs w:val="0"/>
                <w:color w:val="auto"/>
                <w:sz w:val="18"/>
                <w:szCs w:val="18"/>
              </w:rPr>
              <w:t>auth.log</w:t>
            </w:r>
          </w:p>
        </w:tc>
        <w:tc>
          <w:tcPr>
            <w:tcW w:w="1350" w:type="dxa"/>
            <w:tcMar>
              <w:top w:w="80" w:type="dxa"/>
              <w:left w:w="100" w:type="dxa"/>
              <w:bottom w:w="80" w:type="dxa"/>
              <w:right w:w="100" w:type="dxa"/>
            </w:tcMar>
            <w:vAlign w:val="top"/>
          </w:tcPr>
          <w:p w14:paraId="53E99501">
            <w:pPr>
              <w:rPr>
                <w:color w:val="auto"/>
              </w:rPr>
            </w:pPr>
            <w:r>
              <w:rPr>
                <w:rFonts w:ascii="Calibri" w:hAnsi="Calibri" w:eastAsia="Calibri" w:cs="Calibri"/>
                <w:b w:val="0"/>
                <w:bCs w:val="0"/>
                <w:color w:val="auto"/>
                <w:sz w:val="18"/>
                <w:szCs w:val="18"/>
              </w:rPr>
              <w:t>192.168.56.1 (Attacker A) — accessing the frozen-yoghurt account</w:t>
            </w:r>
          </w:p>
        </w:tc>
        <w:tc>
          <w:tcPr>
            <w:tcW w:w="2350" w:type="dxa"/>
            <w:tcMar>
              <w:top w:w="80" w:type="dxa"/>
              <w:left w:w="100" w:type="dxa"/>
              <w:bottom w:w="80" w:type="dxa"/>
              <w:right w:w="100" w:type="dxa"/>
            </w:tcMar>
            <w:vAlign w:val="top"/>
          </w:tcPr>
          <w:p w14:paraId="290B548C">
            <w:pPr>
              <w:rPr>
                <w:color w:val="auto"/>
              </w:rPr>
            </w:pPr>
            <w:r>
              <w:rPr>
                <w:rFonts w:ascii="Calibri" w:hAnsi="Calibri" w:eastAsia="Calibri" w:cs="Calibri"/>
                <w:b w:val="0"/>
                <w:bCs w:val="0"/>
                <w:color w:val="auto"/>
                <w:sz w:val="17"/>
                <w:szCs w:val="17"/>
              </w:rPr>
              <w:t>login[2388]: pam_unix(login:session): session opened for user frozen-yoghurt by (uid=0); systemd-logind logs “New session 6 of user frozen-yoghurt” at the same second. This follows — chronologically, not necessarily causally — a flood of failed logins across four parallel TTYs from 1.capita.vpn.port.ac.uk between 14:32:50–14:35:12, all of which hit “TOO MANY LOGIN TRIES” and disconnected without ever producing a session.</w:t>
            </w:r>
          </w:p>
        </w:tc>
        <w:tc>
          <w:tcPr>
            <w:tcW w:w="1560" w:type="dxa"/>
            <w:tcMar>
              <w:top w:w="80" w:type="dxa"/>
              <w:left w:w="100" w:type="dxa"/>
              <w:bottom w:w="80" w:type="dxa"/>
              <w:right w:w="100" w:type="dxa"/>
            </w:tcMar>
            <w:vAlign w:val="top"/>
          </w:tcPr>
          <w:p w14:paraId="2A88D924">
            <w:pPr>
              <w:rPr>
                <w:color w:val="auto"/>
              </w:rPr>
            </w:pPr>
            <w:r>
              <w:rPr>
                <w:rFonts w:ascii="Calibri" w:hAnsi="Calibri" w:eastAsia="Calibri" w:cs="Calibri"/>
                <w:b w:val="0"/>
                <w:bCs w:val="0"/>
                <w:color w:val="auto"/>
                <w:sz w:val="17"/>
                <w:szCs w:val="17"/>
              </w:rPr>
              <w:t>REVISED after packet-capture review: pcapng TCP stream 25 (192.168.56.1:53248 → 192.168.56.102:23) carries 5,335 packets / ~4MB over 171.9 seconds — by far the largest TELNET session captured. syslog logs in.telnetd[2387] connecting from 192.168.56.1 at 14:35:46, ten seconds before session 6 opens (PID 2388 is the very next PID after 2387); the stream's end matches, to the second, kern.log's final DPT=23 packet and auth.log's session-close event, both at 14:38:38.</w:t>
            </w:r>
          </w:p>
        </w:tc>
        <w:tc>
          <w:tcPr>
            <w:tcW w:w="1250" w:type="dxa"/>
            <w:tcMar>
              <w:top w:w="80" w:type="dxa"/>
              <w:left w:w="100" w:type="dxa"/>
              <w:bottom w:w="80" w:type="dxa"/>
              <w:right w:w="100" w:type="dxa"/>
            </w:tcMar>
            <w:vAlign w:val="top"/>
          </w:tcPr>
          <w:p w14:paraId="535B1766">
            <w:pPr>
              <w:rPr>
                <w:color w:val="auto"/>
              </w:rPr>
            </w:pPr>
            <w:r>
              <w:rPr>
                <w:rFonts w:ascii="Calibri" w:hAnsi="Calibri" w:eastAsia="Calibri" w:cs="Calibri"/>
                <w:b/>
                <w:bCs/>
                <w:color w:val="auto"/>
                <w:sz w:val="18"/>
                <w:szCs w:val="18"/>
              </w:rPr>
              <w:t>H</w:t>
            </w:r>
          </w:p>
        </w:tc>
      </w:tr>
    </w:tbl>
    <w:p w14:paraId="1CBCAAAA">
      <w:pPr>
        <w:spacing w:before="100" w:after="200"/>
        <w:rPr>
          <w:color w:val="auto"/>
        </w:rPr>
      </w:pPr>
      <w:r>
        <w:rPr>
          <w:rFonts w:ascii="Calibri" w:hAnsi="Calibri" w:eastAsia="Calibri" w:cs="Calibri"/>
          <w:i/>
          <w:iCs/>
          <w:color w:val="auto"/>
          <w:sz w:val="20"/>
          <w:szCs w:val="20"/>
        </w:rPr>
        <w:t xml:space="preserve">THIS IS THE CONFIRMED BREACH — </w:t>
      </w:r>
      <w:r>
        <w:rPr>
          <w:rFonts w:hint="default" w:ascii="Calibri" w:hAnsi="Calibri" w:eastAsia="Calibri" w:cs="Calibri"/>
          <w:i/>
          <w:iCs/>
          <w:color w:val="auto"/>
          <w:sz w:val="20"/>
          <w:szCs w:val="20"/>
        </w:rPr>
        <w:t>The attribution got revised after they checked the packets more carefully. It seems the mission brief had the timing right in a way but the actual entry came from telnet by the main attacker instead of that vpn login fail. The process numbers line up with telnetd right before login and the whole thing lasted about one hundred seventy one point nine seconds which matches the session length exactly so it was probably one continuous event. I think the flood from outside hit those terminals first but it never made a session at all so it should not be listed as the cause without saying that part clearly. Some people might still see it as connected even though the times show otherwise. This part gets a bit messy when you try to sort out what happened first.</w:t>
      </w:r>
    </w:p>
    <w:p w14:paraId="680F3D27">
      <w:pPr>
        <w:spacing w:before="200" w:after="60"/>
        <w:rPr>
          <w:color w:val="auto"/>
        </w:rPr>
      </w:pPr>
      <w:r>
        <w:rPr>
          <w:rFonts w:ascii="Calibri" w:hAnsi="Calibri" w:eastAsia="Calibri" w:cs="Calibri"/>
          <w:b/>
          <w:bCs/>
          <w:color w:val="auto"/>
          <w:sz w:val="20"/>
          <w:szCs w:val="20"/>
        </w:rPr>
        <w:t>Row 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400"/>
        <w:gridCol w:w="1000"/>
        <w:gridCol w:w="1350"/>
        <w:gridCol w:w="2350"/>
        <w:gridCol w:w="1560"/>
        <w:gridCol w:w="1250"/>
      </w:tblGrid>
      <w:tr w14:paraId="6DB0E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513FF7A7">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0B37622F">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6370DF8C">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6D5AC2C1">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488C17FE">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2A0713B1">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3CC050F3">
            <w:pPr>
              <w:rPr>
                <w:color w:val="auto"/>
              </w:rPr>
            </w:pPr>
            <w:r>
              <w:rPr>
                <w:rFonts w:ascii="Calibri" w:hAnsi="Calibri" w:eastAsia="Calibri" w:cs="Calibri"/>
                <w:b/>
                <w:bCs/>
                <w:color w:val="auto"/>
                <w:sz w:val="17"/>
                <w:szCs w:val="17"/>
              </w:rPr>
              <w:t>Confidence</w:t>
            </w:r>
          </w:p>
        </w:tc>
      </w:tr>
      <w:tr w14:paraId="0283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6E00A4F4">
            <w:pPr>
              <w:rPr>
                <w:color w:val="auto"/>
              </w:rPr>
            </w:pPr>
            <w:r>
              <w:rPr>
                <w:rFonts w:ascii="Calibri" w:hAnsi="Calibri" w:eastAsia="Calibri" w:cs="Calibri"/>
                <w:b/>
                <w:bCs/>
                <w:color w:val="auto"/>
                <w:sz w:val="18"/>
                <w:szCs w:val="18"/>
              </w:rPr>
              <w:t>6</w:t>
            </w:r>
          </w:p>
        </w:tc>
        <w:tc>
          <w:tcPr>
            <w:tcW w:w="1400" w:type="dxa"/>
            <w:tcMar>
              <w:top w:w="80" w:type="dxa"/>
              <w:left w:w="100" w:type="dxa"/>
              <w:bottom w:w="80" w:type="dxa"/>
              <w:right w:w="100" w:type="dxa"/>
            </w:tcMar>
            <w:vAlign w:val="top"/>
          </w:tcPr>
          <w:p w14:paraId="5CE14CDC">
            <w:pPr>
              <w:rPr>
                <w:color w:val="auto"/>
              </w:rPr>
            </w:pPr>
            <w:r>
              <w:rPr>
                <w:rFonts w:ascii="Calibri" w:hAnsi="Calibri" w:eastAsia="Calibri" w:cs="Calibri"/>
                <w:b w:val="0"/>
                <w:bCs w:val="0"/>
                <w:color w:val="auto"/>
                <w:sz w:val="18"/>
                <w:szCs w:val="18"/>
              </w:rPr>
              <w:t>Mar 8 14:27:03</w:t>
            </w:r>
          </w:p>
        </w:tc>
        <w:tc>
          <w:tcPr>
            <w:tcW w:w="1000" w:type="dxa"/>
            <w:tcMar>
              <w:top w:w="80" w:type="dxa"/>
              <w:left w:w="100" w:type="dxa"/>
              <w:bottom w:w="80" w:type="dxa"/>
              <w:right w:w="100" w:type="dxa"/>
            </w:tcMar>
            <w:vAlign w:val="top"/>
          </w:tcPr>
          <w:p w14:paraId="4768E545">
            <w:pPr>
              <w:rPr>
                <w:color w:val="auto"/>
              </w:rPr>
            </w:pPr>
            <w:r>
              <w:rPr>
                <w:rFonts w:ascii="Calibri" w:hAnsi="Calibri" w:eastAsia="Calibri" w:cs="Calibri"/>
                <w:b w:val="0"/>
                <w:bCs w:val="0"/>
                <w:color w:val="auto"/>
                <w:sz w:val="18"/>
                <w:szCs w:val="18"/>
              </w:rPr>
              <w:t>auth.log</w:t>
            </w:r>
          </w:p>
        </w:tc>
        <w:tc>
          <w:tcPr>
            <w:tcW w:w="1350" w:type="dxa"/>
            <w:tcMar>
              <w:top w:w="80" w:type="dxa"/>
              <w:left w:w="100" w:type="dxa"/>
              <w:bottom w:w="80" w:type="dxa"/>
              <w:right w:w="100" w:type="dxa"/>
            </w:tcMar>
            <w:vAlign w:val="top"/>
          </w:tcPr>
          <w:p w14:paraId="4A5E6F9C">
            <w:pPr>
              <w:rPr>
                <w:color w:val="auto"/>
              </w:rPr>
            </w:pPr>
            <w:r>
              <w:rPr>
                <w:rFonts w:ascii="Calibri" w:hAnsi="Calibri" w:eastAsia="Calibri" w:cs="Calibri"/>
                <w:b w:val="0"/>
                <w:bCs w:val="0"/>
                <w:color w:val="auto"/>
                <w:sz w:val="18"/>
                <w:szCs w:val="18"/>
              </w:rPr>
              <w:t>frozen-yoghurt (uid=1000, legitimate admin)</w:t>
            </w:r>
          </w:p>
        </w:tc>
        <w:tc>
          <w:tcPr>
            <w:tcW w:w="2350" w:type="dxa"/>
            <w:tcMar>
              <w:top w:w="80" w:type="dxa"/>
              <w:left w:w="100" w:type="dxa"/>
              <w:bottom w:w="80" w:type="dxa"/>
              <w:right w:w="100" w:type="dxa"/>
            </w:tcMar>
            <w:vAlign w:val="top"/>
          </w:tcPr>
          <w:p w14:paraId="73496348">
            <w:pPr>
              <w:rPr>
                <w:color w:val="auto"/>
              </w:rPr>
            </w:pPr>
            <w:r>
              <w:rPr>
                <w:rFonts w:ascii="Calibri" w:hAnsi="Calibri" w:eastAsia="Calibri" w:cs="Calibri"/>
                <w:b w:val="0"/>
                <w:bCs w:val="0"/>
                <w:color w:val="auto"/>
                <w:sz w:val="17"/>
                <w:szCs w:val="17"/>
              </w:rPr>
              <w:t>sudo: frozen-yoghurt : TTY=pts/1 ; USER=root ; COMMAND=/usr/sbin/iptables -I INPUT -j LOG --log-prefix “iptable log” --log-level 7</w:t>
            </w:r>
          </w:p>
        </w:tc>
        <w:tc>
          <w:tcPr>
            <w:tcW w:w="1560" w:type="dxa"/>
            <w:tcMar>
              <w:top w:w="80" w:type="dxa"/>
              <w:left w:w="100" w:type="dxa"/>
              <w:bottom w:w="80" w:type="dxa"/>
              <w:right w:w="100" w:type="dxa"/>
            </w:tcMar>
            <w:vAlign w:val="top"/>
          </w:tcPr>
          <w:p w14:paraId="2E940B03">
            <w:pPr>
              <w:rPr>
                <w:color w:val="auto"/>
              </w:rPr>
            </w:pPr>
            <w:r>
              <w:rPr>
                <w:rFonts w:ascii="Calibri" w:hAnsi="Calibri" w:eastAsia="Calibri" w:cs="Calibri"/>
                <w:b w:val="0"/>
                <w:bCs w:val="0"/>
                <w:color w:val="auto"/>
                <w:sz w:val="17"/>
                <w:szCs w:val="17"/>
              </w:rPr>
              <w:t>kern.log's “iptable log”-prefixed entries are the direct output of a LOG rule — but kern.log already contains such entries from Mar 7 17:47:22, before this command was run, indicating a logging rule was already active from a prior session.</w:t>
            </w:r>
          </w:p>
        </w:tc>
        <w:tc>
          <w:tcPr>
            <w:tcW w:w="1250" w:type="dxa"/>
            <w:tcMar>
              <w:top w:w="80" w:type="dxa"/>
              <w:left w:w="100" w:type="dxa"/>
              <w:bottom w:w="80" w:type="dxa"/>
              <w:right w:w="100" w:type="dxa"/>
            </w:tcMar>
            <w:vAlign w:val="top"/>
          </w:tcPr>
          <w:p w14:paraId="0227828C">
            <w:pPr>
              <w:rPr>
                <w:color w:val="auto"/>
              </w:rPr>
            </w:pPr>
            <w:r>
              <w:rPr>
                <w:rFonts w:ascii="Calibri" w:hAnsi="Calibri" w:eastAsia="Calibri" w:cs="Calibri"/>
                <w:b/>
                <w:bCs/>
                <w:color w:val="auto"/>
                <w:sz w:val="18"/>
                <w:szCs w:val="18"/>
              </w:rPr>
              <w:t>M</w:t>
            </w:r>
          </w:p>
        </w:tc>
      </w:tr>
    </w:tbl>
    <w:p w14:paraId="518C828F">
      <w:pPr>
        <w:spacing w:before="100" w:after="200"/>
        <w:rPr>
          <w:color w:val="auto"/>
        </w:rPr>
      </w:pPr>
      <w:r>
        <w:rPr>
          <w:rFonts w:ascii="Calibri" w:hAnsi="Calibri" w:eastAsia="Calibri" w:cs="Calibri"/>
          <w:i/>
          <w:iCs/>
          <w:color w:val="auto"/>
          <w:sz w:val="20"/>
          <w:szCs w:val="20"/>
        </w:rPr>
        <w:t>This is defensive/investigative activity by the legitimate admin, not attacker activity. It shows Frozen Yoghurt Ltd's IT support person noticed something was wrong and began actively logging traffic in near-real time — roughly nine minutes before the confirmed breach at 14:35:56. This matters for the incident narrative: the admin was investigating before the attacker succeeded, not only after.</w:t>
      </w:r>
    </w:p>
    <w:p w14:paraId="112603A4">
      <w:pPr>
        <w:spacing w:before="200" w:after="60"/>
        <w:rPr>
          <w:color w:val="auto"/>
        </w:rPr>
      </w:pPr>
      <w:r>
        <w:rPr>
          <w:rFonts w:ascii="Calibri" w:hAnsi="Calibri" w:eastAsia="Calibri" w:cs="Calibri"/>
          <w:b/>
          <w:bCs/>
          <w:color w:val="auto"/>
          <w:sz w:val="20"/>
          <w:szCs w:val="20"/>
        </w:rPr>
        <w:t>Row 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
        <w:gridCol w:w="1249"/>
        <w:gridCol w:w="928"/>
        <w:gridCol w:w="1885"/>
        <w:gridCol w:w="1959"/>
        <w:gridCol w:w="1792"/>
        <w:gridCol w:w="1155"/>
      </w:tblGrid>
      <w:tr w14:paraId="3B04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4C690F33">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1F5CFEC4">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1F7EC353">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3063B5ED">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45CB8383">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36C8B011">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022C6F6A">
            <w:pPr>
              <w:rPr>
                <w:color w:val="auto"/>
              </w:rPr>
            </w:pPr>
            <w:r>
              <w:rPr>
                <w:rFonts w:ascii="Calibri" w:hAnsi="Calibri" w:eastAsia="Calibri" w:cs="Calibri"/>
                <w:b/>
                <w:bCs/>
                <w:color w:val="auto"/>
                <w:sz w:val="17"/>
                <w:szCs w:val="17"/>
              </w:rPr>
              <w:t>Confidence</w:t>
            </w:r>
          </w:p>
        </w:tc>
      </w:tr>
      <w:tr w14:paraId="7213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222364EC">
            <w:pPr>
              <w:rPr>
                <w:color w:val="auto"/>
              </w:rPr>
            </w:pPr>
            <w:r>
              <w:rPr>
                <w:rFonts w:ascii="Calibri" w:hAnsi="Calibri" w:eastAsia="Calibri" w:cs="Calibri"/>
                <w:b/>
                <w:bCs/>
                <w:color w:val="auto"/>
                <w:sz w:val="18"/>
                <w:szCs w:val="18"/>
              </w:rPr>
              <w:t>7</w:t>
            </w:r>
          </w:p>
        </w:tc>
        <w:tc>
          <w:tcPr>
            <w:tcW w:w="1400" w:type="dxa"/>
            <w:tcMar>
              <w:top w:w="80" w:type="dxa"/>
              <w:left w:w="100" w:type="dxa"/>
              <w:bottom w:w="80" w:type="dxa"/>
              <w:right w:w="100" w:type="dxa"/>
            </w:tcMar>
            <w:vAlign w:val="top"/>
          </w:tcPr>
          <w:p w14:paraId="41BBBFDE">
            <w:pPr>
              <w:rPr>
                <w:color w:val="auto"/>
              </w:rPr>
            </w:pPr>
            <w:r>
              <w:rPr>
                <w:rFonts w:ascii="Calibri" w:hAnsi="Calibri" w:eastAsia="Calibri" w:cs="Calibri"/>
                <w:b w:val="0"/>
                <w:bCs w:val="0"/>
                <w:color w:val="auto"/>
                <w:sz w:val="18"/>
                <w:szCs w:val="18"/>
              </w:rPr>
              <w:t>Mar 8 14:34:54</w:t>
            </w:r>
          </w:p>
        </w:tc>
        <w:tc>
          <w:tcPr>
            <w:tcW w:w="1000" w:type="dxa"/>
            <w:tcMar>
              <w:top w:w="80" w:type="dxa"/>
              <w:left w:w="100" w:type="dxa"/>
              <w:bottom w:w="80" w:type="dxa"/>
              <w:right w:w="100" w:type="dxa"/>
            </w:tcMar>
            <w:vAlign w:val="top"/>
          </w:tcPr>
          <w:p w14:paraId="5014EC0C">
            <w:pPr>
              <w:rPr>
                <w:color w:val="auto"/>
              </w:rPr>
            </w:pPr>
            <w:r>
              <w:rPr>
                <w:rFonts w:ascii="Calibri" w:hAnsi="Calibri" w:eastAsia="Calibri" w:cs="Calibri"/>
                <w:b w:val="0"/>
                <w:bCs w:val="0"/>
                <w:color w:val="auto"/>
                <w:sz w:val="18"/>
                <w:szCs w:val="18"/>
              </w:rPr>
              <w:t>auth.log</w:t>
            </w:r>
          </w:p>
        </w:tc>
        <w:tc>
          <w:tcPr>
            <w:tcW w:w="1350" w:type="dxa"/>
            <w:tcMar>
              <w:top w:w="80" w:type="dxa"/>
              <w:left w:w="100" w:type="dxa"/>
              <w:bottom w:w="80" w:type="dxa"/>
              <w:right w:w="100" w:type="dxa"/>
            </w:tcMar>
            <w:vAlign w:val="top"/>
          </w:tcPr>
          <w:p w14:paraId="56F7C453">
            <w:pPr>
              <w:rPr>
                <w:color w:val="auto"/>
              </w:rPr>
            </w:pPr>
            <w:r>
              <w:rPr>
                <w:rFonts w:ascii="Calibri" w:hAnsi="Calibri" w:eastAsia="Calibri" w:cs="Calibri"/>
                <w:b w:val="0"/>
                <w:bCs w:val="0"/>
                <w:color w:val="auto"/>
                <w:sz w:val="18"/>
                <w:szCs w:val="18"/>
              </w:rPr>
              <w:t>1.capita.vpn.port.ac.uk (external attacker)</w:t>
            </w:r>
          </w:p>
        </w:tc>
        <w:tc>
          <w:tcPr>
            <w:tcW w:w="2350" w:type="dxa"/>
            <w:tcMar>
              <w:top w:w="80" w:type="dxa"/>
              <w:left w:w="100" w:type="dxa"/>
              <w:bottom w:w="80" w:type="dxa"/>
              <w:right w:w="100" w:type="dxa"/>
            </w:tcMar>
            <w:vAlign w:val="top"/>
          </w:tcPr>
          <w:p w14:paraId="3F049BCA">
            <w:pPr>
              <w:rPr>
                <w:color w:val="auto"/>
              </w:rPr>
            </w:pPr>
            <w:r>
              <w:rPr>
                <w:rFonts w:ascii="Calibri" w:hAnsi="Calibri" w:eastAsia="Calibri" w:cs="Calibri"/>
                <w:b w:val="0"/>
                <w:bCs w:val="0"/>
                <w:color w:val="auto"/>
                <w:sz w:val="17"/>
                <w:szCs w:val="17"/>
              </w:rPr>
              <w:t>Four simultaneous login processes (PIDs 2298, 2299, 2300, 2301) on pts/3–pts/6 all log “authentication failure ... user=frozen-yoghurt” at the same second, then cycle through FAILED LOGIN (1)–(5) in lockstep.</w:t>
            </w:r>
          </w:p>
        </w:tc>
        <w:tc>
          <w:tcPr>
            <w:tcW w:w="1560" w:type="dxa"/>
            <w:tcMar>
              <w:top w:w="80" w:type="dxa"/>
              <w:left w:w="100" w:type="dxa"/>
              <w:bottom w:w="80" w:type="dxa"/>
              <w:right w:w="100" w:type="dxa"/>
            </w:tcMar>
            <w:vAlign w:val="top"/>
          </w:tcPr>
          <w:p w14:paraId="6FC70655">
            <w:pPr>
              <w:rPr>
                <w:color w:val="auto"/>
              </w:rPr>
            </w:pPr>
            <w:r>
              <w:rPr>
                <w:rFonts w:ascii="Calibri" w:hAnsi="Calibri" w:eastAsia="Calibri" w:cs="Calibri"/>
                <w:b w:val="0"/>
                <w:bCs w:val="0"/>
                <w:color w:val="auto"/>
                <w:sz w:val="17"/>
                <w:szCs w:val="17"/>
              </w:rPr>
              <w:t>The four PIDs corroborate each other within auth.log. No second file captures 1.capita.vpn.port.ac.uk directly — it is a resolved VPN hostname, not a raw IP, so it never appears in kern.log's or pcapng's address fields. This is itself a notable evidence gap.</w:t>
            </w:r>
          </w:p>
        </w:tc>
        <w:tc>
          <w:tcPr>
            <w:tcW w:w="1250" w:type="dxa"/>
            <w:tcMar>
              <w:top w:w="80" w:type="dxa"/>
              <w:left w:w="100" w:type="dxa"/>
              <w:bottom w:w="80" w:type="dxa"/>
              <w:right w:w="100" w:type="dxa"/>
            </w:tcMar>
            <w:vAlign w:val="top"/>
          </w:tcPr>
          <w:p w14:paraId="2FDF717F">
            <w:pPr>
              <w:rPr>
                <w:color w:val="auto"/>
              </w:rPr>
            </w:pPr>
            <w:r>
              <w:rPr>
                <w:rFonts w:ascii="Calibri" w:hAnsi="Calibri" w:eastAsia="Calibri" w:cs="Calibri"/>
                <w:b/>
                <w:bCs/>
                <w:color w:val="auto"/>
                <w:sz w:val="18"/>
                <w:szCs w:val="18"/>
              </w:rPr>
              <w:t>M</w:t>
            </w:r>
          </w:p>
        </w:tc>
      </w:tr>
    </w:tbl>
    <w:p w14:paraId="263DC1FE">
      <w:pPr>
        <w:spacing w:before="100" w:after="200"/>
        <w:rPr>
          <w:color w:val="auto"/>
        </w:rPr>
      </w:pPr>
      <w:r>
        <w:rPr>
          <w:rFonts w:ascii="Calibri" w:hAnsi="Calibri" w:eastAsia="Calibri" w:cs="Calibri"/>
          <w:i/>
          <w:iCs/>
          <w:color w:val="auto"/>
          <w:sz w:val="20"/>
          <w:szCs w:val="20"/>
        </w:rPr>
        <w:t>Four simultaneous TTY sessions attacking the same username is the same automation signature as Attacker B's SSH brute force (Row 4), but here it targets the login service directly and resolves to a University of Portsmouth VPN gateway rather than an internal lab IP. Despite its volume and parallelism, this attempt did not succeed — see Row 5/Row 11, where packet-capture evidence attributes the confirmed breach to a TELNET session from Attacker A initiated roughly 34 seconds after this flood began, not to this actor.</w:t>
      </w:r>
    </w:p>
    <w:p w14:paraId="0B4BBD65">
      <w:pPr>
        <w:spacing w:before="200" w:after="60"/>
        <w:rPr>
          <w:color w:val="auto"/>
        </w:rPr>
      </w:pPr>
      <w:r>
        <w:rPr>
          <w:rFonts w:ascii="Calibri" w:hAnsi="Calibri" w:eastAsia="Calibri" w:cs="Calibri"/>
          <w:b/>
          <w:bCs/>
          <w:color w:val="auto"/>
          <w:sz w:val="20"/>
          <w:szCs w:val="20"/>
        </w:rPr>
        <w:t>Row 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2"/>
        <w:gridCol w:w="1302"/>
        <w:gridCol w:w="1336"/>
        <w:gridCol w:w="1304"/>
        <w:gridCol w:w="2147"/>
        <w:gridCol w:w="1670"/>
        <w:gridCol w:w="1189"/>
      </w:tblGrid>
      <w:tr w14:paraId="5B34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1CB27184">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18489BA7">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330BF02B">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1DF32D61">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52158492">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63E51D2D">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7B93E134">
            <w:pPr>
              <w:rPr>
                <w:color w:val="auto"/>
              </w:rPr>
            </w:pPr>
            <w:r>
              <w:rPr>
                <w:rFonts w:ascii="Calibri" w:hAnsi="Calibri" w:eastAsia="Calibri" w:cs="Calibri"/>
                <w:b/>
                <w:bCs/>
                <w:color w:val="auto"/>
                <w:sz w:val="17"/>
                <w:szCs w:val="17"/>
              </w:rPr>
              <w:t>Confidence</w:t>
            </w:r>
          </w:p>
        </w:tc>
      </w:tr>
      <w:tr w14:paraId="7D98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03F1217D">
            <w:pPr>
              <w:rPr>
                <w:color w:val="auto"/>
              </w:rPr>
            </w:pPr>
            <w:r>
              <w:rPr>
                <w:rFonts w:ascii="Calibri" w:hAnsi="Calibri" w:eastAsia="Calibri" w:cs="Calibri"/>
                <w:b/>
                <w:bCs/>
                <w:color w:val="auto"/>
                <w:sz w:val="18"/>
                <w:szCs w:val="18"/>
              </w:rPr>
              <w:t>8</w:t>
            </w:r>
          </w:p>
        </w:tc>
        <w:tc>
          <w:tcPr>
            <w:tcW w:w="1400" w:type="dxa"/>
            <w:tcMar>
              <w:top w:w="80" w:type="dxa"/>
              <w:left w:w="100" w:type="dxa"/>
              <w:bottom w:w="80" w:type="dxa"/>
              <w:right w:w="100" w:type="dxa"/>
            </w:tcMar>
            <w:vAlign w:val="top"/>
          </w:tcPr>
          <w:p w14:paraId="4F92898B">
            <w:pPr>
              <w:rPr>
                <w:color w:val="auto"/>
              </w:rPr>
            </w:pPr>
            <w:r>
              <w:rPr>
                <w:rFonts w:ascii="Calibri" w:hAnsi="Calibri" w:eastAsia="Calibri" w:cs="Calibri"/>
                <w:b w:val="0"/>
                <w:bCs w:val="0"/>
                <w:color w:val="auto"/>
                <w:sz w:val="18"/>
                <w:szCs w:val="18"/>
              </w:rPr>
              <w:t>Mar 7 16:11:27 / Mar 8 14:28:27</w:t>
            </w:r>
          </w:p>
        </w:tc>
        <w:tc>
          <w:tcPr>
            <w:tcW w:w="1000" w:type="dxa"/>
            <w:tcMar>
              <w:top w:w="80" w:type="dxa"/>
              <w:left w:w="100" w:type="dxa"/>
              <w:bottom w:w="80" w:type="dxa"/>
              <w:right w:w="100" w:type="dxa"/>
            </w:tcMar>
            <w:vAlign w:val="top"/>
          </w:tcPr>
          <w:p w14:paraId="2F74C111">
            <w:pPr>
              <w:rPr>
                <w:color w:val="auto"/>
              </w:rPr>
            </w:pPr>
            <w:r>
              <w:rPr>
                <w:rFonts w:ascii="Calibri" w:hAnsi="Calibri" w:eastAsia="Calibri" w:cs="Calibri"/>
                <w:b w:val="0"/>
                <w:bCs w:val="0"/>
                <w:color w:val="auto"/>
                <w:sz w:val="18"/>
                <w:szCs w:val="18"/>
              </w:rPr>
              <w:t>suricatalogs.log</w:t>
            </w:r>
          </w:p>
        </w:tc>
        <w:tc>
          <w:tcPr>
            <w:tcW w:w="1350" w:type="dxa"/>
            <w:tcMar>
              <w:top w:w="80" w:type="dxa"/>
              <w:left w:w="100" w:type="dxa"/>
              <w:bottom w:w="80" w:type="dxa"/>
              <w:right w:w="100" w:type="dxa"/>
            </w:tcMar>
            <w:vAlign w:val="top"/>
          </w:tcPr>
          <w:p w14:paraId="16F3F3C1">
            <w:pPr>
              <w:rPr>
                <w:color w:val="auto"/>
              </w:rPr>
            </w:pPr>
            <w:r>
              <w:rPr>
                <w:rFonts w:ascii="Calibri" w:hAnsi="Calibri" w:eastAsia="Calibri" w:cs="Calibri"/>
                <w:b w:val="0"/>
                <w:bCs w:val="0"/>
                <w:color w:val="auto"/>
                <w:sz w:val="18"/>
                <w:szCs w:val="18"/>
              </w:rPr>
              <w:t>192.168.56.1 (Attacker A)</w:t>
            </w:r>
          </w:p>
        </w:tc>
        <w:tc>
          <w:tcPr>
            <w:tcW w:w="2350" w:type="dxa"/>
            <w:tcMar>
              <w:top w:w="80" w:type="dxa"/>
              <w:left w:w="100" w:type="dxa"/>
              <w:bottom w:w="80" w:type="dxa"/>
              <w:right w:w="100" w:type="dxa"/>
            </w:tcMar>
            <w:vAlign w:val="top"/>
          </w:tcPr>
          <w:p w14:paraId="3D37794D">
            <w:pPr>
              <w:rPr>
                <w:color w:val="auto"/>
              </w:rPr>
            </w:pPr>
            <w:r>
              <w:rPr>
                <w:rFonts w:ascii="Calibri" w:hAnsi="Calibri" w:eastAsia="Calibri" w:cs="Calibri"/>
                <w:b w:val="0"/>
                <w:bCs w:val="0"/>
                <w:color w:val="auto"/>
                <w:sz w:val="17"/>
                <w:szCs w:val="17"/>
              </w:rPr>
              <w:t>Paired ICMP echo request/reply “ICMP connection attempt” alerts (SID 1:1000002:1) between 192.168.56.1 and 192.168.56.102, repeated at 16:11:27 and 17:04:58 on Mar 7, and 14:28:27–14:29:06 on Mar 8.</w:t>
            </w:r>
          </w:p>
        </w:tc>
        <w:tc>
          <w:tcPr>
            <w:tcW w:w="1560" w:type="dxa"/>
            <w:tcMar>
              <w:top w:w="80" w:type="dxa"/>
              <w:left w:w="100" w:type="dxa"/>
              <w:bottom w:w="80" w:type="dxa"/>
              <w:right w:w="100" w:type="dxa"/>
            </w:tcMar>
            <w:vAlign w:val="top"/>
          </w:tcPr>
          <w:p w14:paraId="00B89946">
            <w:pPr>
              <w:rPr>
                <w:color w:val="auto"/>
              </w:rPr>
            </w:pPr>
            <w:r>
              <w:rPr>
                <w:rFonts w:ascii="Calibri" w:hAnsi="Calibri" w:eastAsia="Calibri" w:cs="Calibri"/>
                <w:b w:val="0"/>
                <w:bCs w:val="0"/>
                <w:color w:val="auto"/>
                <w:sz w:val="17"/>
                <w:szCs w:val="17"/>
              </w:rPr>
              <w:t>kern.log independently logs the same Mar 8 14:28:27 ICMP echo request (TYPE=8, ID=1023, SEQ=1) from SRC=192.168.56.1 to DST=192.168.56.102, matched to the second.</w:t>
            </w:r>
          </w:p>
        </w:tc>
        <w:tc>
          <w:tcPr>
            <w:tcW w:w="1250" w:type="dxa"/>
            <w:tcMar>
              <w:top w:w="80" w:type="dxa"/>
              <w:left w:w="100" w:type="dxa"/>
              <w:bottom w:w="80" w:type="dxa"/>
              <w:right w:w="100" w:type="dxa"/>
            </w:tcMar>
            <w:vAlign w:val="top"/>
          </w:tcPr>
          <w:p w14:paraId="026CC9DA">
            <w:pPr>
              <w:rPr>
                <w:color w:val="auto"/>
              </w:rPr>
            </w:pPr>
            <w:r>
              <w:rPr>
                <w:rFonts w:ascii="Calibri" w:hAnsi="Calibri" w:eastAsia="Calibri" w:cs="Calibri"/>
                <w:b/>
                <w:bCs/>
                <w:color w:val="auto"/>
                <w:sz w:val="18"/>
                <w:szCs w:val="18"/>
              </w:rPr>
              <w:t>H</w:t>
            </w:r>
          </w:p>
        </w:tc>
      </w:tr>
    </w:tbl>
    <w:p w14:paraId="747E0C33">
      <w:pPr>
        <w:spacing w:before="100" w:after="200"/>
        <w:rPr>
          <w:color w:val="auto"/>
        </w:rPr>
      </w:pPr>
      <w:r>
        <w:rPr>
          <w:rFonts w:ascii="Calibri" w:hAnsi="Calibri" w:eastAsia="Calibri" w:cs="Calibri"/>
          <w:i/>
          <w:iCs/>
          <w:color w:val="auto"/>
          <w:sz w:val="20"/>
          <w:szCs w:val="20"/>
        </w:rPr>
        <w:t>Periodic ICMP probing on both days from the actor who later carries out the TELNET and SSH attacks is consistent with basic host-liveness checking. The Mar 8 probes cluster in the minutes immediately before the accepted TELNET session (14:32:45) and the SSH brute force (14:33:29), suggesting Attacker A was re-verifying reachability between attack phases rather than running a single reconnaissance pass at the start.</w:t>
      </w:r>
    </w:p>
    <w:p w14:paraId="1F498C27">
      <w:pPr>
        <w:spacing w:before="200" w:after="60"/>
        <w:rPr>
          <w:color w:val="auto"/>
        </w:rPr>
      </w:pPr>
      <w:r>
        <w:rPr>
          <w:rFonts w:ascii="Calibri" w:hAnsi="Calibri" w:eastAsia="Calibri" w:cs="Calibri"/>
          <w:b/>
          <w:bCs/>
          <w:color w:val="auto"/>
          <w:sz w:val="20"/>
          <w:szCs w:val="20"/>
        </w:rPr>
        <w:t>Row 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400"/>
        <w:gridCol w:w="1000"/>
        <w:gridCol w:w="1350"/>
        <w:gridCol w:w="2350"/>
        <w:gridCol w:w="1560"/>
        <w:gridCol w:w="1250"/>
      </w:tblGrid>
      <w:tr w14:paraId="2483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72A79A2A">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102AFF79">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7DD3858E">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28161A89">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480E1C93">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3E2E35EB">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723D90B4">
            <w:pPr>
              <w:rPr>
                <w:color w:val="auto"/>
              </w:rPr>
            </w:pPr>
            <w:r>
              <w:rPr>
                <w:rFonts w:ascii="Calibri" w:hAnsi="Calibri" w:eastAsia="Calibri" w:cs="Calibri"/>
                <w:b/>
                <w:bCs/>
                <w:color w:val="auto"/>
                <w:sz w:val="17"/>
                <w:szCs w:val="17"/>
              </w:rPr>
              <w:t>Confidence</w:t>
            </w:r>
          </w:p>
        </w:tc>
      </w:tr>
      <w:tr w14:paraId="01CA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3AF20AD9">
            <w:pPr>
              <w:rPr>
                <w:color w:val="auto"/>
              </w:rPr>
            </w:pPr>
            <w:r>
              <w:rPr>
                <w:rFonts w:ascii="Calibri" w:hAnsi="Calibri" w:eastAsia="Calibri" w:cs="Calibri"/>
                <w:b/>
                <w:bCs/>
                <w:color w:val="auto"/>
                <w:sz w:val="18"/>
                <w:szCs w:val="18"/>
              </w:rPr>
              <w:t>9</w:t>
            </w:r>
          </w:p>
        </w:tc>
        <w:tc>
          <w:tcPr>
            <w:tcW w:w="1400" w:type="dxa"/>
            <w:tcMar>
              <w:top w:w="80" w:type="dxa"/>
              <w:left w:w="100" w:type="dxa"/>
              <w:bottom w:w="80" w:type="dxa"/>
              <w:right w:w="100" w:type="dxa"/>
            </w:tcMar>
            <w:vAlign w:val="top"/>
          </w:tcPr>
          <w:p w14:paraId="6CA3F36F">
            <w:pPr>
              <w:rPr>
                <w:color w:val="auto"/>
              </w:rPr>
            </w:pPr>
            <w:r>
              <w:rPr>
                <w:rFonts w:ascii="Calibri" w:hAnsi="Calibri" w:eastAsia="Calibri" w:cs="Calibri"/>
                <w:b w:val="0"/>
                <w:bCs w:val="0"/>
                <w:color w:val="auto"/>
                <w:sz w:val="18"/>
                <w:szCs w:val="18"/>
              </w:rPr>
              <w:t>Mar 8 14:32:45 – 14:38:38</w:t>
            </w:r>
          </w:p>
        </w:tc>
        <w:tc>
          <w:tcPr>
            <w:tcW w:w="1000" w:type="dxa"/>
            <w:tcMar>
              <w:top w:w="80" w:type="dxa"/>
              <w:left w:w="100" w:type="dxa"/>
              <w:bottom w:w="80" w:type="dxa"/>
              <w:right w:w="100" w:type="dxa"/>
            </w:tcMar>
            <w:vAlign w:val="top"/>
          </w:tcPr>
          <w:p w14:paraId="4831CA71">
            <w:pPr>
              <w:rPr>
                <w:color w:val="auto"/>
              </w:rPr>
            </w:pPr>
            <w:r>
              <w:rPr>
                <w:rFonts w:ascii="Calibri" w:hAnsi="Calibri" w:eastAsia="Calibri" w:cs="Calibri"/>
                <w:b w:val="0"/>
                <w:bCs w:val="0"/>
                <w:color w:val="auto"/>
                <w:sz w:val="18"/>
                <w:szCs w:val="18"/>
              </w:rPr>
              <w:t>kern.log</w:t>
            </w:r>
          </w:p>
        </w:tc>
        <w:tc>
          <w:tcPr>
            <w:tcW w:w="1350" w:type="dxa"/>
            <w:tcMar>
              <w:top w:w="80" w:type="dxa"/>
              <w:left w:w="100" w:type="dxa"/>
              <w:bottom w:w="80" w:type="dxa"/>
              <w:right w:w="100" w:type="dxa"/>
            </w:tcMar>
            <w:vAlign w:val="top"/>
          </w:tcPr>
          <w:p w14:paraId="70BD417F">
            <w:pPr>
              <w:rPr>
                <w:color w:val="auto"/>
              </w:rPr>
            </w:pPr>
            <w:r>
              <w:rPr>
                <w:rFonts w:ascii="Calibri" w:hAnsi="Calibri" w:eastAsia="Calibri" w:cs="Calibri"/>
                <w:b w:val="0"/>
                <w:bCs w:val="0"/>
                <w:color w:val="auto"/>
                <w:sz w:val="18"/>
                <w:szCs w:val="18"/>
              </w:rPr>
              <w:t>192.168.56.1 (Attacker A)</w:t>
            </w:r>
          </w:p>
        </w:tc>
        <w:tc>
          <w:tcPr>
            <w:tcW w:w="2350" w:type="dxa"/>
            <w:tcMar>
              <w:top w:w="80" w:type="dxa"/>
              <w:left w:w="100" w:type="dxa"/>
              <w:bottom w:w="80" w:type="dxa"/>
              <w:right w:w="100" w:type="dxa"/>
            </w:tcMar>
            <w:vAlign w:val="top"/>
          </w:tcPr>
          <w:p w14:paraId="44661EE2">
            <w:pPr>
              <w:rPr>
                <w:color w:val="auto"/>
              </w:rPr>
            </w:pPr>
            <w:r>
              <w:rPr>
                <w:rFonts w:ascii="Calibri" w:hAnsi="Calibri" w:eastAsia="Calibri" w:cs="Calibri"/>
                <w:b w:val="0"/>
                <w:bCs w:val="0"/>
                <w:color w:val="auto"/>
                <w:sz w:val="17"/>
                <w:szCs w:val="17"/>
              </w:rPr>
              <w:t>2,883 total packets logged to DPT=23 across both days, all from a single source IP; on Mar 8 the traffic runs continuously from 14:32:45 (first SYN) to 14:38:38 (final ACK/FIN).</w:t>
            </w:r>
          </w:p>
        </w:tc>
        <w:tc>
          <w:tcPr>
            <w:tcW w:w="1560" w:type="dxa"/>
            <w:tcMar>
              <w:top w:w="80" w:type="dxa"/>
              <w:left w:w="100" w:type="dxa"/>
              <w:bottom w:w="80" w:type="dxa"/>
              <w:right w:w="100" w:type="dxa"/>
            </w:tcMar>
            <w:vAlign w:val="top"/>
          </w:tcPr>
          <w:p w14:paraId="385ABD35">
            <w:pPr>
              <w:rPr>
                <w:color w:val="auto"/>
              </w:rPr>
            </w:pPr>
            <w:r>
              <w:rPr>
                <w:rFonts w:ascii="Calibri" w:hAnsi="Calibri" w:eastAsia="Calibri" w:cs="Calibri"/>
                <w:b w:val="0"/>
                <w:bCs w:val="0"/>
                <w:color w:val="auto"/>
                <w:sz w:val="17"/>
                <w:szCs w:val="17"/>
              </w:rPr>
              <w:t>syslog's in.telnetd entries mark five distinct accepted TELNET sessions from the same IP within this window; suricatalogs.log logs matching TELNET connection-attempt alerts throughout.</w:t>
            </w:r>
          </w:p>
        </w:tc>
        <w:tc>
          <w:tcPr>
            <w:tcW w:w="1250" w:type="dxa"/>
            <w:tcMar>
              <w:top w:w="80" w:type="dxa"/>
              <w:left w:w="100" w:type="dxa"/>
              <w:bottom w:w="80" w:type="dxa"/>
              <w:right w:w="100" w:type="dxa"/>
            </w:tcMar>
            <w:vAlign w:val="top"/>
          </w:tcPr>
          <w:p w14:paraId="59706E17">
            <w:pPr>
              <w:rPr>
                <w:color w:val="auto"/>
              </w:rPr>
            </w:pPr>
            <w:r>
              <w:rPr>
                <w:rFonts w:ascii="Calibri" w:hAnsi="Calibri" w:eastAsia="Calibri" w:cs="Calibri"/>
                <w:b/>
                <w:bCs/>
                <w:color w:val="auto"/>
                <w:sz w:val="18"/>
                <w:szCs w:val="18"/>
              </w:rPr>
              <w:t>H</w:t>
            </w:r>
          </w:p>
        </w:tc>
      </w:tr>
    </w:tbl>
    <w:p w14:paraId="744354EC">
      <w:pPr>
        <w:spacing w:before="100" w:after="200"/>
        <w:rPr>
          <w:color w:val="auto"/>
        </w:rPr>
      </w:pPr>
      <w:r>
        <w:rPr>
          <w:rFonts w:ascii="Calibri" w:hAnsi="Calibri" w:eastAsia="Calibri" w:cs="Calibri"/>
          <w:i/>
          <w:iCs/>
          <w:color w:val="auto"/>
          <w:sz w:val="20"/>
          <w:szCs w:val="20"/>
        </w:rPr>
        <w:t>The sheer volume rules out an accidental connection; this is sustained, repeated interaction across two separate days. The Mar 8 TELNET traffic window (14:32:45–14:38:38) fully encloses the confirmed breach window (14:35:56–14:38:38). Packet-capture review (Row 11) confirms this is not a coincidental overlap: the single largest TELNET stream in the capture (5,335 packets, port 53248) falls entirely within this window, and its start/end times match the confirmed breach almost to the second.</w:t>
      </w:r>
    </w:p>
    <w:p w14:paraId="770CEBC7">
      <w:pPr>
        <w:spacing w:before="200" w:after="60"/>
        <w:rPr>
          <w:color w:val="auto"/>
        </w:rPr>
      </w:pPr>
      <w:r>
        <w:rPr>
          <w:rFonts w:ascii="Calibri" w:hAnsi="Calibri" w:eastAsia="Calibri" w:cs="Calibri"/>
          <w:b/>
          <w:bCs/>
          <w:color w:val="auto"/>
          <w:sz w:val="20"/>
          <w:szCs w:val="20"/>
        </w:rPr>
        <w:t>Row 10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400"/>
        <w:gridCol w:w="1000"/>
        <w:gridCol w:w="1350"/>
        <w:gridCol w:w="2350"/>
        <w:gridCol w:w="1560"/>
        <w:gridCol w:w="1250"/>
      </w:tblGrid>
      <w:tr w14:paraId="113A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12DF1118">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4ABD0038">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68AD6CFB">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75FFE464">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19DBB298">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57E83D01">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710206BA">
            <w:pPr>
              <w:rPr>
                <w:color w:val="auto"/>
              </w:rPr>
            </w:pPr>
            <w:r>
              <w:rPr>
                <w:rFonts w:ascii="Calibri" w:hAnsi="Calibri" w:eastAsia="Calibri" w:cs="Calibri"/>
                <w:b/>
                <w:bCs/>
                <w:color w:val="auto"/>
                <w:sz w:val="17"/>
                <w:szCs w:val="17"/>
              </w:rPr>
              <w:t>Confidence</w:t>
            </w:r>
          </w:p>
        </w:tc>
      </w:tr>
      <w:tr w14:paraId="64B7E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259C2985">
            <w:pPr>
              <w:rPr>
                <w:color w:val="auto"/>
              </w:rPr>
            </w:pPr>
            <w:r>
              <w:rPr>
                <w:rFonts w:ascii="Calibri" w:hAnsi="Calibri" w:eastAsia="Calibri" w:cs="Calibri"/>
                <w:b/>
                <w:bCs/>
                <w:color w:val="auto"/>
                <w:sz w:val="18"/>
                <w:szCs w:val="18"/>
              </w:rPr>
              <w:t>10</w:t>
            </w:r>
          </w:p>
        </w:tc>
        <w:tc>
          <w:tcPr>
            <w:tcW w:w="1400" w:type="dxa"/>
            <w:tcMar>
              <w:top w:w="80" w:type="dxa"/>
              <w:left w:w="100" w:type="dxa"/>
              <w:bottom w:w="80" w:type="dxa"/>
              <w:right w:w="100" w:type="dxa"/>
            </w:tcMar>
            <w:vAlign w:val="top"/>
          </w:tcPr>
          <w:p w14:paraId="6D0F8876">
            <w:pPr>
              <w:rPr>
                <w:color w:val="auto"/>
              </w:rPr>
            </w:pPr>
            <w:r>
              <w:rPr>
                <w:rFonts w:ascii="Calibri" w:hAnsi="Calibri" w:eastAsia="Calibri" w:cs="Calibri"/>
                <w:b w:val="0"/>
                <w:bCs w:val="0"/>
                <w:color w:val="auto"/>
                <w:sz w:val="18"/>
                <w:szCs w:val="18"/>
              </w:rPr>
              <w:t>Mar 8 14:25:55</w:t>
            </w:r>
          </w:p>
        </w:tc>
        <w:tc>
          <w:tcPr>
            <w:tcW w:w="1000" w:type="dxa"/>
            <w:tcMar>
              <w:top w:w="80" w:type="dxa"/>
              <w:left w:w="100" w:type="dxa"/>
              <w:bottom w:w="80" w:type="dxa"/>
              <w:right w:w="100" w:type="dxa"/>
            </w:tcMar>
            <w:vAlign w:val="top"/>
          </w:tcPr>
          <w:p w14:paraId="6DB02DBA">
            <w:pPr>
              <w:rPr>
                <w:color w:val="auto"/>
              </w:rPr>
            </w:pPr>
            <w:r>
              <w:rPr>
                <w:rFonts w:ascii="Calibri" w:hAnsi="Calibri" w:eastAsia="Calibri" w:cs="Calibri"/>
                <w:b w:val="0"/>
                <w:bCs w:val="0"/>
                <w:color w:val="auto"/>
                <w:sz w:val="18"/>
                <w:szCs w:val="18"/>
              </w:rPr>
              <w:t>auth.log</w:t>
            </w:r>
          </w:p>
        </w:tc>
        <w:tc>
          <w:tcPr>
            <w:tcW w:w="1350" w:type="dxa"/>
            <w:tcMar>
              <w:top w:w="80" w:type="dxa"/>
              <w:left w:w="100" w:type="dxa"/>
              <w:bottom w:w="80" w:type="dxa"/>
              <w:right w:w="100" w:type="dxa"/>
            </w:tcMar>
            <w:vAlign w:val="top"/>
          </w:tcPr>
          <w:p w14:paraId="146089E9">
            <w:pPr>
              <w:rPr>
                <w:color w:val="auto"/>
              </w:rPr>
            </w:pPr>
            <w:r>
              <w:rPr>
                <w:rFonts w:ascii="Calibri" w:hAnsi="Calibri" w:eastAsia="Calibri" w:cs="Calibri"/>
                <w:b w:val="0"/>
                <w:bCs w:val="0"/>
                <w:color w:val="auto"/>
                <w:sz w:val="18"/>
                <w:szCs w:val="18"/>
              </w:rPr>
              <w:t>frozen-yoghurt (uid=1000, legitimate admin)</w:t>
            </w:r>
          </w:p>
        </w:tc>
        <w:tc>
          <w:tcPr>
            <w:tcW w:w="2350" w:type="dxa"/>
            <w:tcMar>
              <w:top w:w="80" w:type="dxa"/>
              <w:left w:w="100" w:type="dxa"/>
              <w:bottom w:w="80" w:type="dxa"/>
              <w:right w:w="100" w:type="dxa"/>
            </w:tcMar>
            <w:vAlign w:val="top"/>
          </w:tcPr>
          <w:p w14:paraId="58A1ED38">
            <w:pPr>
              <w:rPr>
                <w:color w:val="auto"/>
              </w:rPr>
            </w:pPr>
            <w:r>
              <w:rPr>
                <w:rFonts w:ascii="Calibri" w:hAnsi="Calibri" w:eastAsia="Calibri" w:cs="Calibri"/>
                <w:b w:val="0"/>
                <w:bCs w:val="0"/>
                <w:color w:val="auto"/>
                <w:sz w:val="17"/>
                <w:szCs w:val="17"/>
              </w:rPr>
              <w:t>sudo: frozen-yoghurt : TTY=pts/1 ; USER=root ; COMMAND=/usr/sbin/ifconfig vboxnet0 up — preceded four seconds earlier by a failed sudo authentication attempt at 14:25:51.</w:t>
            </w:r>
          </w:p>
        </w:tc>
        <w:tc>
          <w:tcPr>
            <w:tcW w:w="1560" w:type="dxa"/>
            <w:tcMar>
              <w:top w:w="80" w:type="dxa"/>
              <w:left w:w="100" w:type="dxa"/>
              <w:bottom w:w="80" w:type="dxa"/>
              <w:right w:w="100" w:type="dxa"/>
            </w:tcMar>
            <w:vAlign w:val="top"/>
          </w:tcPr>
          <w:p w14:paraId="44D16E08">
            <w:pPr>
              <w:rPr>
                <w:color w:val="auto"/>
              </w:rPr>
            </w:pPr>
            <w:r>
              <w:rPr>
                <w:rFonts w:ascii="Calibri" w:hAnsi="Calibri" w:eastAsia="Calibri" w:cs="Calibri"/>
                <w:b w:val="0"/>
                <w:bCs w:val="0"/>
                <w:color w:val="auto"/>
                <w:sz w:val="17"/>
                <w:szCs w:val="17"/>
              </w:rPr>
              <w:t>No other file directly logs this interface-level change. Included for its relevance to the attack surface, not because it is independently corroborated.</w:t>
            </w:r>
          </w:p>
        </w:tc>
        <w:tc>
          <w:tcPr>
            <w:tcW w:w="1250" w:type="dxa"/>
            <w:tcMar>
              <w:top w:w="80" w:type="dxa"/>
              <w:left w:w="100" w:type="dxa"/>
              <w:bottom w:w="80" w:type="dxa"/>
              <w:right w:w="100" w:type="dxa"/>
            </w:tcMar>
            <w:vAlign w:val="top"/>
          </w:tcPr>
          <w:p w14:paraId="4C1615F7">
            <w:pPr>
              <w:rPr>
                <w:color w:val="auto"/>
              </w:rPr>
            </w:pPr>
            <w:r>
              <w:rPr>
                <w:rFonts w:ascii="Calibri" w:hAnsi="Calibri" w:eastAsia="Calibri" w:cs="Calibri"/>
                <w:b/>
                <w:bCs/>
                <w:color w:val="auto"/>
                <w:sz w:val="18"/>
                <w:szCs w:val="18"/>
              </w:rPr>
              <w:t>M</w:t>
            </w:r>
          </w:p>
        </w:tc>
      </w:tr>
    </w:tbl>
    <w:p w14:paraId="498F5D4E">
      <w:pPr>
        <w:spacing w:before="100" w:after="200"/>
        <w:rPr>
          <w:color w:val="auto"/>
        </w:rPr>
      </w:pPr>
      <w:r>
        <w:rPr>
          <w:rFonts w:ascii="Calibri" w:hAnsi="Calibri" w:eastAsia="Calibri" w:cs="Calibri"/>
          <w:i/>
          <w:iCs/>
          <w:color w:val="auto"/>
          <w:sz w:val="20"/>
          <w:szCs w:val="20"/>
        </w:rPr>
        <w:t>vboxnet0 is the same VirtualBox host-only interface that carries the 192.168.56.0/24 subnet used by both internal attackers. This command was run roughly seven minutes before the first accepted TELNET session and about ten minutes before the confirmed breach. It is plausible — though not provable from these files alone — that this action (re-)established the network path the attackers used. Treated in full in D4 Part A.</w:t>
      </w:r>
    </w:p>
    <w:p w14:paraId="03AC049F">
      <w:pPr>
        <w:spacing w:before="200" w:after="60"/>
        <w:rPr>
          <w:color w:val="auto"/>
        </w:rPr>
      </w:pPr>
      <w:r>
        <w:rPr>
          <w:rFonts w:ascii="Calibri" w:hAnsi="Calibri" w:eastAsia="Calibri" w:cs="Calibri"/>
          <w:b/>
          <w:bCs/>
          <w:color w:val="auto"/>
          <w:sz w:val="20"/>
          <w:szCs w:val="20"/>
        </w:rPr>
        <w:t>Row 11  [ADDED — PACKET-CAPTURE REVIEW]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
        <w:gridCol w:w="1048"/>
        <w:gridCol w:w="2661"/>
        <w:gridCol w:w="1185"/>
        <w:gridCol w:w="1690"/>
        <w:gridCol w:w="1355"/>
        <w:gridCol w:w="1029"/>
      </w:tblGrid>
      <w:tr w14:paraId="2E1C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shd w:val="clear" w:color="auto" w:fill="auto"/>
            <w:tcMar>
              <w:top w:w="80" w:type="dxa"/>
              <w:left w:w="100" w:type="dxa"/>
              <w:bottom w:w="80" w:type="dxa"/>
              <w:right w:w="100" w:type="dxa"/>
            </w:tcMar>
            <w:vAlign w:val="top"/>
          </w:tcPr>
          <w:p w14:paraId="7F031279">
            <w:pPr>
              <w:rPr>
                <w:color w:val="auto"/>
              </w:rPr>
            </w:pPr>
            <w:r>
              <w:rPr>
                <w:rFonts w:ascii="Calibri" w:hAnsi="Calibri" w:eastAsia="Calibri" w:cs="Calibri"/>
                <w:b/>
                <w:bCs/>
                <w:color w:val="auto"/>
                <w:sz w:val="17"/>
                <w:szCs w:val="17"/>
              </w:rPr>
              <w:t>#</w:t>
            </w:r>
          </w:p>
        </w:tc>
        <w:tc>
          <w:tcPr>
            <w:tcW w:w="1400" w:type="dxa"/>
            <w:shd w:val="clear" w:color="auto" w:fill="auto"/>
            <w:tcMar>
              <w:top w:w="80" w:type="dxa"/>
              <w:left w:w="100" w:type="dxa"/>
              <w:bottom w:w="80" w:type="dxa"/>
              <w:right w:w="100" w:type="dxa"/>
            </w:tcMar>
            <w:vAlign w:val="top"/>
          </w:tcPr>
          <w:p w14:paraId="258724B0">
            <w:pPr>
              <w:rPr>
                <w:color w:val="auto"/>
              </w:rPr>
            </w:pPr>
            <w:r>
              <w:rPr>
                <w:rFonts w:ascii="Calibri" w:hAnsi="Calibri" w:eastAsia="Calibri" w:cs="Calibri"/>
                <w:b/>
                <w:bCs/>
                <w:color w:val="auto"/>
                <w:sz w:val="17"/>
                <w:szCs w:val="17"/>
              </w:rPr>
              <w:t>Timestamp</w:t>
            </w:r>
          </w:p>
        </w:tc>
        <w:tc>
          <w:tcPr>
            <w:tcW w:w="1000" w:type="dxa"/>
            <w:shd w:val="clear" w:color="auto" w:fill="auto"/>
            <w:tcMar>
              <w:top w:w="80" w:type="dxa"/>
              <w:left w:w="100" w:type="dxa"/>
              <w:bottom w:w="80" w:type="dxa"/>
              <w:right w:w="100" w:type="dxa"/>
            </w:tcMar>
            <w:vAlign w:val="top"/>
          </w:tcPr>
          <w:p w14:paraId="5AB333B0">
            <w:pPr>
              <w:rPr>
                <w:color w:val="auto"/>
              </w:rPr>
            </w:pPr>
            <w:r>
              <w:rPr>
                <w:rFonts w:ascii="Calibri" w:hAnsi="Calibri" w:eastAsia="Calibri" w:cs="Calibri"/>
                <w:b/>
                <w:bCs/>
                <w:color w:val="auto"/>
                <w:sz w:val="17"/>
                <w:szCs w:val="17"/>
              </w:rPr>
              <w:t>Source File</w:t>
            </w:r>
          </w:p>
        </w:tc>
        <w:tc>
          <w:tcPr>
            <w:tcW w:w="1350" w:type="dxa"/>
            <w:shd w:val="clear" w:color="auto" w:fill="auto"/>
            <w:tcMar>
              <w:top w:w="80" w:type="dxa"/>
              <w:left w:w="100" w:type="dxa"/>
              <w:bottom w:w="80" w:type="dxa"/>
              <w:right w:w="100" w:type="dxa"/>
            </w:tcMar>
            <w:vAlign w:val="top"/>
          </w:tcPr>
          <w:p w14:paraId="0310914E">
            <w:pPr>
              <w:rPr>
                <w:color w:val="auto"/>
              </w:rPr>
            </w:pPr>
            <w:r>
              <w:rPr>
                <w:rFonts w:ascii="Calibri" w:hAnsi="Calibri" w:eastAsia="Calibri" w:cs="Calibri"/>
                <w:b/>
                <w:bCs/>
                <w:color w:val="auto"/>
                <w:sz w:val="17"/>
                <w:szCs w:val="17"/>
              </w:rPr>
              <w:t>Source IP / Actor</w:t>
            </w:r>
          </w:p>
        </w:tc>
        <w:tc>
          <w:tcPr>
            <w:tcW w:w="2350" w:type="dxa"/>
            <w:shd w:val="clear" w:color="auto" w:fill="auto"/>
            <w:tcMar>
              <w:top w:w="80" w:type="dxa"/>
              <w:left w:w="100" w:type="dxa"/>
              <w:bottom w:w="80" w:type="dxa"/>
              <w:right w:w="100" w:type="dxa"/>
            </w:tcMar>
            <w:vAlign w:val="top"/>
          </w:tcPr>
          <w:p w14:paraId="22B0AE37">
            <w:pPr>
              <w:rPr>
                <w:color w:val="auto"/>
              </w:rPr>
            </w:pPr>
            <w:r>
              <w:rPr>
                <w:rFonts w:ascii="Calibri" w:hAnsi="Calibri" w:eastAsia="Calibri" w:cs="Calibri"/>
                <w:b/>
                <w:bCs/>
                <w:color w:val="auto"/>
                <w:sz w:val="17"/>
                <w:szCs w:val="17"/>
              </w:rPr>
              <w:t>Event</w:t>
            </w:r>
          </w:p>
        </w:tc>
        <w:tc>
          <w:tcPr>
            <w:tcW w:w="1560" w:type="dxa"/>
            <w:shd w:val="clear" w:color="auto" w:fill="auto"/>
            <w:tcMar>
              <w:top w:w="80" w:type="dxa"/>
              <w:left w:w="100" w:type="dxa"/>
              <w:bottom w:w="80" w:type="dxa"/>
              <w:right w:w="100" w:type="dxa"/>
            </w:tcMar>
            <w:vAlign w:val="top"/>
          </w:tcPr>
          <w:p w14:paraId="3B329546">
            <w:pPr>
              <w:rPr>
                <w:color w:val="auto"/>
              </w:rPr>
            </w:pPr>
            <w:r>
              <w:rPr>
                <w:rFonts w:ascii="Calibri" w:hAnsi="Calibri" w:eastAsia="Calibri" w:cs="Calibri"/>
                <w:b/>
                <w:bCs/>
                <w:color w:val="auto"/>
                <w:sz w:val="17"/>
                <w:szCs w:val="17"/>
              </w:rPr>
              <w:t>Corroborating Evidence</w:t>
            </w:r>
          </w:p>
        </w:tc>
        <w:tc>
          <w:tcPr>
            <w:tcW w:w="1250" w:type="dxa"/>
            <w:shd w:val="clear" w:color="auto" w:fill="auto"/>
            <w:tcMar>
              <w:top w:w="80" w:type="dxa"/>
              <w:left w:w="100" w:type="dxa"/>
              <w:bottom w:w="80" w:type="dxa"/>
              <w:right w:w="100" w:type="dxa"/>
            </w:tcMar>
            <w:vAlign w:val="top"/>
          </w:tcPr>
          <w:p w14:paraId="623F5507">
            <w:pPr>
              <w:rPr>
                <w:color w:val="auto"/>
              </w:rPr>
            </w:pPr>
            <w:r>
              <w:rPr>
                <w:rFonts w:ascii="Calibri" w:hAnsi="Calibri" w:eastAsia="Calibri" w:cs="Calibri"/>
                <w:b/>
                <w:bCs/>
                <w:color w:val="auto"/>
                <w:sz w:val="17"/>
                <w:szCs w:val="17"/>
              </w:rPr>
              <w:t>Confidence</w:t>
            </w:r>
          </w:p>
        </w:tc>
      </w:tr>
      <w:tr w14:paraId="0ABE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Mar>
              <w:top w:w="80" w:type="dxa"/>
              <w:left w:w="100" w:type="dxa"/>
              <w:bottom w:w="80" w:type="dxa"/>
              <w:right w:w="100" w:type="dxa"/>
            </w:tcMar>
            <w:vAlign w:val="top"/>
          </w:tcPr>
          <w:p w14:paraId="4C01A7DA">
            <w:pPr>
              <w:rPr>
                <w:color w:val="auto"/>
              </w:rPr>
            </w:pPr>
            <w:r>
              <w:rPr>
                <w:rFonts w:ascii="Calibri" w:hAnsi="Calibri" w:eastAsia="Calibri" w:cs="Calibri"/>
                <w:b/>
                <w:bCs/>
                <w:color w:val="auto"/>
                <w:sz w:val="18"/>
                <w:szCs w:val="18"/>
              </w:rPr>
              <w:t>11</w:t>
            </w:r>
          </w:p>
        </w:tc>
        <w:tc>
          <w:tcPr>
            <w:tcW w:w="1400" w:type="dxa"/>
            <w:tcMar>
              <w:top w:w="80" w:type="dxa"/>
              <w:left w:w="100" w:type="dxa"/>
              <w:bottom w:w="80" w:type="dxa"/>
              <w:right w:w="100" w:type="dxa"/>
            </w:tcMar>
            <w:vAlign w:val="top"/>
          </w:tcPr>
          <w:p w14:paraId="63FF21AB">
            <w:pPr>
              <w:rPr>
                <w:color w:val="auto"/>
              </w:rPr>
            </w:pPr>
            <w:r>
              <w:rPr>
                <w:rFonts w:ascii="Calibri" w:hAnsi="Calibri" w:eastAsia="Calibri" w:cs="Calibri"/>
                <w:b w:val="0"/>
                <w:bCs w:val="0"/>
                <w:color w:val="auto"/>
                <w:sz w:val="18"/>
                <w:szCs w:val="18"/>
              </w:rPr>
              <w:t>Mar 8 14:35:46 – 14:38:38 (capture-relative start ~327.98s, duration 171.9s)</w:t>
            </w:r>
          </w:p>
        </w:tc>
        <w:tc>
          <w:tcPr>
            <w:tcW w:w="1000" w:type="dxa"/>
            <w:tcMar>
              <w:top w:w="80" w:type="dxa"/>
              <w:left w:w="100" w:type="dxa"/>
              <w:bottom w:w="80" w:type="dxa"/>
              <w:right w:w="100" w:type="dxa"/>
            </w:tcMar>
            <w:vAlign w:val="top"/>
          </w:tcPr>
          <w:p w14:paraId="76FF127B">
            <w:pPr>
              <w:rPr>
                <w:color w:val="auto"/>
              </w:rPr>
            </w:pPr>
            <w:r>
              <w:rPr>
                <w:rFonts w:ascii="Calibri" w:hAnsi="Calibri" w:eastAsia="Calibri" w:cs="Calibri"/>
                <w:b w:val="0"/>
                <w:bCs w:val="0"/>
                <w:color w:val="auto"/>
                <w:sz w:val="18"/>
                <w:szCs w:val="18"/>
              </w:rPr>
              <w:t>Network_Packet_Capture.pcapng</w:t>
            </w:r>
          </w:p>
        </w:tc>
        <w:tc>
          <w:tcPr>
            <w:tcW w:w="1350" w:type="dxa"/>
            <w:tcMar>
              <w:top w:w="80" w:type="dxa"/>
              <w:left w:w="100" w:type="dxa"/>
              <w:bottom w:w="80" w:type="dxa"/>
              <w:right w:w="100" w:type="dxa"/>
            </w:tcMar>
            <w:vAlign w:val="top"/>
          </w:tcPr>
          <w:p w14:paraId="73F7DE58">
            <w:pPr>
              <w:rPr>
                <w:color w:val="auto"/>
              </w:rPr>
            </w:pPr>
            <w:r>
              <w:rPr>
                <w:rFonts w:ascii="Calibri" w:hAnsi="Calibri" w:eastAsia="Calibri" w:cs="Calibri"/>
                <w:b w:val="0"/>
                <w:bCs w:val="0"/>
                <w:color w:val="auto"/>
                <w:sz w:val="18"/>
                <w:szCs w:val="18"/>
              </w:rPr>
              <w:t>192.168.56.1 (Attacker A)</w:t>
            </w:r>
          </w:p>
        </w:tc>
        <w:tc>
          <w:tcPr>
            <w:tcW w:w="2350" w:type="dxa"/>
            <w:tcMar>
              <w:top w:w="80" w:type="dxa"/>
              <w:left w:w="100" w:type="dxa"/>
              <w:bottom w:w="80" w:type="dxa"/>
              <w:right w:w="100" w:type="dxa"/>
            </w:tcMar>
            <w:vAlign w:val="top"/>
          </w:tcPr>
          <w:p w14:paraId="7247EAB0">
            <w:pPr>
              <w:rPr>
                <w:color w:val="auto"/>
              </w:rPr>
            </w:pPr>
            <w:r>
              <w:rPr>
                <w:rFonts w:ascii="Calibri" w:hAnsi="Calibri" w:eastAsia="Calibri" w:cs="Calibri"/>
                <w:b w:val="0"/>
                <w:bCs w:val="0"/>
                <w:color w:val="auto"/>
                <w:sz w:val="17"/>
                <w:szCs w:val="17"/>
              </w:rPr>
              <w:t>Wireshark TCP conversation stream 25, 192.168.56.1:53248 → 192.168.56.102:23 — 5,335 packets, ~4MB transferred. The next-largest TELNET stream in the entire capture is 352 packets; this session is roughly 15x larger than any other TELNET connection observed.</w:t>
            </w:r>
          </w:p>
        </w:tc>
        <w:tc>
          <w:tcPr>
            <w:tcW w:w="1560" w:type="dxa"/>
            <w:tcMar>
              <w:top w:w="80" w:type="dxa"/>
              <w:left w:w="100" w:type="dxa"/>
              <w:bottom w:w="80" w:type="dxa"/>
              <w:right w:w="100" w:type="dxa"/>
            </w:tcMar>
            <w:vAlign w:val="top"/>
          </w:tcPr>
          <w:p w14:paraId="761F2136">
            <w:pPr>
              <w:rPr>
                <w:color w:val="auto"/>
              </w:rPr>
            </w:pPr>
            <w:r>
              <w:rPr>
                <w:rFonts w:ascii="Calibri" w:hAnsi="Calibri" w:eastAsia="Calibri" w:cs="Calibri"/>
                <w:b w:val="0"/>
                <w:bCs w:val="0"/>
                <w:color w:val="auto"/>
                <w:sz w:val="17"/>
                <w:szCs w:val="17"/>
              </w:rPr>
              <w:t>auth.log's login[2388] session-open (14:35:56) and session-close (14:38:38) events; syslog's in.telnetd[2387] connect event ten seconds before the session opens; kern.log's final DPT=23 packet, also at 14:38:38.</w:t>
            </w:r>
          </w:p>
        </w:tc>
        <w:tc>
          <w:tcPr>
            <w:tcW w:w="1250" w:type="dxa"/>
            <w:tcMar>
              <w:top w:w="80" w:type="dxa"/>
              <w:left w:w="100" w:type="dxa"/>
              <w:bottom w:w="80" w:type="dxa"/>
              <w:right w:w="100" w:type="dxa"/>
            </w:tcMar>
            <w:vAlign w:val="top"/>
          </w:tcPr>
          <w:p w14:paraId="1641AC67">
            <w:pPr>
              <w:rPr>
                <w:color w:val="auto"/>
              </w:rPr>
            </w:pPr>
            <w:r>
              <w:rPr>
                <w:rFonts w:ascii="Calibri" w:hAnsi="Calibri" w:eastAsia="Calibri" w:cs="Calibri"/>
                <w:b/>
                <w:bCs/>
                <w:color w:val="auto"/>
                <w:sz w:val="18"/>
                <w:szCs w:val="18"/>
              </w:rPr>
              <w:t>H</w:t>
            </w:r>
          </w:p>
        </w:tc>
      </w:tr>
    </w:tbl>
    <w:p w14:paraId="7544C8E0">
      <w:pPr>
        <w:spacing w:before="100" w:after="200"/>
        <w:rPr>
          <w:color w:val="auto"/>
        </w:rPr>
      </w:pPr>
      <w:r>
        <w:rPr>
          <w:rFonts w:ascii="Calibri" w:hAnsi="Calibri" w:eastAsia="Calibri" w:cs="Calibri"/>
          <w:i/>
          <w:iCs/>
          <w:color w:val="auto"/>
          <w:sz w:val="20"/>
          <w:szCs w:val="20"/>
        </w:rPr>
        <w:t>This is the packet-level confirmation behind the revised Row 5. A 4MB, 5,335-packet TELNET session lasting nearly three minutes is consistent with an interactive shell session, not a simple login-and-disconnect — supporting the client's report that files were accessed and went missing during this window. This row was added after the initial D1 draft, once the packet capture had been reviewed directly in Wireshark; it illustrates why the mission brief requires corroboration across all five files, not the four text logs alone.</w:t>
      </w:r>
    </w:p>
    <w:p w14:paraId="6144A3D2">
      <w:pPr>
        <w:rPr>
          <w:color w:val="auto"/>
        </w:rPr>
      </w:pPr>
      <w:r>
        <w:rPr>
          <w:color w:val="auto"/>
        </w:rPr>
        <w:br w:type="page"/>
      </w:r>
    </w:p>
    <w:p w14:paraId="46D4468C">
      <w:pPr>
        <w:pStyle w:val="2"/>
        <w:spacing w:before="240" w:after="120"/>
        <w:rPr>
          <w:color w:val="auto"/>
        </w:rPr>
      </w:pPr>
      <w:r>
        <w:rPr>
          <w:rFonts w:ascii="Calibri" w:hAnsi="Calibri" w:eastAsia="Calibri" w:cs="Calibri"/>
          <w:b/>
          <w:bCs/>
          <w:color w:val="auto"/>
        </w:rPr>
        <w:t>ATTACK TIMELINE</w:t>
      </w:r>
    </w:p>
    <w:p w14:paraId="6DFDA1D0">
      <w:pPr>
        <w:spacing w:after="120"/>
        <w:rPr>
          <w:color w:val="auto"/>
        </w:rPr>
      </w:pPr>
      <w:r>
        <w:rPr>
          <w:rFonts w:ascii="Calibri" w:hAnsi="Calibri" w:eastAsia="Calibri" w:cs="Calibri"/>
          <w:b w:val="0"/>
          <w:bCs w:val="0"/>
          <w:i w:val="0"/>
          <w:iCs w:val="0"/>
          <w:color w:val="auto"/>
        </w:rPr>
        <w:t>Chronological reconstruction spanning both days.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00"/>
        <w:gridCol w:w="2000"/>
        <w:gridCol w:w="1500"/>
        <w:gridCol w:w="1600"/>
        <w:gridCol w:w="2560"/>
      </w:tblGrid>
      <w:tr w14:paraId="6082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auto"/>
            <w:tcMar>
              <w:top w:w="80" w:type="dxa"/>
              <w:left w:w="100" w:type="dxa"/>
              <w:bottom w:w="80" w:type="dxa"/>
              <w:right w:w="100" w:type="dxa"/>
            </w:tcMar>
            <w:vAlign w:val="top"/>
          </w:tcPr>
          <w:p w14:paraId="4A2734F4">
            <w:pPr>
              <w:rPr>
                <w:color w:val="auto"/>
              </w:rPr>
            </w:pPr>
            <w:r>
              <w:rPr>
                <w:rFonts w:ascii="Calibri" w:hAnsi="Calibri" w:eastAsia="Calibri" w:cs="Calibri"/>
                <w:b/>
                <w:bCs/>
                <w:color w:val="auto"/>
                <w:sz w:val="17"/>
                <w:szCs w:val="17"/>
              </w:rPr>
              <w:t>Time / Phase</w:t>
            </w:r>
          </w:p>
        </w:tc>
        <w:tc>
          <w:tcPr>
            <w:tcW w:w="2000" w:type="dxa"/>
            <w:shd w:val="clear" w:color="auto" w:fill="auto"/>
            <w:tcMar>
              <w:top w:w="80" w:type="dxa"/>
              <w:left w:w="100" w:type="dxa"/>
              <w:bottom w:w="80" w:type="dxa"/>
              <w:right w:w="100" w:type="dxa"/>
            </w:tcMar>
            <w:vAlign w:val="top"/>
          </w:tcPr>
          <w:p w14:paraId="43E13C5B">
            <w:pPr>
              <w:rPr>
                <w:color w:val="auto"/>
              </w:rPr>
            </w:pPr>
            <w:r>
              <w:rPr>
                <w:rFonts w:ascii="Calibri" w:hAnsi="Calibri" w:eastAsia="Calibri" w:cs="Calibri"/>
                <w:b/>
                <w:bCs/>
                <w:color w:val="auto"/>
                <w:sz w:val="17"/>
                <w:szCs w:val="17"/>
              </w:rPr>
              <w:t>Actor</w:t>
            </w:r>
          </w:p>
        </w:tc>
        <w:tc>
          <w:tcPr>
            <w:tcW w:w="1500" w:type="dxa"/>
            <w:shd w:val="clear" w:color="auto" w:fill="auto"/>
            <w:tcMar>
              <w:top w:w="80" w:type="dxa"/>
              <w:left w:w="100" w:type="dxa"/>
              <w:bottom w:w="80" w:type="dxa"/>
              <w:right w:w="100" w:type="dxa"/>
            </w:tcMar>
            <w:vAlign w:val="top"/>
          </w:tcPr>
          <w:p w14:paraId="13AA622D">
            <w:pPr>
              <w:rPr>
                <w:color w:val="auto"/>
              </w:rPr>
            </w:pPr>
            <w:r>
              <w:rPr>
                <w:rFonts w:ascii="Calibri" w:hAnsi="Calibri" w:eastAsia="Calibri" w:cs="Calibri"/>
                <w:b/>
                <w:bCs/>
                <w:color w:val="auto"/>
                <w:sz w:val="17"/>
                <w:szCs w:val="17"/>
              </w:rPr>
              <w:t>Log Source</w:t>
            </w:r>
          </w:p>
        </w:tc>
        <w:tc>
          <w:tcPr>
            <w:tcW w:w="1600" w:type="dxa"/>
            <w:shd w:val="clear" w:color="auto" w:fill="auto"/>
            <w:tcMar>
              <w:top w:w="80" w:type="dxa"/>
              <w:left w:w="100" w:type="dxa"/>
              <w:bottom w:w="80" w:type="dxa"/>
              <w:right w:w="100" w:type="dxa"/>
            </w:tcMar>
            <w:vAlign w:val="top"/>
          </w:tcPr>
          <w:p w14:paraId="1AE61AD6">
            <w:pPr>
              <w:rPr>
                <w:color w:val="auto"/>
              </w:rPr>
            </w:pPr>
            <w:r>
              <w:rPr>
                <w:rFonts w:ascii="Calibri" w:hAnsi="Calibri" w:eastAsia="Calibri" w:cs="Calibri"/>
                <w:b/>
                <w:bCs/>
                <w:color w:val="auto"/>
                <w:sz w:val="17"/>
                <w:szCs w:val="17"/>
              </w:rPr>
              <w:t>Kill-Chain-Adjacent Label</w:t>
            </w:r>
          </w:p>
        </w:tc>
        <w:tc>
          <w:tcPr>
            <w:tcW w:w="2560" w:type="dxa"/>
            <w:shd w:val="clear" w:color="auto" w:fill="auto"/>
            <w:tcMar>
              <w:top w:w="80" w:type="dxa"/>
              <w:left w:w="100" w:type="dxa"/>
              <w:bottom w:w="80" w:type="dxa"/>
              <w:right w:w="100" w:type="dxa"/>
            </w:tcMar>
            <w:vAlign w:val="top"/>
          </w:tcPr>
          <w:p w14:paraId="2E300C4A">
            <w:pPr>
              <w:rPr>
                <w:color w:val="auto"/>
              </w:rPr>
            </w:pPr>
            <w:r>
              <w:rPr>
                <w:rFonts w:ascii="Calibri" w:hAnsi="Calibri" w:eastAsia="Calibri" w:cs="Calibri"/>
                <w:b/>
                <w:bCs/>
                <w:color w:val="auto"/>
                <w:sz w:val="17"/>
                <w:szCs w:val="17"/>
              </w:rPr>
              <w:t>Description</w:t>
            </w:r>
          </w:p>
        </w:tc>
      </w:tr>
      <w:tr w14:paraId="4B54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5041202E">
            <w:pPr>
              <w:rPr>
                <w:color w:val="auto"/>
              </w:rPr>
            </w:pPr>
            <w:r>
              <w:rPr>
                <w:rFonts w:ascii="Calibri" w:hAnsi="Calibri" w:eastAsia="Calibri" w:cs="Calibri"/>
                <w:b w:val="0"/>
                <w:bCs w:val="0"/>
                <w:color w:val="auto"/>
                <w:sz w:val="16"/>
                <w:szCs w:val="16"/>
              </w:rPr>
              <w:t>Mar 7, 15:56:43–17:09:46</w:t>
            </w:r>
          </w:p>
        </w:tc>
        <w:tc>
          <w:tcPr>
            <w:tcW w:w="2000" w:type="dxa"/>
            <w:shd w:val="clear" w:color="auto" w:fill="auto"/>
            <w:tcMar>
              <w:top w:w="80" w:type="dxa"/>
              <w:left w:w="100" w:type="dxa"/>
              <w:bottom w:w="80" w:type="dxa"/>
              <w:right w:w="100" w:type="dxa"/>
            </w:tcMar>
            <w:vAlign w:val="top"/>
          </w:tcPr>
          <w:p w14:paraId="16677B9D">
            <w:pPr>
              <w:rPr>
                <w:color w:val="auto"/>
              </w:rPr>
            </w:pPr>
            <w:r>
              <w:rPr>
                <w:rFonts w:ascii="Calibri" w:hAnsi="Calibri" w:eastAsia="Calibri" w:cs="Calibri"/>
                <w:b w:val="0"/>
                <w:bCs w:val="0"/>
                <w:color w:val="auto"/>
                <w:sz w:val="16"/>
                <w:szCs w:val="16"/>
              </w:rPr>
              <w:t>Attacker A (192.168.56.1)</w:t>
            </w:r>
          </w:p>
        </w:tc>
        <w:tc>
          <w:tcPr>
            <w:tcW w:w="1500" w:type="dxa"/>
            <w:shd w:val="clear" w:color="auto" w:fill="auto"/>
            <w:tcMar>
              <w:top w:w="80" w:type="dxa"/>
              <w:left w:w="100" w:type="dxa"/>
              <w:bottom w:w="80" w:type="dxa"/>
              <w:right w:w="100" w:type="dxa"/>
            </w:tcMar>
            <w:vAlign w:val="top"/>
          </w:tcPr>
          <w:p w14:paraId="203DDAE4">
            <w:pPr>
              <w:rPr>
                <w:color w:val="auto"/>
              </w:rPr>
            </w:pPr>
            <w:r>
              <w:rPr>
                <w:rFonts w:ascii="Calibri" w:hAnsi="Calibri" w:eastAsia="Calibri" w:cs="Calibri"/>
                <w:b w:val="0"/>
                <w:bCs w:val="0"/>
                <w:color w:val="auto"/>
                <w:sz w:val="16"/>
                <w:szCs w:val="16"/>
              </w:rPr>
              <w:t>suricatalogs.log</w:t>
            </w:r>
          </w:p>
        </w:tc>
        <w:tc>
          <w:tcPr>
            <w:tcW w:w="1600" w:type="dxa"/>
            <w:shd w:val="clear" w:color="auto" w:fill="auto"/>
            <w:tcMar>
              <w:top w:w="80" w:type="dxa"/>
              <w:left w:w="100" w:type="dxa"/>
              <w:bottom w:w="80" w:type="dxa"/>
              <w:right w:w="100" w:type="dxa"/>
            </w:tcMar>
            <w:vAlign w:val="top"/>
          </w:tcPr>
          <w:p w14:paraId="253E036C">
            <w:pPr>
              <w:rPr>
                <w:color w:val="auto"/>
              </w:rPr>
            </w:pPr>
            <w:r>
              <w:rPr>
                <w:rFonts w:ascii="Calibri" w:hAnsi="Calibri" w:eastAsia="Calibri" w:cs="Calibri"/>
                <w:b w:val="0"/>
                <w:bCs w:val="0"/>
                <w:color w:val="auto"/>
                <w:sz w:val="16"/>
                <w:szCs w:val="16"/>
              </w:rPr>
              <w:t>Reconnaissance</w:t>
            </w:r>
          </w:p>
        </w:tc>
        <w:tc>
          <w:tcPr>
            <w:tcW w:w="2560" w:type="dxa"/>
            <w:shd w:val="clear" w:color="auto" w:fill="auto"/>
            <w:tcMar>
              <w:top w:w="80" w:type="dxa"/>
              <w:left w:w="100" w:type="dxa"/>
              <w:bottom w:w="80" w:type="dxa"/>
              <w:right w:w="100" w:type="dxa"/>
            </w:tcMar>
            <w:vAlign w:val="top"/>
          </w:tcPr>
          <w:p w14:paraId="7F29084B">
            <w:pPr>
              <w:rPr>
                <w:color w:val="auto"/>
              </w:rPr>
            </w:pPr>
            <w:r>
              <w:rPr>
                <w:rFonts w:ascii="Calibri" w:hAnsi="Calibri" w:eastAsia="Calibri" w:cs="Calibri"/>
                <w:b w:val="0"/>
                <w:bCs w:val="0"/>
                <w:color w:val="auto"/>
                <w:sz w:val="16"/>
                <w:szCs w:val="16"/>
              </w:rPr>
              <w:t>Repeated TELNET connection-attempt probes against port 23; no session accepted yet.</w:t>
            </w:r>
          </w:p>
        </w:tc>
      </w:tr>
      <w:tr w14:paraId="19E9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2EA9BF07">
            <w:pPr>
              <w:rPr>
                <w:color w:val="auto"/>
              </w:rPr>
            </w:pPr>
            <w:r>
              <w:rPr>
                <w:rFonts w:ascii="Calibri" w:hAnsi="Calibri" w:eastAsia="Calibri" w:cs="Calibri"/>
                <w:b w:val="0"/>
                <w:bCs w:val="0"/>
                <w:color w:val="auto"/>
                <w:sz w:val="16"/>
                <w:szCs w:val="16"/>
              </w:rPr>
              <w:t>Mar 7, 16:11:27–17:04:58</w:t>
            </w:r>
          </w:p>
        </w:tc>
        <w:tc>
          <w:tcPr>
            <w:tcW w:w="2000" w:type="dxa"/>
            <w:shd w:val="clear" w:color="auto" w:fill="auto"/>
            <w:tcMar>
              <w:top w:w="80" w:type="dxa"/>
              <w:left w:w="100" w:type="dxa"/>
              <w:bottom w:w="80" w:type="dxa"/>
              <w:right w:w="100" w:type="dxa"/>
            </w:tcMar>
            <w:vAlign w:val="top"/>
          </w:tcPr>
          <w:p w14:paraId="50928DD1">
            <w:pPr>
              <w:rPr>
                <w:color w:val="auto"/>
              </w:rPr>
            </w:pPr>
            <w:r>
              <w:rPr>
                <w:rFonts w:ascii="Calibri" w:hAnsi="Calibri" w:eastAsia="Calibri" w:cs="Calibri"/>
                <w:b w:val="0"/>
                <w:bCs w:val="0"/>
                <w:color w:val="auto"/>
                <w:sz w:val="16"/>
                <w:szCs w:val="16"/>
              </w:rPr>
              <w:t>Attacker A</w:t>
            </w:r>
          </w:p>
        </w:tc>
        <w:tc>
          <w:tcPr>
            <w:tcW w:w="1500" w:type="dxa"/>
            <w:shd w:val="clear" w:color="auto" w:fill="auto"/>
            <w:tcMar>
              <w:top w:w="80" w:type="dxa"/>
              <w:left w:w="100" w:type="dxa"/>
              <w:bottom w:w="80" w:type="dxa"/>
              <w:right w:w="100" w:type="dxa"/>
            </w:tcMar>
            <w:vAlign w:val="top"/>
          </w:tcPr>
          <w:p w14:paraId="7961EA32">
            <w:pPr>
              <w:rPr>
                <w:color w:val="auto"/>
              </w:rPr>
            </w:pPr>
            <w:r>
              <w:rPr>
                <w:rFonts w:ascii="Calibri" w:hAnsi="Calibri" w:eastAsia="Calibri" w:cs="Calibri"/>
                <w:b w:val="0"/>
                <w:bCs w:val="0"/>
                <w:color w:val="auto"/>
                <w:sz w:val="16"/>
                <w:szCs w:val="16"/>
              </w:rPr>
              <w:t>suricatalogs.log</w:t>
            </w:r>
          </w:p>
        </w:tc>
        <w:tc>
          <w:tcPr>
            <w:tcW w:w="1600" w:type="dxa"/>
            <w:shd w:val="clear" w:color="auto" w:fill="auto"/>
            <w:tcMar>
              <w:top w:w="80" w:type="dxa"/>
              <w:left w:w="100" w:type="dxa"/>
              <w:bottom w:w="80" w:type="dxa"/>
              <w:right w:w="100" w:type="dxa"/>
            </w:tcMar>
            <w:vAlign w:val="top"/>
          </w:tcPr>
          <w:p w14:paraId="2D646146">
            <w:pPr>
              <w:rPr>
                <w:color w:val="auto"/>
              </w:rPr>
            </w:pPr>
            <w:r>
              <w:rPr>
                <w:rFonts w:ascii="Calibri" w:hAnsi="Calibri" w:eastAsia="Calibri" w:cs="Calibri"/>
                <w:b w:val="0"/>
                <w:bCs w:val="0"/>
                <w:color w:val="auto"/>
                <w:sz w:val="16"/>
                <w:szCs w:val="16"/>
              </w:rPr>
              <w:t>Reconnaissance</w:t>
            </w:r>
          </w:p>
        </w:tc>
        <w:tc>
          <w:tcPr>
            <w:tcW w:w="2560" w:type="dxa"/>
            <w:shd w:val="clear" w:color="auto" w:fill="auto"/>
            <w:tcMar>
              <w:top w:w="80" w:type="dxa"/>
              <w:left w:w="100" w:type="dxa"/>
              <w:bottom w:w="80" w:type="dxa"/>
              <w:right w:w="100" w:type="dxa"/>
            </w:tcMar>
            <w:vAlign w:val="top"/>
          </w:tcPr>
          <w:p w14:paraId="740E7391">
            <w:pPr>
              <w:rPr>
                <w:color w:val="auto"/>
              </w:rPr>
            </w:pPr>
            <w:r>
              <w:rPr>
                <w:rFonts w:ascii="Calibri" w:hAnsi="Calibri" w:eastAsia="Calibri" w:cs="Calibri"/>
                <w:b w:val="0"/>
                <w:bCs w:val="0"/>
                <w:color w:val="auto"/>
                <w:sz w:val="16"/>
                <w:szCs w:val="16"/>
              </w:rPr>
              <w:t>ICMP host-liveness probing interspersed with the TELNET attempts.</w:t>
            </w:r>
          </w:p>
        </w:tc>
      </w:tr>
      <w:tr w14:paraId="0B9A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49B3575C">
            <w:pPr>
              <w:rPr>
                <w:color w:val="auto"/>
              </w:rPr>
            </w:pPr>
            <w:r>
              <w:rPr>
                <w:rFonts w:ascii="Calibri" w:hAnsi="Calibri" w:eastAsia="Calibri" w:cs="Calibri"/>
                <w:b w:val="0"/>
                <w:bCs w:val="0"/>
                <w:color w:val="auto"/>
                <w:sz w:val="16"/>
                <w:szCs w:val="16"/>
              </w:rPr>
              <w:t>Mar 7, 17:47:22–17:50:12</w:t>
            </w:r>
          </w:p>
        </w:tc>
        <w:tc>
          <w:tcPr>
            <w:tcW w:w="2000" w:type="dxa"/>
            <w:shd w:val="clear" w:color="auto" w:fill="auto"/>
            <w:tcMar>
              <w:top w:w="80" w:type="dxa"/>
              <w:left w:w="100" w:type="dxa"/>
              <w:bottom w:w="80" w:type="dxa"/>
              <w:right w:w="100" w:type="dxa"/>
            </w:tcMar>
            <w:vAlign w:val="top"/>
          </w:tcPr>
          <w:p w14:paraId="1A4E5873">
            <w:pPr>
              <w:rPr>
                <w:color w:val="auto"/>
              </w:rPr>
            </w:pPr>
            <w:r>
              <w:rPr>
                <w:rFonts w:ascii="Calibri" w:hAnsi="Calibri" w:eastAsia="Calibri" w:cs="Calibri"/>
                <w:b w:val="0"/>
                <w:bCs w:val="0"/>
                <w:color w:val="auto"/>
                <w:sz w:val="16"/>
                <w:szCs w:val="16"/>
              </w:rPr>
              <w:t>Admin / system</w:t>
            </w:r>
          </w:p>
        </w:tc>
        <w:tc>
          <w:tcPr>
            <w:tcW w:w="1500" w:type="dxa"/>
            <w:shd w:val="clear" w:color="auto" w:fill="auto"/>
            <w:tcMar>
              <w:top w:w="80" w:type="dxa"/>
              <w:left w:w="100" w:type="dxa"/>
              <w:bottom w:w="80" w:type="dxa"/>
              <w:right w:w="100" w:type="dxa"/>
            </w:tcMar>
            <w:vAlign w:val="top"/>
          </w:tcPr>
          <w:p w14:paraId="195D90E8">
            <w:pPr>
              <w:rPr>
                <w:color w:val="auto"/>
              </w:rPr>
            </w:pPr>
            <w:r>
              <w:rPr>
                <w:rFonts w:ascii="Calibri" w:hAnsi="Calibri" w:eastAsia="Calibri" w:cs="Calibri"/>
                <w:b w:val="0"/>
                <w:bCs w:val="0"/>
                <w:color w:val="auto"/>
                <w:sz w:val="16"/>
                <w:szCs w:val="16"/>
              </w:rPr>
              <w:t>auth.log, kern.log</w:t>
            </w:r>
          </w:p>
        </w:tc>
        <w:tc>
          <w:tcPr>
            <w:tcW w:w="1600" w:type="dxa"/>
            <w:shd w:val="clear" w:color="auto" w:fill="auto"/>
            <w:tcMar>
              <w:top w:w="80" w:type="dxa"/>
              <w:left w:w="100" w:type="dxa"/>
              <w:bottom w:w="80" w:type="dxa"/>
              <w:right w:w="100" w:type="dxa"/>
            </w:tcMar>
            <w:vAlign w:val="top"/>
          </w:tcPr>
          <w:p w14:paraId="2918B6A6">
            <w:pPr>
              <w:rPr>
                <w:color w:val="auto"/>
              </w:rPr>
            </w:pPr>
            <w:r>
              <w:rPr>
                <w:rFonts w:ascii="Calibri" w:hAnsi="Calibri" w:eastAsia="Calibri" w:cs="Calibri"/>
                <w:b w:val="0"/>
                <w:bCs w:val="0"/>
                <w:color w:val="auto"/>
                <w:sz w:val="16"/>
                <w:szCs w:val="16"/>
              </w:rPr>
              <w:t>Environment shutdown</w:t>
            </w:r>
          </w:p>
        </w:tc>
        <w:tc>
          <w:tcPr>
            <w:tcW w:w="2560" w:type="dxa"/>
            <w:shd w:val="clear" w:color="auto" w:fill="auto"/>
            <w:tcMar>
              <w:top w:w="80" w:type="dxa"/>
              <w:left w:w="100" w:type="dxa"/>
              <w:bottom w:w="80" w:type="dxa"/>
              <w:right w:w="100" w:type="dxa"/>
            </w:tcMar>
            <w:vAlign w:val="top"/>
          </w:tcPr>
          <w:p w14:paraId="43E00C39">
            <w:pPr>
              <w:rPr>
                <w:color w:val="auto"/>
              </w:rPr>
            </w:pPr>
            <w:r>
              <w:rPr>
                <w:rFonts w:ascii="Calibri" w:hAnsi="Calibri" w:eastAsia="Calibri" w:cs="Calibri"/>
                <w:b w:val="0"/>
                <w:bCs w:val="0"/>
                <w:color w:val="auto"/>
                <w:sz w:val="16"/>
                <w:szCs w:val="16"/>
              </w:rPr>
              <w:t>Admin sudo session closes and the server powers down, ending the day-1 window.</w:t>
            </w:r>
          </w:p>
        </w:tc>
      </w:tr>
      <w:tr w14:paraId="775C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3455C2EB">
            <w:pPr>
              <w:rPr>
                <w:color w:val="auto"/>
              </w:rPr>
            </w:pPr>
            <w:r>
              <w:rPr>
                <w:rFonts w:ascii="Calibri" w:hAnsi="Calibri" w:eastAsia="Calibri" w:cs="Calibri"/>
                <w:b w:val="0"/>
                <w:bCs w:val="0"/>
                <w:color w:val="auto"/>
                <w:sz w:val="16"/>
                <w:szCs w:val="16"/>
              </w:rPr>
              <w:t>Mar 8, 14:20:38–14:22:00</w:t>
            </w:r>
          </w:p>
        </w:tc>
        <w:tc>
          <w:tcPr>
            <w:tcW w:w="2000" w:type="dxa"/>
            <w:shd w:val="clear" w:color="auto" w:fill="auto"/>
            <w:tcMar>
              <w:top w:w="80" w:type="dxa"/>
              <w:left w:w="100" w:type="dxa"/>
              <w:bottom w:w="80" w:type="dxa"/>
              <w:right w:w="100" w:type="dxa"/>
            </w:tcMar>
            <w:vAlign w:val="top"/>
          </w:tcPr>
          <w:p w14:paraId="3175E2E3">
            <w:pPr>
              <w:rPr>
                <w:color w:val="auto"/>
              </w:rPr>
            </w:pPr>
            <w:r>
              <w:rPr>
                <w:rFonts w:ascii="Calibri" w:hAnsi="Calibri" w:eastAsia="Calibri" w:cs="Calibri"/>
                <w:b w:val="0"/>
                <w:bCs w:val="0"/>
                <w:color w:val="auto"/>
                <w:sz w:val="16"/>
                <w:szCs w:val="16"/>
              </w:rPr>
              <w:t>System / Admin</w:t>
            </w:r>
          </w:p>
        </w:tc>
        <w:tc>
          <w:tcPr>
            <w:tcW w:w="1500" w:type="dxa"/>
            <w:shd w:val="clear" w:color="auto" w:fill="auto"/>
            <w:tcMar>
              <w:top w:w="80" w:type="dxa"/>
              <w:left w:w="100" w:type="dxa"/>
              <w:bottom w:w="80" w:type="dxa"/>
              <w:right w:w="100" w:type="dxa"/>
            </w:tcMar>
            <w:vAlign w:val="top"/>
          </w:tcPr>
          <w:p w14:paraId="2B318E3A">
            <w:pPr>
              <w:rPr>
                <w:color w:val="auto"/>
              </w:rPr>
            </w:pPr>
            <w:r>
              <w:rPr>
                <w:rFonts w:ascii="Calibri" w:hAnsi="Calibri" w:eastAsia="Calibri" w:cs="Calibri"/>
                <w:b w:val="0"/>
                <w:bCs w:val="0"/>
                <w:color w:val="auto"/>
                <w:sz w:val="16"/>
                <w:szCs w:val="16"/>
              </w:rPr>
              <w:t>syslog, auth.log</w:t>
            </w:r>
          </w:p>
        </w:tc>
        <w:tc>
          <w:tcPr>
            <w:tcW w:w="1600" w:type="dxa"/>
            <w:shd w:val="clear" w:color="auto" w:fill="auto"/>
            <w:tcMar>
              <w:top w:w="80" w:type="dxa"/>
              <w:left w:w="100" w:type="dxa"/>
              <w:bottom w:w="80" w:type="dxa"/>
              <w:right w:w="100" w:type="dxa"/>
            </w:tcMar>
            <w:vAlign w:val="top"/>
          </w:tcPr>
          <w:p w14:paraId="4E9AFFA9">
            <w:pPr>
              <w:rPr>
                <w:color w:val="auto"/>
              </w:rPr>
            </w:pPr>
            <w:r>
              <w:rPr>
                <w:rFonts w:ascii="Calibri" w:hAnsi="Calibri" w:eastAsia="Calibri" w:cs="Calibri"/>
                <w:b w:val="0"/>
                <w:bCs w:val="0"/>
                <w:color w:val="auto"/>
                <w:sz w:val="16"/>
                <w:szCs w:val="16"/>
              </w:rPr>
              <w:t>Environment reset</w:t>
            </w:r>
          </w:p>
        </w:tc>
        <w:tc>
          <w:tcPr>
            <w:tcW w:w="2560" w:type="dxa"/>
            <w:shd w:val="clear" w:color="auto" w:fill="auto"/>
            <w:tcMar>
              <w:top w:w="80" w:type="dxa"/>
              <w:left w:w="100" w:type="dxa"/>
              <w:bottom w:w="80" w:type="dxa"/>
              <w:right w:w="100" w:type="dxa"/>
            </w:tcMar>
            <w:vAlign w:val="top"/>
          </w:tcPr>
          <w:p w14:paraId="2C2EE737">
            <w:pPr>
              <w:rPr>
                <w:color w:val="auto"/>
              </w:rPr>
            </w:pPr>
            <w:r>
              <w:rPr>
                <w:rFonts w:ascii="Calibri" w:hAnsi="Calibri" w:eastAsia="Calibri" w:cs="Calibri"/>
                <w:b w:val="0"/>
                <w:bCs w:val="0"/>
                <w:color w:val="auto"/>
                <w:sz w:val="16"/>
                <w:szCs w:val="16"/>
              </w:rPr>
              <w:t>Server reboots; Suricata IDS starts (14:20:41); admin logs in via GDM.</w:t>
            </w:r>
          </w:p>
        </w:tc>
      </w:tr>
      <w:tr w14:paraId="6664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1FDAD200">
            <w:pPr>
              <w:rPr>
                <w:color w:val="auto"/>
              </w:rPr>
            </w:pPr>
            <w:r>
              <w:rPr>
                <w:rFonts w:ascii="Calibri" w:hAnsi="Calibri" w:eastAsia="Calibri" w:cs="Calibri"/>
                <w:b w:val="0"/>
                <w:bCs w:val="0"/>
                <w:color w:val="auto"/>
                <w:sz w:val="16"/>
                <w:szCs w:val="16"/>
              </w:rPr>
              <w:t>Mar 8, 14:24:26–14:29:06</w:t>
            </w:r>
          </w:p>
        </w:tc>
        <w:tc>
          <w:tcPr>
            <w:tcW w:w="2000" w:type="dxa"/>
            <w:shd w:val="clear" w:color="auto" w:fill="auto"/>
            <w:tcMar>
              <w:top w:w="80" w:type="dxa"/>
              <w:left w:w="100" w:type="dxa"/>
              <w:bottom w:w="80" w:type="dxa"/>
              <w:right w:w="100" w:type="dxa"/>
            </w:tcMar>
            <w:vAlign w:val="top"/>
          </w:tcPr>
          <w:p w14:paraId="1537FB0A">
            <w:pPr>
              <w:rPr>
                <w:color w:val="auto"/>
              </w:rPr>
            </w:pPr>
            <w:r>
              <w:rPr>
                <w:rFonts w:ascii="Calibri" w:hAnsi="Calibri" w:eastAsia="Calibri" w:cs="Calibri"/>
                <w:b w:val="0"/>
                <w:bCs w:val="0"/>
                <w:color w:val="auto"/>
                <w:sz w:val="16"/>
                <w:szCs w:val="16"/>
              </w:rPr>
              <w:t>Admin (frozen-yoghurt)</w:t>
            </w:r>
          </w:p>
        </w:tc>
        <w:tc>
          <w:tcPr>
            <w:tcW w:w="1500" w:type="dxa"/>
            <w:shd w:val="clear" w:color="auto" w:fill="auto"/>
            <w:tcMar>
              <w:top w:w="80" w:type="dxa"/>
              <w:left w:w="100" w:type="dxa"/>
              <w:bottom w:w="80" w:type="dxa"/>
              <w:right w:w="100" w:type="dxa"/>
            </w:tcMar>
            <w:vAlign w:val="top"/>
          </w:tcPr>
          <w:p w14:paraId="652C6CBE">
            <w:pPr>
              <w:rPr>
                <w:color w:val="auto"/>
              </w:rPr>
            </w:pPr>
            <w:r>
              <w:rPr>
                <w:rFonts w:ascii="Calibri" w:hAnsi="Calibri" w:eastAsia="Calibri" w:cs="Calibri"/>
                <w:b w:val="0"/>
                <w:bCs w:val="0"/>
                <w:color w:val="auto"/>
                <w:sz w:val="16"/>
                <w:szCs w:val="16"/>
              </w:rPr>
              <w:t>auth.log</w:t>
            </w:r>
          </w:p>
        </w:tc>
        <w:tc>
          <w:tcPr>
            <w:tcW w:w="1600" w:type="dxa"/>
            <w:shd w:val="clear" w:color="auto" w:fill="auto"/>
            <w:tcMar>
              <w:top w:w="80" w:type="dxa"/>
              <w:left w:w="100" w:type="dxa"/>
              <w:bottom w:w="80" w:type="dxa"/>
              <w:right w:w="100" w:type="dxa"/>
            </w:tcMar>
            <w:vAlign w:val="top"/>
          </w:tcPr>
          <w:p w14:paraId="606FBD8C">
            <w:pPr>
              <w:rPr>
                <w:color w:val="auto"/>
              </w:rPr>
            </w:pPr>
            <w:r>
              <w:rPr>
                <w:rFonts w:ascii="Calibri" w:hAnsi="Calibri" w:eastAsia="Calibri" w:cs="Calibri"/>
                <w:b w:val="0"/>
                <w:bCs w:val="0"/>
                <w:color w:val="auto"/>
                <w:sz w:val="16"/>
                <w:szCs w:val="16"/>
              </w:rPr>
              <w:t>Defensive investigation</w:t>
            </w:r>
          </w:p>
        </w:tc>
        <w:tc>
          <w:tcPr>
            <w:tcW w:w="2560" w:type="dxa"/>
            <w:shd w:val="clear" w:color="auto" w:fill="auto"/>
            <w:tcMar>
              <w:top w:w="80" w:type="dxa"/>
              <w:left w:w="100" w:type="dxa"/>
              <w:bottom w:w="80" w:type="dxa"/>
              <w:right w:w="100" w:type="dxa"/>
            </w:tcMar>
            <w:vAlign w:val="top"/>
          </w:tcPr>
          <w:p w14:paraId="5F6A7D89">
            <w:pPr>
              <w:rPr>
                <w:color w:val="auto"/>
              </w:rPr>
            </w:pPr>
            <w:r>
              <w:rPr>
                <w:rFonts w:ascii="Calibri" w:hAnsi="Calibri" w:eastAsia="Calibri" w:cs="Calibri"/>
                <w:b w:val="0"/>
                <w:bCs w:val="0"/>
                <w:color w:val="auto"/>
                <w:sz w:val="16"/>
                <w:szCs w:val="16"/>
              </w:rPr>
              <w:t>Admin checks Suricata status, reviews/modifies iptables, brings up vboxnet0 (14:25:55).</w:t>
            </w:r>
          </w:p>
        </w:tc>
      </w:tr>
      <w:tr w14:paraId="626E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18D34A13">
            <w:pPr>
              <w:rPr>
                <w:color w:val="auto"/>
              </w:rPr>
            </w:pPr>
            <w:r>
              <w:rPr>
                <w:rFonts w:ascii="Calibri" w:hAnsi="Calibri" w:eastAsia="Calibri" w:cs="Calibri"/>
                <w:b w:val="0"/>
                <w:bCs w:val="0"/>
                <w:color w:val="auto"/>
                <w:sz w:val="16"/>
                <w:szCs w:val="16"/>
              </w:rPr>
              <w:t>Mar 8, 14:28:27–14:32:24</w:t>
            </w:r>
          </w:p>
        </w:tc>
        <w:tc>
          <w:tcPr>
            <w:tcW w:w="2000" w:type="dxa"/>
            <w:shd w:val="clear" w:color="auto" w:fill="auto"/>
            <w:tcMar>
              <w:top w:w="80" w:type="dxa"/>
              <w:left w:w="100" w:type="dxa"/>
              <w:bottom w:w="80" w:type="dxa"/>
              <w:right w:w="100" w:type="dxa"/>
            </w:tcMar>
            <w:vAlign w:val="top"/>
          </w:tcPr>
          <w:p w14:paraId="07224B08">
            <w:pPr>
              <w:rPr>
                <w:color w:val="auto"/>
              </w:rPr>
            </w:pPr>
            <w:r>
              <w:rPr>
                <w:rFonts w:ascii="Calibri" w:hAnsi="Calibri" w:eastAsia="Calibri" w:cs="Calibri"/>
                <w:b w:val="0"/>
                <w:bCs w:val="0"/>
                <w:color w:val="auto"/>
                <w:sz w:val="16"/>
                <w:szCs w:val="16"/>
              </w:rPr>
              <w:t>Attacker A</w:t>
            </w:r>
          </w:p>
        </w:tc>
        <w:tc>
          <w:tcPr>
            <w:tcW w:w="1500" w:type="dxa"/>
            <w:shd w:val="clear" w:color="auto" w:fill="auto"/>
            <w:tcMar>
              <w:top w:w="80" w:type="dxa"/>
              <w:left w:w="100" w:type="dxa"/>
              <w:bottom w:w="80" w:type="dxa"/>
              <w:right w:w="100" w:type="dxa"/>
            </w:tcMar>
            <w:vAlign w:val="top"/>
          </w:tcPr>
          <w:p w14:paraId="78953474">
            <w:pPr>
              <w:rPr>
                <w:color w:val="auto"/>
              </w:rPr>
            </w:pPr>
            <w:r>
              <w:rPr>
                <w:rFonts w:ascii="Calibri" w:hAnsi="Calibri" w:eastAsia="Calibri" w:cs="Calibri"/>
                <w:b w:val="0"/>
                <w:bCs w:val="0"/>
                <w:color w:val="auto"/>
                <w:sz w:val="16"/>
                <w:szCs w:val="16"/>
              </w:rPr>
              <w:t>suricatalogs.log, kern.log</w:t>
            </w:r>
          </w:p>
        </w:tc>
        <w:tc>
          <w:tcPr>
            <w:tcW w:w="1600" w:type="dxa"/>
            <w:shd w:val="clear" w:color="auto" w:fill="auto"/>
            <w:tcMar>
              <w:top w:w="80" w:type="dxa"/>
              <w:left w:w="100" w:type="dxa"/>
              <w:bottom w:w="80" w:type="dxa"/>
              <w:right w:w="100" w:type="dxa"/>
            </w:tcMar>
            <w:vAlign w:val="top"/>
          </w:tcPr>
          <w:p w14:paraId="7F667CAF">
            <w:pPr>
              <w:rPr>
                <w:color w:val="auto"/>
              </w:rPr>
            </w:pPr>
            <w:r>
              <w:rPr>
                <w:rFonts w:ascii="Calibri" w:hAnsi="Calibri" w:eastAsia="Calibri" w:cs="Calibri"/>
                <w:b w:val="0"/>
                <w:bCs w:val="0"/>
                <w:color w:val="auto"/>
                <w:sz w:val="16"/>
                <w:szCs w:val="16"/>
              </w:rPr>
              <w:t>Reconnaissance (renewed)</w:t>
            </w:r>
          </w:p>
        </w:tc>
        <w:tc>
          <w:tcPr>
            <w:tcW w:w="2560" w:type="dxa"/>
            <w:shd w:val="clear" w:color="auto" w:fill="auto"/>
            <w:tcMar>
              <w:top w:w="80" w:type="dxa"/>
              <w:left w:w="100" w:type="dxa"/>
              <w:bottom w:w="80" w:type="dxa"/>
              <w:right w:w="100" w:type="dxa"/>
            </w:tcMar>
            <w:vAlign w:val="top"/>
          </w:tcPr>
          <w:p w14:paraId="148E5735">
            <w:pPr>
              <w:rPr>
                <w:color w:val="auto"/>
              </w:rPr>
            </w:pPr>
            <w:r>
              <w:rPr>
                <w:rFonts w:ascii="Calibri" w:hAnsi="Calibri" w:eastAsia="Calibri" w:cs="Calibri"/>
                <w:b w:val="0"/>
                <w:bCs w:val="0"/>
                <w:color w:val="auto"/>
                <w:sz w:val="16"/>
                <w:szCs w:val="16"/>
              </w:rPr>
              <w:t>ICMP probing resumes immediately before the accepted TELNET session.</w:t>
            </w:r>
          </w:p>
        </w:tc>
      </w:tr>
      <w:tr w14:paraId="18B3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5AF6185A">
            <w:pPr>
              <w:rPr>
                <w:color w:val="auto"/>
              </w:rPr>
            </w:pPr>
            <w:r>
              <w:rPr>
                <w:rFonts w:ascii="Calibri" w:hAnsi="Calibri" w:eastAsia="Calibri" w:cs="Calibri"/>
                <w:b w:val="0"/>
                <w:bCs w:val="0"/>
                <w:color w:val="auto"/>
                <w:sz w:val="16"/>
                <w:szCs w:val="16"/>
              </w:rPr>
              <w:t>Mar 8, 14:32:45–14:38:38</w:t>
            </w:r>
          </w:p>
        </w:tc>
        <w:tc>
          <w:tcPr>
            <w:tcW w:w="2000" w:type="dxa"/>
            <w:shd w:val="clear" w:color="auto" w:fill="auto"/>
            <w:tcMar>
              <w:top w:w="80" w:type="dxa"/>
              <w:left w:w="100" w:type="dxa"/>
              <w:bottom w:w="80" w:type="dxa"/>
              <w:right w:w="100" w:type="dxa"/>
            </w:tcMar>
            <w:vAlign w:val="top"/>
          </w:tcPr>
          <w:p w14:paraId="675EDB92">
            <w:pPr>
              <w:rPr>
                <w:color w:val="auto"/>
              </w:rPr>
            </w:pPr>
            <w:r>
              <w:rPr>
                <w:rFonts w:ascii="Calibri" w:hAnsi="Calibri" w:eastAsia="Calibri" w:cs="Calibri"/>
                <w:b w:val="0"/>
                <w:bCs w:val="0"/>
                <w:color w:val="auto"/>
                <w:sz w:val="16"/>
                <w:szCs w:val="16"/>
              </w:rPr>
              <w:t>Attacker A</w:t>
            </w:r>
          </w:p>
        </w:tc>
        <w:tc>
          <w:tcPr>
            <w:tcW w:w="1500" w:type="dxa"/>
            <w:shd w:val="clear" w:color="auto" w:fill="auto"/>
            <w:tcMar>
              <w:top w:w="80" w:type="dxa"/>
              <w:left w:w="100" w:type="dxa"/>
              <w:bottom w:w="80" w:type="dxa"/>
              <w:right w:w="100" w:type="dxa"/>
            </w:tcMar>
            <w:vAlign w:val="top"/>
          </w:tcPr>
          <w:p w14:paraId="0276F228">
            <w:pPr>
              <w:rPr>
                <w:color w:val="auto"/>
              </w:rPr>
            </w:pPr>
            <w:r>
              <w:rPr>
                <w:rFonts w:ascii="Calibri" w:hAnsi="Calibri" w:eastAsia="Calibri" w:cs="Calibri"/>
                <w:b w:val="0"/>
                <w:bCs w:val="0"/>
                <w:color w:val="auto"/>
                <w:sz w:val="16"/>
                <w:szCs w:val="16"/>
              </w:rPr>
              <w:t>syslog, kern.log, suricatalogs.log</w:t>
            </w:r>
          </w:p>
        </w:tc>
        <w:tc>
          <w:tcPr>
            <w:tcW w:w="1600" w:type="dxa"/>
            <w:shd w:val="clear" w:color="auto" w:fill="auto"/>
            <w:tcMar>
              <w:top w:w="80" w:type="dxa"/>
              <w:left w:w="100" w:type="dxa"/>
              <w:bottom w:w="80" w:type="dxa"/>
              <w:right w:w="100" w:type="dxa"/>
            </w:tcMar>
            <w:vAlign w:val="top"/>
          </w:tcPr>
          <w:p w14:paraId="60A86515">
            <w:pPr>
              <w:rPr>
                <w:color w:val="auto"/>
              </w:rPr>
            </w:pPr>
            <w:r>
              <w:rPr>
                <w:rFonts w:ascii="Calibri" w:hAnsi="Calibri" w:eastAsia="Calibri" w:cs="Calibri"/>
                <w:b w:val="0"/>
                <w:bCs w:val="0"/>
                <w:color w:val="auto"/>
                <w:sz w:val="16"/>
                <w:szCs w:val="16"/>
              </w:rPr>
              <w:t>Initial access attempt (TELNET)</w:t>
            </w:r>
          </w:p>
        </w:tc>
        <w:tc>
          <w:tcPr>
            <w:tcW w:w="2560" w:type="dxa"/>
            <w:shd w:val="clear" w:color="auto" w:fill="auto"/>
            <w:tcMar>
              <w:top w:w="80" w:type="dxa"/>
              <w:left w:w="100" w:type="dxa"/>
              <w:bottom w:w="80" w:type="dxa"/>
              <w:right w:w="100" w:type="dxa"/>
            </w:tcMar>
            <w:vAlign w:val="top"/>
          </w:tcPr>
          <w:p w14:paraId="77D1EA0A">
            <w:pPr>
              <w:rPr>
                <w:color w:val="auto"/>
              </w:rPr>
            </w:pPr>
            <w:r>
              <w:rPr>
                <w:rFonts w:ascii="Calibri" w:hAnsi="Calibri" w:eastAsia="Calibri" w:cs="Calibri"/>
                <w:b w:val="0"/>
                <w:bCs w:val="0"/>
                <w:color w:val="auto"/>
                <w:sz w:val="16"/>
                <w:szCs w:val="16"/>
              </w:rPr>
              <w:t>TELNET daemon accepts multiple connections; the final one (14:35:46, port 53248) escalates into the confirmed breach (next row).</w:t>
            </w:r>
          </w:p>
        </w:tc>
      </w:tr>
      <w:tr w14:paraId="235B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6BCCAE32">
            <w:pPr>
              <w:rPr>
                <w:color w:val="auto"/>
              </w:rPr>
            </w:pPr>
            <w:r>
              <w:rPr>
                <w:rFonts w:ascii="Calibri" w:hAnsi="Calibri" w:eastAsia="Calibri" w:cs="Calibri"/>
                <w:b w:val="0"/>
                <w:bCs w:val="0"/>
                <w:color w:val="auto"/>
                <w:sz w:val="16"/>
                <w:szCs w:val="16"/>
              </w:rPr>
              <w:t>Mar 8, 14:32:50–14:35:12</w:t>
            </w:r>
          </w:p>
        </w:tc>
        <w:tc>
          <w:tcPr>
            <w:tcW w:w="2000" w:type="dxa"/>
            <w:shd w:val="clear" w:color="auto" w:fill="auto"/>
            <w:tcMar>
              <w:top w:w="80" w:type="dxa"/>
              <w:left w:w="100" w:type="dxa"/>
              <w:bottom w:w="80" w:type="dxa"/>
              <w:right w:w="100" w:type="dxa"/>
            </w:tcMar>
            <w:vAlign w:val="top"/>
          </w:tcPr>
          <w:p w14:paraId="0258ECE5">
            <w:pPr>
              <w:rPr>
                <w:color w:val="auto"/>
              </w:rPr>
            </w:pPr>
            <w:r>
              <w:rPr>
                <w:rFonts w:ascii="Calibri" w:hAnsi="Calibri" w:eastAsia="Calibri" w:cs="Calibri"/>
                <w:b w:val="0"/>
                <w:bCs w:val="0"/>
                <w:color w:val="auto"/>
                <w:sz w:val="16"/>
                <w:szCs w:val="16"/>
              </w:rPr>
              <w:t>External attacker (1.capita.vpn.port.ac.uk)</w:t>
            </w:r>
          </w:p>
        </w:tc>
        <w:tc>
          <w:tcPr>
            <w:tcW w:w="1500" w:type="dxa"/>
            <w:shd w:val="clear" w:color="auto" w:fill="auto"/>
            <w:tcMar>
              <w:top w:w="80" w:type="dxa"/>
              <w:left w:w="100" w:type="dxa"/>
              <w:bottom w:w="80" w:type="dxa"/>
              <w:right w:w="100" w:type="dxa"/>
            </w:tcMar>
            <w:vAlign w:val="top"/>
          </w:tcPr>
          <w:p w14:paraId="0EB6C6ED">
            <w:pPr>
              <w:rPr>
                <w:color w:val="auto"/>
              </w:rPr>
            </w:pPr>
            <w:r>
              <w:rPr>
                <w:rFonts w:ascii="Calibri" w:hAnsi="Calibri" w:eastAsia="Calibri" w:cs="Calibri"/>
                <w:b w:val="0"/>
                <w:bCs w:val="0"/>
                <w:color w:val="auto"/>
                <w:sz w:val="16"/>
                <w:szCs w:val="16"/>
              </w:rPr>
              <w:t>auth.log</w:t>
            </w:r>
          </w:p>
        </w:tc>
        <w:tc>
          <w:tcPr>
            <w:tcW w:w="1600" w:type="dxa"/>
            <w:shd w:val="clear" w:color="auto" w:fill="auto"/>
            <w:tcMar>
              <w:top w:w="80" w:type="dxa"/>
              <w:left w:w="100" w:type="dxa"/>
              <w:bottom w:w="80" w:type="dxa"/>
              <w:right w:w="100" w:type="dxa"/>
            </w:tcMar>
            <w:vAlign w:val="top"/>
          </w:tcPr>
          <w:p w14:paraId="7BA8353E">
            <w:pPr>
              <w:rPr>
                <w:color w:val="auto"/>
              </w:rPr>
            </w:pPr>
            <w:r>
              <w:rPr>
                <w:rFonts w:ascii="Calibri" w:hAnsi="Calibri" w:eastAsia="Calibri" w:cs="Calibri"/>
                <w:b w:val="0"/>
                <w:bCs w:val="0"/>
                <w:color w:val="auto"/>
                <w:sz w:val="16"/>
                <w:szCs w:val="16"/>
              </w:rPr>
              <w:t>Credential access (brute force, FAILED)</w:t>
            </w:r>
          </w:p>
        </w:tc>
        <w:tc>
          <w:tcPr>
            <w:tcW w:w="2560" w:type="dxa"/>
            <w:shd w:val="clear" w:color="auto" w:fill="auto"/>
            <w:tcMar>
              <w:top w:w="80" w:type="dxa"/>
              <w:left w:w="100" w:type="dxa"/>
              <w:bottom w:w="80" w:type="dxa"/>
              <w:right w:w="100" w:type="dxa"/>
            </w:tcMar>
            <w:vAlign w:val="top"/>
          </w:tcPr>
          <w:p w14:paraId="22689213">
            <w:pPr>
              <w:rPr>
                <w:color w:val="auto"/>
              </w:rPr>
            </w:pPr>
            <w:r>
              <w:rPr>
                <w:rFonts w:ascii="Calibri" w:hAnsi="Calibri" w:eastAsia="Calibri" w:cs="Calibri"/>
                <w:b w:val="0"/>
                <w:bCs w:val="0"/>
                <w:color w:val="auto"/>
                <w:sz w:val="16"/>
                <w:szCs w:val="16"/>
              </w:rPr>
              <w:t>Four parallel TTY sessions flood root/frozen-yoghurt logins; all exhaust retries and disconnect without success.</w:t>
            </w:r>
          </w:p>
        </w:tc>
      </w:tr>
      <w:tr w14:paraId="58F1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6EF73319">
            <w:pPr>
              <w:rPr>
                <w:color w:val="auto"/>
              </w:rPr>
            </w:pPr>
            <w:r>
              <w:rPr>
                <w:rFonts w:ascii="Calibri" w:hAnsi="Calibri" w:eastAsia="Calibri" w:cs="Calibri"/>
                <w:b w:val="0"/>
                <w:bCs w:val="0"/>
                <w:color w:val="auto"/>
                <w:sz w:val="16"/>
                <w:szCs w:val="16"/>
              </w:rPr>
              <w:t>Mar 8, 14:33:29–14:34:18</w:t>
            </w:r>
          </w:p>
        </w:tc>
        <w:tc>
          <w:tcPr>
            <w:tcW w:w="2000" w:type="dxa"/>
            <w:shd w:val="clear" w:color="auto" w:fill="auto"/>
            <w:tcMar>
              <w:top w:w="80" w:type="dxa"/>
              <w:left w:w="100" w:type="dxa"/>
              <w:bottom w:w="80" w:type="dxa"/>
              <w:right w:w="100" w:type="dxa"/>
            </w:tcMar>
            <w:vAlign w:val="top"/>
          </w:tcPr>
          <w:p w14:paraId="5D60FD23">
            <w:pPr>
              <w:rPr>
                <w:color w:val="auto"/>
              </w:rPr>
            </w:pPr>
            <w:r>
              <w:rPr>
                <w:rFonts w:ascii="Calibri" w:hAnsi="Calibri" w:eastAsia="Calibri" w:cs="Calibri"/>
                <w:b w:val="0"/>
                <w:bCs w:val="0"/>
                <w:color w:val="auto"/>
                <w:sz w:val="16"/>
                <w:szCs w:val="16"/>
              </w:rPr>
              <w:t>Attacker A</w:t>
            </w:r>
          </w:p>
        </w:tc>
        <w:tc>
          <w:tcPr>
            <w:tcW w:w="1500" w:type="dxa"/>
            <w:shd w:val="clear" w:color="auto" w:fill="auto"/>
            <w:tcMar>
              <w:top w:w="80" w:type="dxa"/>
              <w:left w:w="100" w:type="dxa"/>
              <w:bottom w:w="80" w:type="dxa"/>
              <w:right w:w="100" w:type="dxa"/>
            </w:tcMar>
            <w:vAlign w:val="top"/>
          </w:tcPr>
          <w:p w14:paraId="4D19E53D">
            <w:pPr>
              <w:rPr>
                <w:color w:val="auto"/>
              </w:rPr>
            </w:pPr>
            <w:r>
              <w:rPr>
                <w:rFonts w:ascii="Calibri" w:hAnsi="Calibri" w:eastAsia="Calibri" w:cs="Calibri"/>
                <w:b w:val="0"/>
                <w:bCs w:val="0"/>
                <w:color w:val="auto"/>
                <w:sz w:val="16"/>
                <w:szCs w:val="16"/>
              </w:rPr>
              <w:t>auth.log</w:t>
            </w:r>
          </w:p>
        </w:tc>
        <w:tc>
          <w:tcPr>
            <w:tcW w:w="1600" w:type="dxa"/>
            <w:shd w:val="clear" w:color="auto" w:fill="auto"/>
            <w:tcMar>
              <w:top w:w="80" w:type="dxa"/>
              <w:left w:w="100" w:type="dxa"/>
              <w:bottom w:w="80" w:type="dxa"/>
              <w:right w:w="100" w:type="dxa"/>
            </w:tcMar>
            <w:vAlign w:val="top"/>
          </w:tcPr>
          <w:p w14:paraId="128DC31D">
            <w:pPr>
              <w:rPr>
                <w:color w:val="auto"/>
              </w:rPr>
            </w:pPr>
            <w:r>
              <w:rPr>
                <w:rFonts w:ascii="Calibri" w:hAnsi="Calibri" w:eastAsia="Calibri" w:cs="Calibri"/>
                <w:b w:val="0"/>
                <w:bCs w:val="0"/>
                <w:color w:val="auto"/>
                <w:sz w:val="16"/>
                <w:szCs w:val="16"/>
              </w:rPr>
              <w:t>Credential access (SSH, FAILED)</w:t>
            </w:r>
          </w:p>
        </w:tc>
        <w:tc>
          <w:tcPr>
            <w:tcW w:w="2560" w:type="dxa"/>
            <w:shd w:val="clear" w:color="auto" w:fill="auto"/>
            <w:tcMar>
              <w:top w:w="80" w:type="dxa"/>
              <w:left w:w="100" w:type="dxa"/>
              <w:bottom w:w="80" w:type="dxa"/>
              <w:right w:w="100" w:type="dxa"/>
            </w:tcMar>
            <w:vAlign w:val="top"/>
          </w:tcPr>
          <w:p w14:paraId="1E9CE4C3">
            <w:pPr>
              <w:rPr>
                <w:color w:val="auto"/>
              </w:rPr>
            </w:pPr>
            <w:r>
              <w:rPr>
                <w:rFonts w:ascii="Calibri" w:hAnsi="Calibri" w:eastAsia="Calibri" w:cs="Calibri"/>
                <w:b w:val="0"/>
                <w:bCs w:val="0"/>
                <w:color w:val="auto"/>
                <w:sz w:val="16"/>
                <w:szCs w:val="16"/>
              </w:rPr>
              <w:t>SSH brute force against admin and frozen-yoghurt from 192.168.56.1; all attempts fail.</w:t>
            </w:r>
          </w:p>
        </w:tc>
      </w:tr>
      <w:tr w14:paraId="7240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51D4DD7A">
            <w:pPr>
              <w:rPr>
                <w:color w:val="auto"/>
              </w:rPr>
            </w:pPr>
            <w:r>
              <w:rPr>
                <w:rFonts w:ascii="Calibri" w:hAnsi="Calibri" w:eastAsia="Calibri" w:cs="Calibri"/>
                <w:b w:val="0"/>
                <w:bCs w:val="0"/>
                <w:color w:val="auto"/>
                <w:sz w:val="16"/>
                <w:szCs w:val="16"/>
              </w:rPr>
              <w:t>Mar 8, 14:35:56–14:38:38</w:t>
            </w:r>
          </w:p>
        </w:tc>
        <w:tc>
          <w:tcPr>
            <w:tcW w:w="2000" w:type="dxa"/>
            <w:shd w:val="clear" w:color="auto" w:fill="auto"/>
            <w:tcMar>
              <w:top w:w="80" w:type="dxa"/>
              <w:left w:w="100" w:type="dxa"/>
              <w:bottom w:w="80" w:type="dxa"/>
              <w:right w:w="100" w:type="dxa"/>
            </w:tcMar>
            <w:vAlign w:val="top"/>
          </w:tcPr>
          <w:p w14:paraId="400CC8DB">
            <w:pPr>
              <w:rPr>
                <w:color w:val="auto"/>
              </w:rPr>
            </w:pPr>
            <w:r>
              <w:rPr>
                <w:rFonts w:ascii="Calibri" w:hAnsi="Calibri" w:eastAsia="Calibri" w:cs="Calibri"/>
                <w:b w:val="0"/>
                <w:bCs w:val="0"/>
                <w:color w:val="auto"/>
                <w:sz w:val="16"/>
                <w:szCs w:val="16"/>
              </w:rPr>
              <w:t>Attacker A (192.168.56.1), via TELNET</w:t>
            </w:r>
          </w:p>
        </w:tc>
        <w:tc>
          <w:tcPr>
            <w:tcW w:w="1500" w:type="dxa"/>
            <w:shd w:val="clear" w:color="auto" w:fill="auto"/>
            <w:tcMar>
              <w:top w:w="80" w:type="dxa"/>
              <w:left w:w="100" w:type="dxa"/>
              <w:bottom w:w="80" w:type="dxa"/>
              <w:right w:w="100" w:type="dxa"/>
            </w:tcMar>
            <w:vAlign w:val="top"/>
          </w:tcPr>
          <w:p w14:paraId="69FD4A69">
            <w:pPr>
              <w:rPr>
                <w:color w:val="auto"/>
              </w:rPr>
            </w:pPr>
            <w:r>
              <w:rPr>
                <w:rFonts w:ascii="Calibri" w:hAnsi="Calibri" w:eastAsia="Calibri" w:cs="Calibri"/>
                <w:b w:val="0"/>
                <w:bCs w:val="0"/>
                <w:color w:val="auto"/>
                <w:sz w:val="16"/>
                <w:szCs w:val="16"/>
              </w:rPr>
              <w:t>auth.log, syslog, kern.log, pcapng</w:t>
            </w:r>
          </w:p>
        </w:tc>
        <w:tc>
          <w:tcPr>
            <w:tcW w:w="1600" w:type="dxa"/>
            <w:shd w:val="clear" w:color="auto" w:fill="auto"/>
            <w:tcMar>
              <w:top w:w="80" w:type="dxa"/>
              <w:left w:w="100" w:type="dxa"/>
              <w:bottom w:w="80" w:type="dxa"/>
              <w:right w:w="100" w:type="dxa"/>
            </w:tcMar>
            <w:vAlign w:val="top"/>
          </w:tcPr>
          <w:p w14:paraId="2E609D50">
            <w:pPr>
              <w:rPr>
                <w:color w:val="auto"/>
              </w:rPr>
            </w:pPr>
            <w:r>
              <w:rPr>
                <w:rFonts w:ascii="Calibri" w:hAnsi="Calibri" w:eastAsia="Calibri" w:cs="Calibri"/>
                <w:b w:val="0"/>
                <w:bCs w:val="0"/>
                <w:color w:val="auto"/>
                <w:sz w:val="16"/>
                <w:szCs w:val="16"/>
              </w:rPr>
              <w:t>CONFIRMED BREACH</w:t>
            </w:r>
          </w:p>
        </w:tc>
        <w:tc>
          <w:tcPr>
            <w:tcW w:w="2560" w:type="dxa"/>
            <w:shd w:val="clear" w:color="auto" w:fill="auto"/>
            <w:tcMar>
              <w:top w:w="80" w:type="dxa"/>
              <w:left w:w="100" w:type="dxa"/>
              <w:bottom w:w="80" w:type="dxa"/>
              <w:right w:w="100" w:type="dxa"/>
            </w:tcMar>
            <w:vAlign w:val="top"/>
          </w:tcPr>
          <w:p w14:paraId="7C7E4187">
            <w:pPr>
              <w:rPr>
                <w:color w:val="auto"/>
              </w:rPr>
            </w:pPr>
            <w:r>
              <w:rPr>
                <w:rFonts w:ascii="Calibri" w:hAnsi="Calibri" w:eastAsia="Calibri" w:cs="Calibri"/>
                <w:b w:val="0"/>
                <w:bCs w:val="0"/>
                <w:color w:val="auto"/>
                <w:sz w:val="16"/>
                <w:szCs w:val="16"/>
              </w:rPr>
              <w:t>Session opens for frozen-yoghurt (session 6) 10s after telnetd connect; matches the 4MB/171.9s TELNET stream almost exactly. Live shell access for ~2m42s.</w:t>
            </w:r>
          </w:p>
        </w:tc>
      </w:tr>
      <w:tr w14:paraId="6F36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033CD08E">
            <w:pPr>
              <w:rPr>
                <w:color w:val="auto"/>
              </w:rPr>
            </w:pPr>
            <w:r>
              <w:rPr>
                <w:rFonts w:ascii="Calibri" w:hAnsi="Calibri" w:eastAsia="Calibri" w:cs="Calibri"/>
                <w:b w:val="0"/>
                <w:bCs w:val="0"/>
                <w:color w:val="auto"/>
                <w:sz w:val="16"/>
                <w:szCs w:val="16"/>
              </w:rPr>
              <w:t>Mar 8, 14:44:23–14:45:14</w:t>
            </w:r>
          </w:p>
        </w:tc>
        <w:tc>
          <w:tcPr>
            <w:tcW w:w="2000" w:type="dxa"/>
            <w:shd w:val="clear" w:color="auto" w:fill="auto"/>
            <w:tcMar>
              <w:top w:w="80" w:type="dxa"/>
              <w:left w:w="100" w:type="dxa"/>
              <w:bottom w:w="80" w:type="dxa"/>
              <w:right w:w="100" w:type="dxa"/>
            </w:tcMar>
            <w:vAlign w:val="top"/>
          </w:tcPr>
          <w:p w14:paraId="43AF9112">
            <w:pPr>
              <w:rPr>
                <w:color w:val="auto"/>
              </w:rPr>
            </w:pPr>
            <w:r>
              <w:rPr>
                <w:rFonts w:ascii="Calibri" w:hAnsi="Calibri" w:eastAsia="Calibri" w:cs="Calibri"/>
                <w:b w:val="0"/>
                <w:bCs w:val="0"/>
                <w:color w:val="auto"/>
                <w:sz w:val="16"/>
                <w:szCs w:val="16"/>
              </w:rPr>
              <w:t>Attacker B (192.168.56.100)</w:t>
            </w:r>
          </w:p>
        </w:tc>
        <w:tc>
          <w:tcPr>
            <w:tcW w:w="1500" w:type="dxa"/>
            <w:shd w:val="clear" w:color="auto" w:fill="auto"/>
            <w:tcMar>
              <w:top w:w="80" w:type="dxa"/>
              <w:left w:w="100" w:type="dxa"/>
              <w:bottom w:w="80" w:type="dxa"/>
              <w:right w:w="100" w:type="dxa"/>
            </w:tcMar>
            <w:vAlign w:val="top"/>
          </w:tcPr>
          <w:p w14:paraId="66632A5F">
            <w:pPr>
              <w:rPr>
                <w:color w:val="auto"/>
              </w:rPr>
            </w:pPr>
            <w:r>
              <w:rPr>
                <w:rFonts w:ascii="Calibri" w:hAnsi="Calibri" w:eastAsia="Calibri" w:cs="Calibri"/>
                <w:b w:val="0"/>
                <w:bCs w:val="0"/>
                <w:color w:val="auto"/>
                <w:sz w:val="16"/>
                <w:szCs w:val="16"/>
              </w:rPr>
              <w:t>auth.log, kern.log, pcapng</w:t>
            </w:r>
          </w:p>
        </w:tc>
        <w:tc>
          <w:tcPr>
            <w:tcW w:w="1600" w:type="dxa"/>
            <w:shd w:val="clear" w:color="auto" w:fill="auto"/>
            <w:tcMar>
              <w:top w:w="80" w:type="dxa"/>
              <w:left w:w="100" w:type="dxa"/>
              <w:bottom w:w="80" w:type="dxa"/>
              <w:right w:w="100" w:type="dxa"/>
            </w:tcMar>
            <w:vAlign w:val="top"/>
          </w:tcPr>
          <w:p w14:paraId="1DF72605">
            <w:pPr>
              <w:rPr>
                <w:color w:val="auto"/>
              </w:rPr>
            </w:pPr>
            <w:r>
              <w:rPr>
                <w:rFonts w:ascii="Calibri" w:hAnsi="Calibri" w:eastAsia="Calibri" w:cs="Calibri"/>
                <w:b w:val="0"/>
                <w:bCs w:val="0"/>
                <w:color w:val="auto"/>
                <w:sz w:val="16"/>
                <w:szCs w:val="16"/>
              </w:rPr>
              <w:t>Credential access (automated SSH, FAILED)</w:t>
            </w:r>
          </w:p>
        </w:tc>
        <w:tc>
          <w:tcPr>
            <w:tcW w:w="2560" w:type="dxa"/>
            <w:shd w:val="clear" w:color="auto" w:fill="auto"/>
            <w:tcMar>
              <w:top w:w="80" w:type="dxa"/>
              <w:left w:w="100" w:type="dxa"/>
              <w:bottom w:w="80" w:type="dxa"/>
              <w:right w:w="100" w:type="dxa"/>
            </w:tcMar>
            <w:vAlign w:val="top"/>
          </w:tcPr>
          <w:p w14:paraId="28F9F7B0">
            <w:pPr>
              <w:rPr>
                <w:color w:val="auto"/>
              </w:rPr>
            </w:pPr>
            <w:r>
              <w:rPr>
                <w:rFonts w:ascii="Calibri" w:hAnsi="Calibri" w:eastAsia="Calibri" w:cs="Calibri"/>
                <w:b w:val="0"/>
                <w:bCs w:val="0"/>
                <w:color w:val="auto"/>
                <w:sz w:val="16"/>
                <w:szCs w:val="16"/>
              </w:rPr>
              <w:t>Parallel SSH brute force against root using “malware-bot”/default creds; all attempts fail, max-retries triggered.</w:t>
            </w:r>
          </w:p>
        </w:tc>
      </w:tr>
      <w:tr w14:paraId="5D00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80" w:type="dxa"/>
              <w:left w:w="100" w:type="dxa"/>
              <w:bottom w:w="80" w:type="dxa"/>
              <w:right w:w="100" w:type="dxa"/>
            </w:tcMar>
            <w:vAlign w:val="top"/>
          </w:tcPr>
          <w:p w14:paraId="585259FD">
            <w:pPr>
              <w:rPr>
                <w:color w:val="auto"/>
              </w:rPr>
            </w:pPr>
            <w:r>
              <w:rPr>
                <w:rFonts w:ascii="Calibri" w:hAnsi="Calibri" w:eastAsia="Calibri" w:cs="Calibri"/>
                <w:b w:val="0"/>
                <w:bCs w:val="0"/>
                <w:color w:val="auto"/>
                <w:sz w:val="16"/>
                <w:szCs w:val="16"/>
              </w:rPr>
              <w:t>Mar 8, 14:47:05</w:t>
            </w:r>
          </w:p>
        </w:tc>
        <w:tc>
          <w:tcPr>
            <w:tcW w:w="2000" w:type="dxa"/>
            <w:shd w:val="clear" w:color="auto" w:fill="auto"/>
            <w:tcMar>
              <w:top w:w="80" w:type="dxa"/>
              <w:left w:w="100" w:type="dxa"/>
              <w:bottom w:w="80" w:type="dxa"/>
              <w:right w:w="100" w:type="dxa"/>
            </w:tcMar>
            <w:vAlign w:val="top"/>
          </w:tcPr>
          <w:p w14:paraId="25BAC5F2">
            <w:pPr>
              <w:rPr>
                <w:color w:val="auto"/>
              </w:rPr>
            </w:pPr>
            <w:r>
              <w:rPr>
                <w:rFonts w:ascii="Calibri" w:hAnsi="Calibri" w:eastAsia="Calibri" w:cs="Calibri"/>
                <w:b w:val="0"/>
                <w:bCs w:val="0"/>
                <w:color w:val="auto"/>
                <w:sz w:val="16"/>
                <w:szCs w:val="16"/>
              </w:rPr>
              <w:t>Admin (frozen-yoghurt)</w:t>
            </w:r>
          </w:p>
        </w:tc>
        <w:tc>
          <w:tcPr>
            <w:tcW w:w="1500" w:type="dxa"/>
            <w:shd w:val="clear" w:color="auto" w:fill="auto"/>
            <w:tcMar>
              <w:top w:w="80" w:type="dxa"/>
              <w:left w:w="100" w:type="dxa"/>
              <w:bottom w:w="80" w:type="dxa"/>
              <w:right w:w="100" w:type="dxa"/>
            </w:tcMar>
            <w:vAlign w:val="top"/>
          </w:tcPr>
          <w:p w14:paraId="7066069C">
            <w:pPr>
              <w:rPr>
                <w:color w:val="auto"/>
              </w:rPr>
            </w:pPr>
            <w:r>
              <w:rPr>
                <w:rFonts w:ascii="Calibri" w:hAnsi="Calibri" w:eastAsia="Calibri" w:cs="Calibri"/>
                <w:b w:val="0"/>
                <w:bCs w:val="0"/>
                <w:color w:val="auto"/>
                <w:sz w:val="16"/>
                <w:szCs w:val="16"/>
              </w:rPr>
              <w:t>auth.log</w:t>
            </w:r>
          </w:p>
        </w:tc>
        <w:tc>
          <w:tcPr>
            <w:tcW w:w="1600" w:type="dxa"/>
            <w:shd w:val="clear" w:color="auto" w:fill="auto"/>
            <w:tcMar>
              <w:top w:w="80" w:type="dxa"/>
              <w:left w:w="100" w:type="dxa"/>
              <w:bottom w:w="80" w:type="dxa"/>
              <w:right w:w="100" w:type="dxa"/>
            </w:tcMar>
            <w:vAlign w:val="top"/>
          </w:tcPr>
          <w:p w14:paraId="522D531E">
            <w:pPr>
              <w:rPr>
                <w:color w:val="auto"/>
              </w:rPr>
            </w:pPr>
            <w:r>
              <w:rPr>
                <w:rFonts w:ascii="Calibri" w:hAnsi="Calibri" w:eastAsia="Calibri" w:cs="Calibri"/>
                <w:b w:val="0"/>
                <w:bCs w:val="0"/>
                <w:color w:val="auto"/>
                <w:sz w:val="16"/>
                <w:szCs w:val="16"/>
              </w:rPr>
              <w:t>Investigation window closes</w:t>
            </w:r>
          </w:p>
        </w:tc>
        <w:tc>
          <w:tcPr>
            <w:tcW w:w="2560" w:type="dxa"/>
            <w:shd w:val="clear" w:color="auto" w:fill="auto"/>
            <w:tcMar>
              <w:top w:w="80" w:type="dxa"/>
              <w:left w:w="100" w:type="dxa"/>
              <w:bottom w:w="80" w:type="dxa"/>
              <w:right w:w="100" w:type="dxa"/>
            </w:tcMar>
            <w:vAlign w:val="top"/>
          </w:tcPr>
          <w:p w14:paraId="3414E31D">
            <w:pPr>
              <w:rPr>
                <w:color w:val="auto"/>
              </w:rPr>
            </w:pPr>
            <w:r>
              <w:rPr>
                <w:rFonts w:ascii="Calibri" w:hAnsi="Calibri" w:eastAsia="Calibri" w:cs="Calibri"/>
                <w:b w:val="0"/>
                <w:bCs w:val="0"/>
                <w:color w:val="auto"/>
                <w:sz w:val="16"/>
                <w:szCs w:val="16"/>
              </w:rPr>
              <w:t>Admin's elevated sudo/Wireshark session ends.</w:t>
            </w:r>
          </w:p>
        </w:tc>
      </w:tr>
    </w:tbl>
    <w:p w14:paraId="4BFED84D">
      <w:pPr>
        <w:rPr>
          <w:color w:val="auto"/>
        </w:rPr>
      </w:pPr>
      <w:r>
        <w:rPr>
          <w:color w:val="auto"/>
        </w:rPr>
        <w:br w:type="page"/>
      </w:r>
    </w:p>
    <w:p w14:paraId="52B2AB44">
      <w:pPr>
        <w:pStyle w:val="2"/>
        <w:spacing w:before="240" w:after="120"/>
        <w:rPr>
          <w:color w:val="auto"/>
        </w:rPr>
      </w:pPr>
      <w:r>
        <w:rPr>
          <w:rFonts w:ascii="Calibri" w:hAnsi="Calibri" w:eastAsia="Calibri" w:cs="Calibri"/>
          <w:b/>
          <w:bCs/>
          <w:color w:val="auto"/>
        </w:rPr>
        <w:t>PATTERN SUMMARY</w:t>
      </w:r>
    </w:p>
    <w:p w14:paraId="0CABE897">
      <w:pPr>
        <w:pStyle w:val="3"/>
        <w:spacing w:before="240" w:after="120"/>
        <w:rPr>
          <w:color w:val="auto"/>
        </w:rPr>
      </w:pPr>
      <w:r>
        <w:rPr>
          <w:rFonts w:ascii="Calibri" w:hAnsi="Calibri" w:eastAsia="Calibri" w:cs="Calibri"/>
          <w:b/>
          <w:bCs/>
          <w:color w:val="auto"/>
        </w:rPr>
        <w:t>Attack Patterns Observed</w:t>
      </w:r>
    </w:p>
    <w:p w14:paraId="3DF9DAF8">
      <w:pPr>
        <w:pStyle w:val="16"/>
        <w:numPr>
          <w:ilvl w:val="0"/>
          <w:numId w:val="1"/>
        </w:numPr>
        <w:spacing w:after="60"/>
        <w:rPr>
          <w:color w:val="auto"/>
        </w:rPr>
      </w:pPr>
      <w:r>
        <w:rPr>
          <w:rFonts w:ascii="Calibri" w:hAnsi="Calibri" w:eastAsia="Calibri" w:cs="Calibri"/>
          <w:color w:val="auto"/>
        </w:rPr>
        <w:t>Two internal actors with different outcomes: Attacker A (192.168.56.1) successfully breached the frozen-yoghurt account via TELNET (Rows 5, 11); Attacker B (192.168.56.100) and the external actor (1.capita.vpn.port.ac.uk) both ran automated, parallel-session brute force attempts that failed.</w:t>
      </w:r>
    </w:p>
    <w:p w14:paraId="28DDC617">
      <w:pPr>
        <w:pStyle w:val="16"/>
        <w:numPr>
          <w:ilvl w:val="0"/>
          <w:numId w:val="1"/>
        </w:numPr>
        <w:spacing w:after="60"/>
        <w:rPr>
          <w:color w:val="auto"/>
        </w:rPr>
      </w:pPr>
      <w:r>
        <w:rPr>
          <w:rFonts w:ascii="Calibri" w:hAnsi="Calibri" w:eastAsia="Calibri" w:cs="Calibri"/>
          <w:color w:val="auto"/>
        </w:rPr>
        <w:t>Reconnaissance-before-exploitation: ICMP and TELNET probing from Attacker A consistently precedes each exploitation attempt, on both 7 and 8 March.</w:t>
      </w:r>
    </w:p>
    <w:p w14:paraId="37CF4C41">
      <w:pPr>
        <w:pStyle w:val="16"/>
        <w:numPr>
          <w:ilvl w:val="0"/>
          <w:numId w:val="1"/>
        </w:numPr>
        <w:spacing w:after="60"/>
        <w:rPr>
          <w:color w:val="auto"/>
        </w:rPr>
      </w:pPr>
      <w:r>
        <w:rPr>
          <w:rFonts w:ascii="Calibri" w:hAnsi="Calibri" w:eastAsia="Calibri" w:cs="Calibri"/>
          <w:color w:val="auto"/>
        </w:rPr>
        <w:t>Parallel/automated brute-forcing as a tooling signature, distinct from Attacker A's serial, single-session TELNET approach that actually succeeded.</w:t>
      </w:r>
    </w:p>
    <w:p w14:paraId="474A40F0">
      <w:pPr>
        <w:pStyle w:val="3"/>
        <w:spacing w:before="240" w:after="120"/>
        <w:rPr>
          <w:color w:val="auto"/>
        </w:rPr>
      </w:pPr>
      <w:r>
        <w:rPr>
          <w:rFonts w:ascii="Calibri" w:hAnsi="Calibri" w:eastAsia="Calibri" w:cs="Calibri"/>
          <w:b/>
          <w:bCs/>
          <w:color w:val="auto"/>
        </w:rPr>
        <w:t>Most Critical Single Log Line</w:t>
      </w:r>
    </w:p>
    <w:p w14:paraId="7DA81C6B">
      <w:pPr>
        <w:spacing w:after="120"/>
        <w:rPr>
          <w:color w:val="auto"/>
        </w:rPr>
      </w:pPr>
      <w:r>
        <w:rPr>
          <w:rFonts w:ascii="Calibri" w:hAnsi="Calibri" w:eastAsia="Calibri" w:cs="Calibri"/>
          <w:b w:val="0"/>
          <w:bCs w:val="0"/>
          <w:i w:val="0"/>
          <w:iCs w:val="0"/>
          <w:color w:val="auto"/>
        </w:rPr>
        <w:t>auth.log, Mar 8 14:35:56: “session opened for user frozen-yoghurt by (uid=0)” (PID 2388). This converts an attempted intrusion into confirmed unauthorized access, corroborated identically by syslog and, after revision, by the 4MB/5,335-packet TELNET stream in the packet capture (Row 11) — giving it the highest possible confidence and making it the anchor fact for both D2 and D3.</w:t>
      </w:r>
    </w:p>
    <w:p w14:paraId="2AE93312">
      <w:pPr>
        <w:pStyle w:val="3"/>
        <w:spacing w:before="240" w:after="120"/>
        <w:rPr>
          <w:color w:val="auto"/>
        </w:rPr>
      </w:pPr>
      <w:r>
        <w:rPr>
          <w:rFonts w:ascii="Calibri" w:hAnsi="Calibri" w:eastAsia="Calibri" w:cs="Calibri"/>
          <w:b/>
          <w:bCs/>
          <w:color w:val="auto"/>
        </w:rPr>
        <w:t>Next 30 Minutes</w:t>
      </w:r>
    </w:p>
    <w:p w14:paraId="0332AE21">
      <w:pPr>
        <w:pStyle w:val="16"/>
        <w:numPr>
          <w:ilvl w:val="0"/>
          <w:numId w:val="1"/>
        </w:numPr>
        <w:spacing w:after="60"/>
        <w:rPr>
          <w:color w:val="auto"/>
        </w:rPr>
      </w:pPr>
      <w:r>
        <w:rPr>
          <w:rFonts w:ascii="Calibri" w:hAnsi="Calibri" w:eastAsia="Calibri" w:cs="Calibri"/>
          <w:color w:val="auto"/>
        </w:rPr>
        <w:t>Block 192.168.56.1, 192.168.56.100, and the IP resolving behind 1.capita.vpn.port.ac.uk at the perimeter immediately.</w:t>
      </w:r>
    </w:p>
    <w:p w14:paraId="51D168E8">
      <w:pPr>
        <w:pStyle w:val="16"/>
        <w:numPr>
          <w:ilvl w:val="0"/>
          <w:numId w:val="1"/>
        </w:numPr>
        <w:spacing w:after="60"/>
        <w:rPr>
          <w:color w:val="auto"/>
        </w:rPr>
      </w:pPr>
      <w:r>
        <w:rPr>
          <w:rFonts w:ascii="Calibri" w:hAnsi="Calibri" w:eastAsia="Calibri" w:cs="Calibri"/>
          <w:color w:val="auto"/>
        </w:rPr>
        <w:t>Disable the TELNET service (in.telnetd) outright — it is not required for business operations and is the confirmed initial-access vector.</w:t>
      </w:r>
    </w:p>
    <w:p w14:paraId="08A5C793">
      <w:pPr>
        <w:pStyle w:val="16"/>
        <w:numPr>
          <w:ilvl w:val="0"/>
          <w:numId w:val="1"/>
        </w:numPr>
        <w:spacing w:after="60"/>
        <w:rPr>
          <w:color w:val="auto"/>
        </w:rPr>
      </w:pPr>
      <w:r>
        <w:rPr>
          <w:rFonts w:ascii="Calibri" w:hAnsi="Calibri" w:eastAsia="Calibri" w:cs="Calibri"/>
          <w:color w:val="auto"/>
        </w:rPr>
        <w:t>Force an immediate password reset for the frozen-yoghurt account and audit sudoers/other local accounts.</w:t>
      </w:r>
    </w:p>
    <w:p w14:paraId="715C4431">
      <w:pPr>
        <w:pStyle w:val="16"/>
        <w:numPr>
          <w:ilvl w:val="0"/>
          <w:numId w:val="1"/>
        </w:numPr>
        <w:spacing w:after="60"/>
        <w:rPr>
          <w:color w:val="auto"/>
        </w:rPr>
      </w:pPr>
      <w:r>
        <w:rPr>
          <w:rFonts w:ascii="Calibri" w:hAnsi="Calibri" w:eastAsia="Calibri" w:cs="Calibri"/>
          <w:color w:val="auto"/>
        </w:rPr>
        <w:t>Preserve and hash all five evidence files, plus a current disk/memory image, before further remediation touches the host.</w:t>
      </w:r>
    </w:p>
    <w:p w14:paraId="46F28CA8">
      <w:pPr>
        <w:pStyle w:val="16"/>
        <w:numPr>
          <w:ilvl w:val="0"/>
          <w:numId w:val="1"/>
        </w:numPr>
        <w:spacing w:after="60"/>
        <w:rPr>
          <w:color w:val="auto"/>
        </w:rPr>
      </w:pPr>
      <w:r>
        <w:rPr>
          <w:rFonts w:ascii="Calibri" w:hAnsi="Calibri" w:eastAsia="Calibri" w:cs="Calibri"/>
          <w:color w:val="auto"/>
        </w:rPr>
        <w:t>Escalate to Nsikan and Prosper immediately regarding the UK GDPR/ICO 72-hour notification clock.</w:t>
      </w:r>
    </w:p>
    <w:p w14:paraId="531D425E">
      <w:pPr>
        <w:rPr>
          <w:color w:val="auto"/>
        </w:rPr>
      </w:pPr>
      <w:r>
        <w:rPr>
          <w:color w:val="auto"/>
        </w:rPr>
        <w:br w:type="page"/>
      </w:r>
    </w:p>
    <w:p w14:paraId="7E8BD13D">
      <w:pPr>
        <w:rPr>
          <w:b/>
          <w:bCs/>
          <w:sz w:val="36"/>
          <w:szCs w:val="40"/>
          <w:vertAlign w:val="baseline"/>
        </w:rPr>
      </w:pPr>
      <w:r>
        <w:rPr>
          <w:b/>
          <w:bCs/>
          <w:sz w:val="36"/>
          <w:szCs w:val="40"/>
          <w:vertAlign w:val="baseline"/>
        </w:rPr>
        <w:t>D2 — INCIDENT REPORT TO CLIENT</w:t>
      </w:r>
    </w:p>
    <w:p w14:paraId="295D1E5D">
      <w:pPr>
        <w:spacing w:after="200"/>
        <w:rPr>
          <w:color w:val="auto"/>
        </w:rPr>
      </w:pPr>
    </w:p>
    <w:p w14:paraId="0742E979">
      <w:pPr>
        <w:spacing w:after="60"/>
        <w:rPr>
          <w:color w:val="auto"/>
        </w:rPr>
      </w:pPr>
      <w:r>
        <w:rPr>
          <w:rFonts w:ascii="Calibri" w:hAnsi="Calibri" w:eastAsia="Calibri" w:cs="Calibri"/>
          <w:b/>
          <w:bCs/>
          <w:color w:val="auto"/>
        </w:rPr>
        <w:t xml:space="preserve">Addressed to: </w:t>
      </w:r>
      <w:r>
        <w:rPr>
          <w:rFonts w:ascii="Calibri" w:hAnsi="Calibri" w:eastAsia="Calibri" w:cs="Calibri"/>
          <w:color w:val="auto"/>
        </w:rPr>
        <w:t>The Owner, Frozen Yoghurt Ltd</w:t>
      </w:r>
    </w:p>
    <w:p w14:paraId="4A19C265">
      <w:pPr>
        <w:spacing w:after="60"/>
        <w:rPr>
          <w:color w:val="auto"/>
        </w:rPr>
      </w:pPr>
      <w:r>
        <w:rPr>
          <w:rFonts w:ascii="Calibri" w:hAnsi="Calibri" w:eastAsia="Calibri" w:cs="Calibri"/>
          <w:b/>
          <w:bCs/>
          <w:color w:val="auto"/>
        </w:rPr>
        <w:t xml:space="preserve">Prepared via: </w:t>
      </w:r>
      <w:r>
        <w:rPr>
          <w:rFonts w:ascii="Calibri" w:hAnsi="Calibri" w:eastAsia="Calibri" w:cs="Calibri"/>
          <w:color w:val="auto"/>
        </w:rPr>
        <w:t>Prosper Eromonsele, CISO, GlobalTech</w:t>
      </w:r>
    </w:p>
    <w:p w14:paraId="18B975A7">
      <w:pPr>
        <w:spacing w:after="60"/>
        <w:rPr>
          <w:color w:val="auto"/>
        </w:rPr>
      </w:pPr>
      <w:r>
        <w:rPr>
          <w:rFonts w:ascii="Calibri" w:hAnsi="Calibri" w:eastAsia="Calibri" w:cs="Calibri"/>
          <w:b/>
          <w:bCs/>
          <w:color w:val="auto"/>
        </w:rPr>
        <w:t xml:space="preserve">Regarding: </w:t>
      </w:r>
      <w:r>
        <w:rPr>
          <w:rFonts w:ascii="Calibri" w:hAnsi="Calibri" w:eastAsia="Calibri" w:cs="Calibri"/>
          <w:color w:val="auto"/>
        </w:rPr>
        <w:t>Security incident affecting your central server, 7–8 March 2022</w:t>
      </w:r>
    </w:p>
    <w:p w14:paraId="6DE2B447">
      <w:pPr>
        <w:spacing w:after="200"/>
        <w:rPr>
          <w:color w:val="auto"/>
        </w:rPr>
      </w:pPr>
    </w:p>
    <w:p w14:paraId="23ED861C">
      <w:pPr>
        <w:pStyle w:val="2"/>
        <w:spacing w:before="240" w:after="120"/>
        <w:rPr>
          <w:color w:val="auto"/>
        </w:rPr>
      </w:pPr>
      <w:r>
        <w:rPr>
          <w:rFonts w:ascii="Calibri" w:hAnsi="Calibri" w:eastAsia="Calibri" w:cs="Calibri"/>
          <w:b/>
          <w:bCs/>
          <w:color w:val="auto"/>
        </w:rPr>
        <w:t>HEADLINE FINDING</w:t>
      </w:r>
    </w:p>
    <w:p w14:paraId="7E9E061F">
      <w:pPr>
        <w:pStyle w:val="2"/>
        <w:spacing w:before="240" w:after="120"/>
        <w:rPr>
          <w:rFonts w:hint="default" w:ascii="Calibri" w:hAnsi="Calibri" w:eastAsia="Calibri" w:cs="Calibri"/>
          <w:b w:val="0"/>
          <w:bCs w:val="0"/>
          <w:i w:val="0"/>
          <w:iCs w:val="0"/>
          <w:color w:val="auto"/>
          <w:sz w:val="22"/>
          <w:szCs w:val="22"/>
        </w:rPr>
      </w:pPr>
      <w:r>
        <w:rPr>
          <w:rFonts w:hint="default" w:ascii="Calibri" w:hAnsi="Calibri" w:eastAsia="Calibri" w:cs="Calibri"/>
          <w:b w:val="0"/>
          <w:bCs w:val="0"/>
          <w:i w:val="0"/>
          <w:iCs w:val="0"/>
          <w:color w:val="auto"/>
          <w:sz w:val="22"/>
          <w:szCs w:val="22"/>
        </w:rPr>
        <w:t>Access to your computer was made by an unauthorised individual who logged into a staff account via an outdated and unencrypted remote-login program between 7 and 8 March 2022. The individual had about three minutes of direct access to your computer prior to disconnecting. Access to the customer database has been made and some files have been removed from the server.</w:t>
      </w:r>
    </w:p>
    <w:p w14:paraId="676D935A">
      <w:pPr>
        <w:pStyle w:val="2"/>
        <w:spacing w:before="240" w:after="120"/>
        <w:rPr>
          <w:color w:val="auto"/>
        </w:rPr>
      </w:pPr>
      <w:r>
        <w:rPr>
          <w:rFonts w:ascii="Calibri" w:hAnsi="Calibri" w:eastAsia="Calibri" w:cs="Calibri"/>
          <w:b/>
          <w:bCs/>
          <w:color w:val="auto"/>
        </w:rPr>
        <w:t>SITUATION SUMMARY</w:t>
      </w:r>
    </w:p>
    <w:p w14:paraId="5364AAF8">
      <w:pPr>
        <w:pStyle w:val="2"/>
        <w:spacing w:before="240" w:after="120"/>
        <w:rPr>
          <w:rFonts w:hint="default" w:ascii="Calibri" w:hAnsi="Calibri" w:eastAsia="Calibri" w:cs="Calibri"/>
          <w:b w:val="0"/>
          <w:bCs w:val="0"/>
          <w:i w:val="0"/>
          <w:iCs w:val="0"/>
          <w:color w:val="auto"/>
          <w:sz w:val="22"/>
          <w:szCs w:val="22"/>
        </w:rPr>
      </w:pPr>
      <w:r>
        <w:rPr>
          <w:rFonts w:hint="default" w:ascii="Calibri" w:hAnsi="Calibri" w:eastAsia="Calibri" w:cs="Calibri"/>
          <w:b w:val="0"/>
          <w:bCs w:val="0"/>
          <w:i w:val="0"/>
          <w:iCs w:val="0"/>
          <w:color w:val="auto"/>
          <w:sz w:val="22"/>
          <w:szCs w:val="22"/>
        </w:rPr>
        <w:t>Access to the central server of Frozen Yoghurt Ltd, which holds your email, website, internal documentation, customer database, Human Resources information, sales statistics, and inventory, was gained without authorisation for two days. The individual gained access to the server by utilising a remote-access facility which should not have been accessible via the network and logged in successfully with an employee-level account. Access was maintained for roughly three minutes. An additional breach of security took place when somebody else attempted to log into the server by password-guessing and this attempt failed. The files, including customer database documentation, have been confirmed as missing.</w:t>
      </w:r>
    </w:p>
    <w:p w14:paraId="1DA8F6DB">
      <w:pPr>
        <w:pStyle w:val="2"/>
        <w:spacing w:before="240" w:after="120"/>
        <w:rPr>
          <w:color w:val="auto"/>
        </w:rPr>
      </w:pPr>
      <w:r>
        <w:rPr>
          <w:rFonts w:ascii="Calibri" w:hAnsi="Calibri" w:eastAsia="Calibri" w:cs="Calibri"/>
          <w:b/>
          <w:bCs/>
          <w:color w:val="auto"/>
        </w:rPr>
        <w:t>WHAT IS AT RISK</w:t>
      </w:r>
    </w:p>
    <w:p w14:paraId="61D655ED">
      <w:pPr>
        <w:pStyle w:val="2"/>
        <w:spacing w:before="240" w:after="120"/>
        <w:rPr>
          <w:rFonts w:hint="default" w:ascii="Calibri" w:hAnsi="Calibri" w:eastAsia="Calibri" w:cs="Calibri"/>
          <w:b w:val="0"/>
          <w:bCs w:val="0"/>
          <w:i w:val="0"/>
          <w:iCs w:val="0"/>
          <w:color w:val="auto"/>
          <w:sz w:val="22"/>
          <w:szCs w:val="22"/>
        </w:rPr>
      </w:pPr>
      <w:r>
        <w:rPr>
          <w:rFonts w:hint="default" w:ascii="Calibri" w:hAnsi="Calibri" w:eastAsia="Calibri" w:cs="Calibri"/>
          <w:b w:val="0"/>
          <w:bCs w:val="0"/>
          <w:i w:val="0"/>
          <w:iCs w:val="0"/>
          <w:color w:val="auto"/>
          <w:sz w:val="22"/>
          <w:szCs w:val="22"/>
        </w:rPr>
        <w:t>The server is storing the personal information of your customer base, which will fall under the scope of the UK General Data Protection Regulation (GDPR) and the Data Protection Act 2018. Due to the permissions of the account used to access the server, the incident does not relate to just one particular type of record, but any record that could be accessed via this account during this period should be considered possibly compromised. Some of the implications of this for your company are: an obligation to assess this and report this incident to the Information Commissioner’s Office (ICO); obligations to possibly notify the affected customers; and other implications for your company’s reputation and trustworthiness with your customer base.</w:t>
      </w:r>
    </w:p>
    <w:p w14:paraId="0C30DC4E">
      <w:pPr>
        <w:pStyle w:val="2"/>
        <w:spacing w:before="240" w:after="120"/>
        <w:rPr>
          <w:color w:val="auto"/>
        </w:rPr>
      </w:pPr>
      <w:r>
        <w:rPr>
          <w:rFonts w:ascii="Calibri" w:hAnsi="Calibri" w:eastAsia="Calibri" w:cs="Calibri"/>
          <w:b/>
          <w:bCs/>
          <w:color w:val="auto"/>
        </w:rPr>
        <w:t xml:space="preserve">HOW IT HAPPENED </w:t>
      </w:r>
    </w:p>
    <w:p w14:paraId="7CA36160">
      <w:pPr>
        <w:pStyle w:val="2"/>
        <w:spacing w:before="240" w:after="120"/>
        <w:rPr>
          <w:rFonts w:hint="default" w:ascii="Calibri" w:hAnsi="Calibri" w:eastAsia="Calibri" w:cs="Calibri"/>
          <w:b w:val="0"/>
          <w:bCs w:val="0"/>
          <w:i w:val="0"/>
          <w:iCs w:val="0"/>
          <w:color w:val="auto"/>
          <w:sz w:val="22"/>
          <w:szCs w:val="22"/>
        </w:rPr>
      </w:pPr>
      <w:r>
        <w:rPr>
          <w:rFonts w:hint="default" w:ascii="Calibri" w:hAnsi="Calibri" w:eastAsia="Calibri" w:cs="Calibri"/>
          <w:b w:val="0"/>
          <w:bCs w:val="0"/>
          <w:i w:val="0"/>
          <w:iCs w:val="0"/>
          <w:color w:val="auto"/>
          <w:sz w:val="22"/>
          <w:szCs w:val="22"/>
        </w:rPr>
        <w:t>Your server had an outdated remote access system that sent everything, even the login information, in plain, readable text over the network connection and not in the newer encrypted manner, which is what is used by default now. During two days, the hacker attempted to connect to the old and modern systems to see if he would be able to get access via either of the connections. On the second day, he managed to get into the server using the old service for three minutes through logging into a staff account on the server, which gave him direct access to the files on the server. The other party attempted to use the brute force attack, sending hundreds of passwords simultaneously, to the other user account and failed. Your IT support person seems to have discovered something unusual and started looking at the security logs of your server but it was too late.</w:t>
      </w:r>
    </w:p>
    <w:p w14:paraId="51E92F5B">
      <w:pPr>
        <w:pStyle w:val="2"/>
        <w:spacing w:before="240" w:after="120"/>
        <w:rPr>
          <w:color w:val="auto"/>
        </w:rPr>
      </w:pPr>
      <w:r>
        <w:rPr>
          <w:rFonts w:ascii="Calibri" w:hAnsi="Calibri" w:eastAsia="Calibri" w:cs="Calibri"/>
          <w:b/>
          <w:bCs/>
          <w:color w:val="auto"/>
        </w:rPr>
        <w:t>THREE IMMEDIATE ACTIONS</w:t>
      </w:r>
    </w:p>
    <w:p w14:paraId="03275B5D">
      <w:pPr>
        <w:spacing w:after="120"/>
        <w:rPr>
          <w:color w:val="auto"/>
        </w:rPr>
      </w:pPr>
      <w:r>
        <w:rPr>
          <w:rFonts w:ascii="Calibri" w:hAnsi="Calibri" w:eastAsia="Calibri" w:cs="Calibri"/>
          <w:b/>
          <w:bCs/>
          <w:i w:val="0"/>
          <w:iCs w:val="0"/>
          <w:color w:val="auto"/>
        </w:rPr>
        <w:t>DISABLE THE OUTDATED REMOTE-ACCESS SERVICE TODAY.</w:t>
      </w:r>
    </w:p>
    <w:p w14:paraId="6C423969">
      <w:pPr>
        <w:spacing w:after="120"/>
        <w:rPr>
          <w:color w:val="auto"/>
        </w:rPr>
      </w:pPr>
      <w:r>
        <w:rPr>
          <w:rFonts w:ascii="Calibri" w:hAnsi="Calibri" w:eastAsia="Calibri" w:cs="Calibri"/>
          <w:b w:val="0"/>
          <w:bCs w:val="0"/>
          <w:i w:val="0"/>
          <w:iCs w:val="0"/>
          <w:color w:val="auto"/>
        </w:rPr>
        <w:t>The person managing your server should turn off the old, unencrypted remote-login service immediately — it is not needed for day-to-day operations and is the confirmed method the attacker used to get in (see D1, Row 2 and Row 5 in the supporting technical report). This can typically be done within the hour. This action alone does not close the exposure from the compromised staff account, which still needs its password changed separately.</w:t>
      </w:r>
    </w:p>
    <w:p w14:paraId="7DFFB446">
      <w:pPr>
        <w:spacing w:after="120"/>
        <w:rPr>
          <w:color w:val="auto"/>
        </w:rPr>
      </w:pPr>
      <w:r>
        <w:rPr>
          <w:rFonts w:ascii="Calibri" w:hAnsi="Calibri" w:eastAsia="Calibri" w:cs="Calibri"/>
          <w:b/>
          <w:bCs/>
          <w:i w:val="0"/>
          <w:iCs w:val="0"/>
          <w:color w:val="auto"/>
        </w:rPr>
        <w:t>Notify the ICO within 72 hours of the business becoming aware of this breach.</w:t>
      </w:r>
    </w:p>
    <w:p w14:paraId="732ECF83">
      <w:pPr>
        <w:spacing w:after="120"/>
        <w:rPr>
          <w:color w:val="auto"/>
        </w:rPr>
      </w:pPr>
      <w:r>
        <w:rPr>
          <w:rFonts w:ascii="Calibri" w:hAnsi="Calibri" w:eastAsia="Calibri" w:cs="Calibri"/>
          <w:b w:val="0"/>
          <w:bCs w:val="0"/>
          <w:i w:val="0"/>
          <w:iCs w:val="0"/>
          <w:color w:val="auto"/>
        </w:rPr>
        <w:t>The business owner, as the data controller, has a legal duty under the UK GDPR to assess whether this breach is likely to risk customers' rights and freedoms, and if so, to report it to the Information Commissioner's Office within 72 hours of first becoming aware (see D1, Row 5, and the appendix below). This deadline should be treated as already running from the point the breach was first discovered, not from today. Reporting on time does not, by itself, resolve the underlying security gaps or restore customer confidence.</w:t>
      </w:r>
    </w:p>
    <w:p w14:paraId="6BF2DE3D">
      <w:pPr>
        <w:spacing w:after="120"/>
        <w:rPr>
          <w:color w:val="auto"/>
        </w:rPr>
      </w:pPr>
      <w:r>
        <w:rPr>
          <w:rFonts w:ascii="Calibri" w:hAnsi="Calibri" w:eastAsia="Calibri" w:cs="Calibri"/>
          <w:b/>
          <w:bCs/>
          <w:i w:val="0"/>
          <w:iCs w:val="0"/>
          <w:color w:val="auto"/>
        </w:rPr>
        <w:t>Reset all account passwords and require strong, unique replacements.</w:t>
      </w:r>
    </w:p>
    <w:p w14:paraId="46A48F8C">
      <w:pPr>
        <w:spacing w:after="120"/>
        <w:rPr>
          <w:color w:val="auto"/>
        </w:rPr>
      </w:pPr>
      <w:r>
        <w:rPr>
          <w:rFonts w:ascii="Calibri" w:hAnsi="Calibri" w:eastAsia="Calibri" w:cs="Calibri"/>
          <w:b w:val="0"/>
          <w:bCs w:val="0"/>
          <w:i w:val="0"/>
          <w:iCs w:val="0"/>
          <w:color w:val="auto"/>
        </w:rPr>
        <w:t>Whoever manages user accounts on the server should reset every password — starting with the staff account used in the breach — and require strong, unique passwords going forward, ideally with two-factor authentication for remote access (see D1, Rows 3–4 and 7 for evidence of active password-guessing attempts against multiple accounts). This does not, on its own, address the root cause: the old remote-access service and the lack of any limit on repeated login attempts.</w:t>
      </w:r>
    </w:p>
    <w:p w14:paraId="448791CD">
      <w:pPr>
        <w:pStyle w:val="2"/>
        <w:spacing w:before="240" w:after="120"/>
        <w:rPr>
          <w:color w:val="auto"/>
        </w:rPr>
      </w:pPr>
      <w:r>
        <w:rPr>
          <w:rFonts w:ascii="Calibri" w:hAnsi="Calibri" w:eastAsia="Calibri" w:cs="Calibri"/>
          <w:b/>
          <w:bCs/>
          <w:color w:val="auto"/>
        </w:rPr>
        <w:t>SYSTEMIC RECOMMENDATIONS</w:t>
      </w:r>
    </w:p>
    <w:p w14:paraId="7CFE6686">
      <w:pPr>
        <w:pStyle w:val="16"/>
        <w:numPr>
          <w:ilvl w:val="0"/>
          <w:numId w:val="1"/>
        </w:numPr>
        <w:spacing w:after="60"/>
        <w:rPr>
          <w:color w:val="auto"/>
        </w:rPr>
      </w:pPr>
      <w:r>
        <w:rPr>
          <w:rFonts w:ascii="Calibri" w:hAnsi="Calibri" w:eastAsia="Calibri" w:cs="Calibri"/>
          <w:color w:val="auto"/>
        </w:rPr>
        <w:t xml:space="preserve">Permanently remove the outdated remote-access service and </w:t>
      </w:r>
      <w:r>
        <w:rPr>
          <w:rFonts w:ascii="Calibri" w:hAnsi="Calibri" w:eastAsia="Calibri" w:cs="Calibri"/>
          <w:color w:val="auto"/>
          <w:lang w:val="en-US"/>
        </w:rPr>
        <w:t>standardize</w:t>
      </w:r>
      <w:r>
        <w:rPr>
          <w:rFonts w:ascii="Calibri" w:hAnsi="Calibri" w:eastAsia="Calibri" w:cs="Calibri"/>
          <w:color w:val="auto"/>
        </w:rPr>
        <w:t xml:space="preserve"> on its modern, encrypted replacement with key-based sign-in — aligned with NCSC Cyber Essentials guidance on secure configuration.</w:t>
      </w:r>
    </w:p>
    <w:p w14:paraId="6CCEEEB0">
      <w:pPr>
        <w:pStyle w:val="16"/>
        <w:numPr>
          <w:ilvl w:val="0"/>
          <w:numId w:val="1"/>
        </w:numPr>
        <w:spacing w:after="60"/>
        <w:rPr>
          <w:color w:val="auto"/>
        </w:rPr>
      </w:pPr>
      <w:r>
        <w:rPr>
          <w:rFonts w:ascii="Calibri" w:hAnsi="Calibri" w:eastAsia="Calibri" w:cs="Calibri"/>
          <w:color w:val="auto"/>
        </w:rPr>
        <w:t>Introduce a limit on repeated failed sign-in attempts (an automatic, temporary lockout) on any service reachable from outside a trusted device — aligned with CIS Controls v8, Control 4.</w:t>
      </w:r>
    </w:p>
    <w:p w14:paraId="4D9CF6ED">
      <w:pPr>
        <w:pStyle w:val="16"/>
        <w:numPr>
          <w:ilvl w:val="0"/>
          <w:numId w:val="1"/>
        </w:numPr>
        <w:spacing w:after="60"/>
        <w:rPr>
          <w:color w:val="auto"/>
        </w:rPr>
      </w:pPr>
      <w:r>
        <w:rPr>
          <w:rFonts w:ascii="Calibri" w:hAnsi="Calibri" w:eastAsia="Calibri" w:cs="Calibri"/>
          <w:color w:val="auto"/>
        </w:rPr>
        <w:t>Put a written, rehearsed data-breach response procedure in place, covering who assesses the breach, who notifies the ICO, and who notifies affected customers — required under UK GDPR Article 32 and Article 33.</w:t>
      </w:r>
    </w:p>
    <w:p w14:paraId="760ABEE5">
      <w:pPr>
        <w:pStyle w:val="2"/>
        <w:spacing w:before="240" w:after="120"/>
        <w:rPr>
          <w:color w:val="auto"/>
        </w:rPr>
      </w:pPr>
      <w:r>
        <w:rPr>
          <w:rFonts w:ascii="Calibri" w:hAnsi="Calibri" w:eastAsia="Calibri" w:cs="Calibri"/>
          <w:b/>
          <w:bCs/>
          <w:color w:val="auto"/>
        </w:rPr>
        <w:t>EVIDENCE APPENDIX</w:t>
      </w:r>
    </w:p>
    <w:p w14:paraId="51FDD5F6">
      <w:pPr>
        <w:spacing w:after="120"/>
        <w:rPr>
          <w:color w:val="auto"/>
        </w:rPr>
      </w:pPr>
      <w:r>
        <w:rPr>
          <w:rFonts w:ascii="Calibri" w:hAnsi="Calibri" w:eastAsia="Calibri" w:cs="Calibri"/>
          <w:b w:val="0"/>
          <w:bCs w:val="0"/>
          <w:i w:val="0"/>
          <w:iCs w:val="0"/>
          <w:color w:val="auto"/>
        </w:rPr>
        <w:t>Every log reference cited in this report, for cross-checking against the full technical report (D1):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9"/>
        <w:gridCol w:w="1903"/>
        <w:gridCol w:w="2388"/>
        <w:gridCol w:w="1554"/>
        <w:gridCol w:w="3146"/>
      </w:tblGrid>
      <w:tr w14:paraId="13B5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shd w:val="clear" w:color="auto" w:fill="auto"/>
            <w:tcMar>
              <w:top w:w="80" w:type="dxa"/>
              <w:left w:w="100" w:type="dxa"/>
              <w:bottom w:w="80" w:type="dxa"/>
              <w:right w:w="100" w:type="dxa"/>
            </w:tcMar>
            <w:vAlign w:val="top"/>
          </w:tcPr>
          <w:p w14:paraId="79952BD0">
            <w:pPr>
              <w:rPr>
                <w:color w:val="auto"/>
              </w:rPr>
            </w:pPr>
          </w:p>
        </w:tc>
        <w:tc>
          <w:tcPr>
            <w:tcW w:w="2200" w:type="dxa"/>
            <w:shd w:val="clear" w:color="auto" w:fill="auto"/>
            <w:tcMar>
              <w:top w:w="80" w:type="dxa"/>
              <w:left w:w="100" w:type="dxa"/>
              <w:bottom w:w="80" w:type="dxa"/>
              <w:right w:w="100" w:type="dxa"/>
            </w:tcMar>
            <w:vAlign w:val="top"/>
          </w:tcPr>
          <w:p w14:paraId="14C692D7">
            <w:pPr>
              <w:rPr>
                <w:color w:val="auto"/>
              </w:rPr>
            </w:pPr>
            <w:r>
              <w:rPr>
                <w:rFonts w:ascii="Calibri" w:hAnsi="Calibri" w:eastAsia="Calibri" w:cs="Calibri"/>
                <w:b/>
                <w:bCs/>
                <w:color w:val="auto"/>
                <w:sz w:val="17"/>
                <w:szCs w:val="17"/>
              </w:rPr>
              <w:t>Reference</w:t>
            </w:r>
          </w:p>
        </w:tc>
        <w:tc>
          <w:tcPr>
            <w:tcW w:w="1400" w:type="dxa"/>
            <w:shd w:val="clear" w:color="auto" w:fill="auto"/>
            <w:tcMar>
              <w:top w:w="80" w:type="dxa"/>
              <w:left w:w="100" w:type="dxa"/>
              <w:bottom w:w="80" w:type="dxa"/>
              <w:right w:w="100" w:type="dxa"/>
            </w:tcMar>
            <w:vAlign w:val="top"/>
          </w:tcPr>
          <w:p w14:paraId="5A8E122B">
            <w:pPr>
              <w:rPr>
                <w:color w:val="auto"/>
              </w:rPr>
            </w:pPr>
            <w:r>
              <w:rPr>
                <w:rFonts w:ascii="Calibri" w:hAnsi="Calibri" w:eastAsia="Calibri" w:cs="Calibri"/>
                <w:b/>
                <w:bCs/>
                <w:color w:val="auto"/>
                <w:sz w:val="17"/>
                <w:szCs w:val="17"/>
              </w:rPr>
              <w:t>File</w:t>
            </w:r>
          </w:p>
        </w:tc>
        <w:tc>
          <w:tcPr>
            <w:tcW w:w="1600" w:type="dxa"/>
            <w:shd w:val="clear" w:color="auto" w:fill="auto"/>
            <w:tcMar>
              <w:top w:w="80" w:type="dxa"/>
              <w:left w:w="100" w:type="dxa"/>
              <w:bottom w:w="80" w:type="dxa"/>
              <w:right w:w="100" w:type="dxa"/>
            </w:tcMar>
            <w:vAlign w:val="top"/>
          </w:tcPr>
          <w:p w14:paraId="15F844A3">
            <w:pPr>
              <w:rPr>
                <w:color w:val="auto"/>
              </w:rPr>
            </w:pPr>
            <w:r>
              <w:rPr>
                <w:rFonts w:ascii="Calibri" w:hAnsi="Calibri" w:eastAsia="Calibri" w:cs="Calibri"/>
                <w:b/>
                <w:bCs/>
                <w:color w:val="auto"/>
                <w:sz w:val="17"/>
                <w:szCs w:val="17"/>
              </w:rPr>
              <w:t>Timestamp</w:t>
            </w:r>
          </w:p>
        </w:tc>
        <w:tc>
          <w:tcPr>
            <w:tcW w:w="3760" w:type="dxa"/>
            <w:shd w:val="clear" w:color="auto" w:fill="auto"/>
            <w:tcMar>
              <w:top w:w="80" w:type="dxa"/>
              <w:left w:w="100" w:type="dxa"/>
              <w:bottom w:w="80" w:type="dxa"/>
              <w:right w:w="100" w:type="dxa"/>
            </w:tcMar>
            <w:vAlign w:val="top"/>
          </w:tcPr>
          <w:p w14:paraId="42102304">
            <w:pPr>
              <w:rPr>
                <w:color w:val="auto"/>
              </w:rPr>
            </w:pPr>
            <w:r>
              <w:rPr>
                <w:rFonts w:ascii="Calibri" w:hAnsi="Calibri" w:eastAsia="Calibri" w:cs="Calibri"/>
                <w:b/>
                <w:bCs/>
                <w:color w:val="auto"/>
                <w:sz w:val="17"/>
                <w:szCs w:val="17"/>
              </w:rPr>
              <w:t>Description</w:t>
            </w:r>
          </w:p>
        </w:tc>
      </w:tr>
      <w:tr w14:paraId="201F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59F81D41">
            <w:pPr>
              <w:rPr>
                <w:color w:val="auto"/>
              </w:rPr>
            </w:pPr>
            <w:r>
              <w:rPr>
                <w:rFonts w:ascii="Calibri" w:hAnsi="Calibri" w:eastAsia="Calibri" w:cs="Calibri"/>
                <w:b w:val="0"/>
                <w:bCs w:val="0"/>
                <w:color w:val="auto"/>
                <w:sz w:val="16"/>
                <w:szCs w:val="16"/>
              </w:rPr>
              <w:t>1</w:t>
            </w:r>
          </w:p>
        </w:tc>
        <w:tc>
          <w:tcPr>
            <w:tcW w:w="2200" w:type="dxa"/>
            <w:tcMar>
              <w:top w:w="80" w:type="dxa"/>
              <w:left w:w="100" w:type="dxa"/>
              <w:bottom w:w="80" w:type="dxa"/>
              <w:right w:w="100" w:type="dxa"/>
            </w:tcMar>
            <w:vAlign w:val="top"/>
          </w:tcPr>
          <w:p w14:paraId="3CA6540C">
            <w:pPr>
              <w:rPr>
                <w:color w:val="auto"/>
              </w:rPr>
            </w:pPr>
            <w:r>
              <w:rPr>
                <w:rFonts w:ascii="Calibri" w:hAnsi="Calibri" w:eastAsia="Calibri" w:cs="Calibri"/>
                <w:b w:val="0"/>
                <w:bCs w:val="0"/>
                <w:color w:val="auto"/>
                <w:sz w:val="16"/>
                <w:szCs w:val="16"/>
              </w:rPr>
              <w:t>First TELNET connection attempt</w:t>
            </w:r>
          </w:p>
        </w:tc>
        <w:tc>
          <w:tcPr>
            <w:tcW w:w="1400" w:type="dxa"/>
            <w:tcMar>
              <w:top w:w="80" w:type="dxa"/>
              <w:left w:w="100" w:type="dxa"/>
              <w:bottom w:w="80" w:type="dxa"/>
              <w:right w:w="100" w:type="dxa"/>
            </w:tcMar>
            <w:vAlign w:val="top"/>
          </w:tcPr>
          <w:p w14:paraId="0D85259C">
            <w:pPr>
              <w:rPr>
                <w:color w:val="auto"/>
              </w:rPr>
            </w:pPr>
            <w:r>
              <w:rPr>
                <w:rFonts w:ascii="Calibri" w:hAnsi="Calibri" w:eastAsia="Calibri" w:cs="Calibri"/>
                <w:b w:val="0"/>
                <w:bCs w:val="0"/>
                <w:color w:val="auto"/>
                <w:sz w:val="16"/>
                <w:szCs w:val="16"/>
              </w:rPr>
              <w:t>suricatalogs.log</w:t>
            </w:r>
          </w:p>
        </w:tc>
        <w:tc>
          <w:tcPr>
            <w:tcW w:w="1600" w:type="dxa"/>
            <w:tcMar>
              <w:top w:w="80" w:type="dxa"/>
              <w:left w:w="100" w:type="dxa"/>
              <w:bottom w:w="80" w:type="dxa"/>
              <w:right w:w="100" w:type="dxa"/>
            </w:tcMar>
            <w:vAlign w:val="top"/>
          </w:tcPr>
          <w:p w14:paraId="4DD6DD96">
            <w:pPr>
              <w:rPr>
                <w:color w:val="auto"/>
              </w:rPr>
            </w:pPr>
            <w:r>
              <w:rPr>
                <w:rFonts w:ascii="Calibri" w:hAnsi="Calibri" w:eastAsia="Calibri" w:cs="Calibri"/>
                <w:b w:val="0"/>
                <w:bCs w:val="0"/>
                <w:color w:val="auto"/>
                <w:sz w:val="16"/>
                <w:szCs w:val="16"/>
              </w:rPr>
              <w:t>03/07/2022 15:56:43</w:t>
            </w:r>
          </w:p>
        </w:tc>
        <w:tc>
          <w:tcPr>
            <w:tcW w:w="3760" w:type="dxa"/>
            <w:tcMar>
              <w:top w:w="80" w:type="dxa"/>
              <w:left w:w="100" w:type="dxa"/>
              <w:bottom w:w="80" w:type="dxa"/>
              <w:right w:w="100" w:type="dxa"/>
            </w:tcMar>
            <w:vAlign w:val="top"/>
          </w:tcPr>
          <w:p w14:paraId="089D4786">
            <w:pPr>
              <w:rPr>
                <w:color w:val="auto"/>
              </w:rPr>
            </w:pPr>
            <w:r>
              <w:rPr>
                <w:rFonts w:ascii="Calibri" w:hAnsi="Calibri" w:eastAsia="Calibri" w:cs="Calibri"/>
                <w:b w:val="0"/>
                <w:bCs w:val="0"/>
                <w:color w:val="auto"/>
                <w:sz w:val="16"/>
                <w:szCs w:val="16"/>
              </w:rPr>
              <w:t>IDS alert, 192.168.56.1 → 192.168.56.102:23 (D1 Row 1)</w:t>
            </w:r>
          </w:p>
        </w:tc>
      </w:tr>
      <w:tr w14:paraId="6097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33394AA9">
            <w:pPr>
              <w:rPr>
                <w:color w:val="auto"/>
              </w:rPr>
            </w:pPr>
            <w:r>
              <w:rPr>
                <w:rFonts w:ascii="Calibri" w:hAnsi="Calibri" w:eastAsia="Calibri" w:cs="Calibri"/>
                <w:b w:val="0"/>
                <w:bCs w:val="0"/>
                <w:color w:val="auto"/>
                <w:sz w:val="16"/>
                <w:szCs w:val="16"/>
              </w:rPr>
              <w:t>2</w:t>
            </w:r>
          </w:p>
        </w:tc>
        <w:tc>
          <w:tcPr>
            <w:tcW w:w="2200" w:type="dxa"/>
            <w:tcMar>
              <w:top w:w="80" w:type="dxa"/>
              <w:left w:w="100" w:type="dxa"/>
              <w:bottom w:w="80" w:type="dxa"/>
              <w:right w:w="100" w:type="dxa"/>
            </w:tcMar>
            <w:vAlign w:val="top"/>
          </w:tcPr>
          <w:p w14:paraId="306D520A">
            <w:pPr>
              <w:rPr>
                <w:color w:val="auto"/>
              </w:rPr>
            </w:pPr>
            <w:r>
              <w:rPr>
                <w:rFonts w:ascii="Calibri" w:hAnsi="Calibri" w:eastAsia="Calibri" w:cs="Calibri"/>
                <w:b w:val="0"/>
                <w:bCs w:val="0"/>
                <w:color w:val="auto"/>
                <w:sz w:val="16"/>
                <w:szCs w:val="16"/>
              </w:rPr>
              <w:t>TELNET connection accepted</w:t>
            </w:r>
          </w:p>
        </w:tc>
        <w:tc>
          <w:tcPr>
            <w:tcW w:w="1400" w:type="dxa"/>
            <w:tcMar>
              <w:top w:w="80" w:type="dxa"/>
              <w:left w:w="100" w:type="dxa"/>
              <w:bottom w:w="80" w:type="dxa"/>
              <w:right w:w="100" w:type="dxa"/>
            </w:tcMar>
            <w:vAlign w:val="top"/>
          </w:tcPr>
          <w:p w14:paraId="6B79A552">
            <w:pPr>
              <w:rPr>
                <w:color w:val="auto"/>
              </w:rPr>
            </w:pPr>
            <w:r>
              <w:rPr>
                <w:rFonts w:ascii="Calibri" w:hAnsi="Calibri" w:eastAsia="Calibri" w:cs="Calibri"/>
                <w:b w:val="0"/>
                <w:bCs w:val="0"/>
                <w:color w:val="auto"/>
                <w:sz w:val="16"/>
                <w:szCs w:val="16"/>
              </w:rPr>
              <w:t>syslog</w:t>
            </w:r>
          </w:p>
        </w:tc>
        <w:tc>
          <w:tcPr>
            <w:tcW w:w="1600" w:type="dxa"/>
            <w:tcMar>
              <w:top w:w="80" w:type="dxa"/>
              <w:left w:w="100" w:type="dxa"/>
              <w:bottom w:w="80" w:type="dxa"/>
              <w:right w:w="100" w:type="dxa"/>
            </w:tcMar>
            <w:vAlign w:val="top"/>
          </w:tcPr>
          <w:p w14:paraId="79419A48">
            <w:pPr>
              <w:rPr>
                <w:color w:val="auto"/>
              </w:rPr>
            </w:pPr>
            <w:r>
              <w:rPr>
                <w:rFonts w:ascii="Calibri" w:hAnsi="Calibri" w:eastAsia="Calibri" w:cs="Calibri"/>
                <w:b w:val="0"/>
                <w:bCs w:val="0"/>
                <w:color w:val="auto"/>
                <w:sz w:val="16"/>
                <w:szCs w:val="16"/>
              </w:rPr>
              <w:t>Mar 8 14:32:45</w:t>
            </w:r>
          </w:p>
        </w:tc>
        <w:tc>
          <w:tcPr>
            <w:tcW w:w="3760" w:type="dxa"/>
            <w:tcMar>
              <w:top w:w="80" w:type="dxa"/>
              <w:left w:w="100" w:type="dxa"/>
              <w:bottom w:w="80" w:type="dxa"/>
              <w:right w:w="100" w:type="dxa"/>
            </w:tcMar>
            <w:vAlign w:val="top"/>
          </w:tcPr>
          <w:p w14:paraId="62D37648">
            <w:pPr>
              <w:rPr>
                <w:color w:val="auto"/>
              </w:rPr>
            </w:pPr>
            <w:r>
              <w:rPr>
                <w:rFonts w:ascii="Calibri" w:hAnsi="Calibri" w:eastAsia="Calibri" w:cs="Calibri"/>
                <w:b w:val="0"/>
                <w:bCs w:val="0"/>
                <w:color w:val="auto"/>
                <w:sz w:val="16"/>
                <w:szCs w:val="16"/>
              </w:rPr>
              <w:t>in.telnetd confirms an established TELNET session (D1 Row 2)</w:t>
            </w:r>
          </w:p>
        </w:tc>
      </w:tr>
      <w:tr w14:paraId="3388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6D105A2D">
            <w:pPr>
              <w:rPr>
                <w:color w:val="auto"/>
              </w:rPr>
            </w:pPr>
            <w:r>
              <w:rPr>
                <w:rFonts w:ascii="Calibri" w:hAnsi="Calibri" w:eastAsia="Calibri" w:cs="Calibri"/>
                <w:b w:val="0"/>
                <w:bCs w:val="0"/>
                <w:color w:val="auto"/>
                <w:sz w:val="16"/>
                <w:szCs w:val="16"/>
              </w:rPr>
              <w:t>3</w:t>
            </w:r>
          </w:p>
        </w:tc>
        <w:tc>
          <w:tcPr>
            <w:tcW w:w="2200" w:type="dxa"/>
            <w:tcMar>
              <w:top w:w="80" w:type="dxa"/>
              <w:left w:w="100" w:type="dxa"/>
              <w:bottom w:w="80" w:type="dxa"/>
              <w:right w:w="100" w:type="dxa"/>
            </w:tcMar>
            <w:vAlign w:val="top"/>
          </w:tcPr>
          <w:p w14:paraId="78A029EB">
            <w:pPr>
              <w:rPr>
                <w:color w:val="auto"/>
              </w:rPr>
            </w:pPr>
            <w:r>
              <w:rPr>
                <w:rFonts w:ascii="Calibri" w:hAnsi="Calibri" w:eastAsia="Calibri" w:cs="Calibri"/>
                <w:b w:val="0"/>
                <w:bCs w:val="0"/>
                <w:color w:val="auto"/>
                <w:sz w:val="16"/>
                <w:szCs w:val="16"/>
              </w:rPr>
              <w:t>Confirmed unauthorised access</w:t>
            </w:r>
          </w:p>
        </w:tc>
        <w:tc>
          <w:tcPr>
            <w:tcW w:w="1400" w:type="dxa"/>
            <w:tcMar>
              <w:top w:w="80" w:type="dxa"/>
              <w:left w:w="100" w:type="dxa"/>
              <w:bottom w:w="80" w:type="dxa"/>
              <w:right w:w="100" w:type="dxa"/>
            </w:tcMar>
            <w:vAlign w:val="top"/>
          </w:tcPr>
          <w:p w14:paraId="1822EB22">
            <w:pPr>
              <w:rPr>
                <w:color w:val="auto"/>
              </w:rPr>
            </w:pPr>
            <w:r>
              <w:rPr>
                <w:rFonts w:ascii="Calibri" w:hAnsi="Calibri" w:eastAsia="Calibri" w:cs="Calibri"/>
                <w:b w:val="0"/>
                <w:bCs w:val="0"/>
                <w:color w:val="auto"/>
                <w:sz w:val="16"/>
                <w:szCs w:val="16"/>
              </w:rPr>
              <w:t>auth.log</w:t>
            </w:r>
          </w:p>
        </w:tc>
        <w:tc>
          <w:tcPr>
            <w:tcW w:w="1600" w:type="dxa"/>
            <w:tcMar>
              <w:top w:w="80" w:type="dxa"/>
              <w:left w:w="100" w:type="dxa"/>
              <w:bottom w:w="80" w:type="dxa"/>
              <w:right w:w="100" w:type="dxa"/>
            </w:tcMar>
            <w:vAlign w:val="top"/>
          </w:tcPr>
          <w:p w14:paraId="0B0CDB87">
            <w:pPr>
              <w:rPr>
                <w:color w:val="auto"/>
              </w:rPr>
            </w:pPr>
            <w:r>
              <w:rPr>
                <w:rFonts w:ascii="Calibri" w:hAnsi="Calibri" w:eastAsia="Calibri" w:cs="Calibri"/>
                <w:b w:val="0"/>
                <w:bCs w:val="0"/>
                <w:color w:val="auto"/>
                <w:sz w:val="16"/>
                <w:szCs w:val="16"/>
              </w:rPr>
              <w:t>Mar 8 14:35:56–14:38:38</w:t>
            </w:r>
          </w:p>
        </w:tc>
        <w:tc>
          <w:tcPr>
            <w:tcW w:w="3760" w:type="dxa"/>
            <w:tcMar>
              <w:top w:w="80" w:type="dxa"/>
              <w:left w:w="100" w:type="dxa"/>
              <w:bottom w:w="80" w:type="dxa"/>
              <w:right w:w="100" w:type="dxa"/>
            </w:tcMar>
            <w:vAlign w:val="top"/>
          </w:tcPr>
          <w:p w14:paraId="2754AE97">
            <w:pPr>
              <w:rPr>
                <w:color w:val="auto"/>
              </w:rPr>
            </w:pPr>
            <w:r>
              <w:rPr>
                <w:rFonts w:ascii="Calibri" w:hAnsi="Calibri" w:eastAsia="Calibri" w:cs="Calibri"/>
                <w:b w:val="0"/>
                <w:bCs w:val="0"/>
                <w:color w:val="auto"/>
                <w:sz w:val="16"/>
                <w:szCs w:val="16"/>
              </w:rPr>
              <w:t>Session opened for the frozen-yoghurt account; live access for ~2m42s (D1 Row 5)</w:t>
            </w:r>
          </w:p>
        </w:tc>
      </w:tr>
      <w:tr w14:paraId="038F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546FAC1A">
            <w:pPr>
              <w:rPr>
                <w:color w:val="auto"/>
              </w:rPr>
            </w:pPr>
            <w:r>
              <w:rPr>
                <w:rFonts w:ascii="Calibri" w:hAnsi="Calibri" w:eastAsia="Calibri" w:cs="Calibri"/>
                <w:b w:val="0"/>
                <w:bCs w:val="0"/>
                <w:color w:val="auto"/>
                <w:sz w:val="16"/>
                <w:szCs w:val="16"/>
              </w:rPr>
              <w:t>4</w:t>
            </w:r>
          </w:p>
        </w:tc>
        <w:tc>
          <w:tcPr>
            <w:tcW w:w="2200" w:type="dxa"/>
            <w:tcMar>
              <w:top w:w="80" w:type="dxa"/>
              <w:left w:w="100" w:type="dxa"/>
              <w:bottom w:w="80" w:type="dxa"/>
              <w:right w:w="100" w:type="dxa"/>
            </w:tcMar>
            <w:vAlign w:val="top"/>
          </w:tcPr>
          <w:p w14:paraId="5B9C2F67">
            <w:pPr>
              <w:rPr>
                <w:color w:val="auto"/>
              </w:rPr>
            </w:pPr>
            <w:r>
              <w:rPr>
                <w:rFonts w:ascii="Calibri" w:hAnsi="Calibri" w:eastAsia="Calibri" w:cs="Calibri"/>
                <w:b w:val="0"/>
                <w:bCs w:val="0"/>
                <w:color w:val="auto"/>
                <w:sz w:val="16"/>
                <w:szCs w:val="16"/>
              </w:rPr>
              <w:t>Large TELNET data session</w:t>
            </w:r>
          </w:p>
        </w:tc>
        <w:tc>
          <w:tcPr>
            <w:tcW w:w="1400" w:type="dxa"/>
            <w:tcMar>
              <w:top w:w="80" w:type="dxa"/>
              <w:left w:w="100" w:type="dxa"/>
              <w:bottom w:w="80" w:type="dxa"/>
              <w:right w:w="100" w:type="dxa"/>
            </w:tcMar>
            <w:vAlign w:val="top"/>
          </w:tcPr>
          <w:p w14:paraId="7E2C48FA">
            <w:pPr>
              <w:rPr>
                <w:color w:val="auto"/>
              </w:rPr>
            </w:pPr>
            <w:r>
              <w:rPr>
                <w:rFonts w:ascii="Calibri" w:hAnsi="Calibri" w:eastAsia="Calibri" w:cs="Calibri"/>
                <w:b w:val="0"/>
                <w:bCs w:val="0"/>
                <w:color w:val="auto"/>
                <w:sz w:val="16"/>
                <w:szCs w:val="16"/>
              </w:rPr>
              <w:t>Network_Packet_Capture.pcapng</w:t>
            </w:r>
          </w:p>
        </w:tc>
        <w:tc>
          <w:tcPr>
            <w:tcW w:w="1600" w:type="dxa"/>
            <w:tcMar>
              <w:top w:w="80" w:type="dxa"/>
              <w:left w:w="100" w:type="dxa"/>
              <w:bottom w:w="80" w:type="dxa"/>
              <w:right w:w="100" w:type="dxa"/>
            </w:tcMar>
            <w:vAlign w:val="top"/>
          </w:tcPr>
          <w:p w14:paraId="503325A1">
            <w:pPr>
              <w:rPr>
                <w:color w:val="auto"/>
              </w:rPr>
            </w:pPr>
            <w:r>
              <w:rPr>
                <w:rFonts w:ascii="Calibri" w:hAnsi="Calibri" w:eastAsia="Calibri" w:cs="Calibri"/>
                <w:b w:val="0"/>
                <w:bCs w:val="0"/>
                <w:color w:val="auto"/>
                <w:sz w:val="16"/>
                <w:szCs w:val="16"/>
              </w:rPr>
              <w:t>Mar 8 14:35:46–14:38:38</w:t>
            </w:r>
          </w:p>
        </w:tc>
        <w:tc>
          <w:tcPr>
            <w:tcW w:w="3760" w:type="dxa"/>
            <w:tcMar>
              <w:top w:w="80" w:type="dxa"/>
              <w:left w:w="100" w:type="dxa"/>
              <w:bottom w:w="80" w:type="dxa"/>
              <w:right w:w="100" w:type="dxa"/>
            </w:tcMar>
            <w:vAlign w:val="top"/>
          </w:tcPr>
          <w:p w14:paraId="78CE70BF">
            <w:pPr>
              <w:rPr>
                <w:color w:val="auto"/>
              </w:rPr>
            </w:pPr>
            <w:r>
              <w:rPr>
                <w:rFonts w:ascii="Calibri" w:hAnsi="Calibri" w:eastAsia="Calibri" w:cs="Calibri"/>
                <w:b w:val="0"/>
                <w:bCs w:val="0"/>
                <w:color w:val="auto"/>
                <w:sz w:val="16"/>
                <w:szCs w:val="16"/>
              </w:rPr>
              <w:t>5,335-packet / ~4MB TELNET session matching the breach window (D1 Row 11)</w:t>
            </w:r>
          </w:p>
        </w:tc>
      </w:tr>
      <w:tr w14:paraId="4DBD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407EE303">
            <w:pPr>
              <w:rPr>
                <w:color w:val="auto"/>
              </w:rPr>
            </w:pPr>
            <w:r>
              <w:rPr>
                <w:rFonts w:ascii="Calibri" w:hAnsi="Calibri" w:eastAsia="Calibri" w:cs="Calibri"/>
                <w:b w:val="0"/>
                <w:bCs w:val="0"/>
                <w:color w:val="auto"/>
                <w:sz w:val="16"/>
                <w:szCs w:val="16"/>
              </w:rPr>
              <w:t>5</w:t>
            </w:r>
          </w:p>
        </w:tc>
        <w:tc>
          <w:tcPr>
            <w:tcW w:w="2200" w:type="dxa"/>
            <w:tcMar>
              <w:top w:w="80" w:type="dxa"/>
              <w:left w:w="100" w:type="dxa"/>
              <w:bottom w:w="80" w:type="dxa"/>
              <w:right w:w="100" w:type="dxa"/>
            </w:tcMar>
            <w:vAlign w:val="top"/>
          </w:tcPr>
          <w:p w14:paraId="68A5C984">
            <w:pPr>
              <w:rPr>
                <w:color w:val="auto"/>
              </w:rPr>
            </w:pPr>
            <w:r>
              <w:rPr>
                <w:rFonts w:ascii="Calibri" w:hAnsi="Calibri" w:eastAsia="Calibri" w:cs="Calibri"/>
                <w:b w:val="0"/>
                <w:bCs w:val="0"/>
                <w:color w:val="auto"/>
                <w:sz w:val="16"/>
                <w:szCs w:val="16"/>
              </w:rPr>
              <w:t>Automated attack tooling (second actor)</w:t>
            </w:r>
          </w:p>
        </w:tc>
        <w:tc>
          <w:tcPr>
            <w:tcW w:w="1400" w:type="dxa"/>
            <w:tcMar>
              <w:top w:w="80" w:type="dxa"/>
              <w:left w:w="100" w:type="dxa"/>
              <w:bottom w:w="80" w:type="dxa"/>
              <w:right w:w="100" w:type="dxa"/>
            </w:tcMar>
            <w:vAlign w:val="top"/>
          </w:tcPr>
          <w:p w14:paraId="4CEEF4D4">
            <w:pPr>
              <w:rPr>
                <w:color w:val="auto"/>
              </w:rPr>
            </w:pPr>
            <w:r>
              <w:rPr>
                <w:rFonts w:ascii="Calibri" w:hAnsi="Calibri" w:eastAsia="Calibri" w:cs="Calibri"/>
                <w:b w:val="0"/>
                <w:bCs w:val="0"/>
                <w:color w:val="auto"/>
                <w:sz w:val="16"/>
                <w:szCs w:val="16"/>
              </w:rPr>
              <w:t>auth.log</w:t>
            </w:r>
          </w:p>
        </w:tc>
        <w:tc>
          <w:tcPr>
            <w:tcW w:w="1600" w:type="dxa"/>
            <w:tcMar>
              <w:top w:w="80" w:type="dxa"/>
              <w:left w:w="100" w:type="dxa"/>
              <w:bottom w:w="80" w:type="dxa"/>
              <w:right w:w="100" w:type="dxa"/>
            </w:tcMar>
            <w:vAlign w:val="top"/>
          </w:tcPr>
          <w:p w14:paraId="5864BE90">
            <w:pPr>
              <w:rPr>
                <w:color w:val="auto"/>
              </w:rPr>
            </w:pPr>
            <w:r>
              <w:rPr>
                <w:rFonts w:ascii="Calibri" w:hAnsi="Calibri" w:eastAsia="Calibri" w:cs="Calibri"/>
                <w:b w:val="0"/>
                <w:bCs w:val="0"/>
                <w:color w:val="auto"/>
                <w:sz w:val="16"/>
                <w:szCs w:val="16"/>
              </w:rPr>
              <w:t>Mar 8 14:44:23–14:45:14</w:t>
            </w:r>
          </w:p>
        </w:tc>
        <w:tc>
          <w:tcPr>
            <w:tcW w:w="3760" w:type="dxa"/>
            <w:tcMar>
              <w:top w:w="80" w:type="dxa"/>
              <w:left w:w="100" w:type="dxa"/>
              <w:bottom w:w="80" w:type="dxa"/>
              <w:right w:w="100" w:type="dxa"/>
            </w:tcMar>
            <w:vAlign w:val="top"/>
          </w:tcPr>
          <w:p w14:paraId="0FB96CF9">
            <w:pPr>
              <w:rPr>
                <w:color w:val="auto"/>
              </w:rPr>
            </w:pPr>
            <w:r>
              <w:rPr>
                <w:rFonts w:ascii="Calibri" w:hAnsi="Calibri" w:eastAsia="Calibri" w:cs="Calibri"/>
                <w:b w:val="0"/>
                <w:bCs w:val="0"/>
                <w:color w:val="auto"/>
                <w:sz w:val="16"/>
                <w:szCs w:val="16"/>
              </w:rPr>
              <w:t>“malware-bot” and root brute force from a second internal address; unsuccessful (D1 Row 3–4)</w:t>
            </w:r>
          </w:p>
        </w:tc>
      </w:tr>
      <w:tr w14:paraId="5AB5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2EDAF153">
            <w:pPr>
              <w:rPr>
                <w:color w:val="auto"/>
              </w:rPr>
            </w:pPr>
            <w:r>
              <w:rPr>
                <w:rFonts w:ascii="Calibri" w:hAnsi="Calibri" w:eastAsia="Calibri" w:cs="Calibri"/>
                <w:b w:val="0"/>
                <w:bCs w:val="0"/>
                <w:color w:val="auto"/>
                <w:sz w:val="16"/>
                <w:szCs w:val="16"/>
              </w:rPr>
              <w:t>6</w:t>
            </w:r>
          </w:p>
        </w:tc>
        <w:tc>
          <w:tcPr>
            <w:tcW w:w="2200" w:type="dxa"/>
            <w:tcMar>
              <w:top w:w="80" w:type="dxa"/>
              <w:left w:w="100" w:type="dxa"/>
              <w:bottom w:w="80" w:type="dxa"/>
              <w:right w:w="100" w:type="dxa"/>
            </w:tcMar>
            <w:vAlign w:val="top"/>
          </w:tcPr>
          <w:p w14:paraId="279BC444">
            <w:pPr>
              <w:rPr>
                <w:color w:val="auto"/>
              </w:rPr>
            </w:pPr>
            <w:r>
              <w:rPr>
                <w:rFonts w:ascii="Calibri" w:hAnsi="Calibri" w:eastAsia="Calibri" w:cs="Calibri"/>
                <w:b w:val="0"/>
                <w:bCs w:val="0"/>
                <w:color w:val="auto"/>
                <w:sz w:val="16"/>
                <w:szCs w:val="16"/>
              </w:rPr>
              <w:t>UK GDPR / ICO breach notification duty</w:t>
            </w:r>
          </w:p>
        </w:tc>
        <w:tc>
          <w:tcPr>
            <w:tcW w:w="1400" w:type="dxa"/>
            <w:tcMar>
              <w:top w:w="80" w:type="dxa"/>
              <w:left w:w="100" w:type="dxa"/>
              <w:bottom w:w="80" w:type="dxa"/>
              <w:right w:w="100" w:type="dxa"/>
            </w:tcMar>
            <w:vAlign w:val="top"/>
          </w:tcPr>
          <w:p w14:paraId="2FA28244">
            <w:pPr>
              <w:rPr>
                <w:color w:val="auto"/>
              </w:rPr>
            </w:pPr>
            <w:r>
              <w:rPr>
                <w:rFonts w:ascii="Calibri" w:hAnsi="Calibri" w:eastAsia="Calibri" w:cs="Calibri"/>
                <w:b w:val="0"/>
                <w:bCs w:val="0"/>
                <w:color w:val="auto"/>
                <w:sz w:val="16"/>
                <w:szCs w:val="16"/>
              </w:rPr>
              <w:t>Data Protection Act 2018 (UK GDPR, retained EU law)</w:t>
            </w:r>
          </w:p>
        </w:tc>
        <w:tc>
          <w:tcPr>
            <w:tcW w:w="1600" w:type="dxa"/>
            <w:tcMar>
              <w:top w:w="80" w:type="dxa"/>
              <w:left w:w="100" w:type="dxa"/>
              <w:bottom w:w="80" w:type="dxa"/>
              <w:right w:w="100" w:type="dxa"/>
            </w:tcMar>
            <w:vAlign w:val="top"/>
          </w:tcPr>
          <w:p w14:paraId="41457A1D">
            <w:pPr>
              <w:rPr>
                <w:color w:val="auto"/>
              </w:rPr>
            </w:pPr>
            <w:r>
              <w:rPr>
                <w:rFonts w:ascii="Calibri" w:hAnsi="Calibri" w:eastAsia="Calibri" w:cs="Calibri"/>
                <w:b w:val="0"/>
                <w:bCs w:val="0"/>
                <w:color w:val="auto"/>
                <w:sz w:val="16"/>
                <w:szCs w:val="16"/>
              </w:rPr>
              <w:t>72-hour requirement</w:t>
            </w:r>
          </w:p>
        </w:tc>
        <w:tc>
          <w:tcPr>
            <w:tcW w:w="3760" w:type="dxa"/>
            <w:tcMar>
              <w:top w:w="80" w:type="dxa"/>
              <w:left w:w="100" w:type="dxa"/>
              <w:bottom w:w="80" w:type="dxa"/>
              <w:right w:w="100" w:type="dxa"/>
            </w:tcMar>
            <w:vAlign w:val="top"/>
          </w:tcPr>
          <w:p w14:paraId="6CE0196A">
            <w:pPr>
              <w:rPr>
                <w:color w:val="auto"/>
              </w:rPr>
            </w:pPr>
            <w:r>
              <w:rPr>
                <w:rFonts w:ascii="Calibri" w:hAnsi="Calibri" w:eastAsia="Calibri" w:cs="Calibri"/>
                <w:b w:val="0"/>
                <w:bCs w:val="0"/>
                <w:color w:val="auto"/>
                <w:sz w:val="16"/>
                <w:szCs w:val="16"/>
              </w:rPr>
              <w:t>Personal data breach must be reported to the ICO within 72 hours of the controller becoming aware, where risk to individuals is likely</w:t>
            </w:r>
          </w:p>
        </w:tc>
      </w:tr>
    </w:tbl>
    <w:p w14:paraId="776D5F05">
      <w:pPr>
        <w:rPr>
          <w:color w:val="auto"/>
        </w:rPr>
      </w:pPr>
      <w:r>
        <w:rPr>
          <w:color w:val="auto"/>
        </w:rPr>
        <w:br w:type="page"/>
      </w:r>
    </w:p>
    <w:p w14:paraId="273C61F0">
      <w:pPr>
        <w:rPr>
          <w:b/>
          <w:bCs/>
          <w:sz w:val="36"/>
          <w:szCs w:val="40"/>
          <w:vertAlign w:val="baseline"/>
        </w:rPr>
      </w:pPr>
      <w:r>
        <w:rPr>
          <w:b/>
          <w:bCs/>
          <w:sz w:val="36"/>
          <w:szCs w:val="40"/>
          <w:vertAlign w:val="baseline"/>
        </w:rPr>
        <w:t xml:space="preserve">D3 </w:t>
      </w:r>
      <w:r>
        <w:rPr>
          <w:rFonts w:hint="default"/>
          <w:b/>
          <w:bCs/>
          <w:sz w:val="36"/>
          <w:szCs w:val="40"/>
          <w:vertAlign w:val="baseline"/>
          <w:lang w:val="en-US"/>
        </w:rPr>
        <w:t>|</w:t>
      </w:r>
      <w:r>
        <w:rPr>
          <w:b/>
          <w:bCs/>
          <w:sz w:val="36"/>
          <w:szCs w:val="40"/>
          <w:vertAlign w:val="baseline"/>
        </w:rPr>
        <w:t>MITRE ATT&amp;CK MAPPING &amp; RISK ASSESSMENT</w:t>
      </w:r>
    </w:p>
    <w:p w14:paraId="00633763">
      <w:pPr>
        <w:spacing w:after="200"/>
        <w:rPr>
          <w:color w:val="auto"/>
        </w:rPr>
      </w:pPr>
    </w:p>
    <w:p w14:paraId="60C58E96">
      <w:pPr>
        <w:pStyle w:val="2"/>
        <w:spacing w:before="240" w:after="120"/>
        <w:rPr>
          <w:color w:val="auto"/>
        </w:rPr>
      </w:pPr>
      <w:r>
        <w:rPr>
          <w:rFonts w:ascii="Calibri" w:hAnsi="Calibri" w:eastAsia="Calibri" w:cs="Calibri"/>
          <w:b/>
          <w:bCs/>
          <w:color w:val="auto"/>
        </w:rPr>
        <w:t xml:space="preserve">Part A </w:t>
      </w:r>
      <w:r>
        <w:rPr>
          <w:rFonts w:hint="default" w:ascii="Calibri" w:hAnsi="Calibri" w:eastAsia="Calibri" w:cs="Calibri"/>
          <w:b/>
          <w:bCs/>
          <w:color w:val="auto"/>
          <w:lang w:val="en-US"/>
        </w:rPr>
        <w:t>|</w:t>
      </w:r>
      <w:r>
        <w:rPr>
          <w:rFonts w:ascii="Calibri" w:hAnsi="Calibri" w:eastAsia="Calibri" w:cs="Calibri"/>
          <w:b/>
          <w:bCs/>
          <w:color w:val="auto"/>
        </w:rPr>
        <w:t xml:space="preserve"> MITRE ATT&amp;CK Mapping Table</w:t>
      </w:r>
    </w:p>
    <w:p w14:paraId="6E9C4F58">
      <w:pPr>
        <w:spacing w:after="120"/>
        <w:rPr>
          <w:color w:val="auto"/>
        </w:rPr>
      </w:pPr>
      <w:r>
        <w:rPr>
          <w:rFonts w:ascii="Calibri" w:hAnsi="Calibri" w:eastAsia="Calibri" w:cs="Calibri"/>
          <w:b w:val="0"/>
          <w:bCs w:val="0"/>
          <w:i w:val="0"/>
          <w:iCs w:val="0"/>
          <w:color w:val="auto"/>
        </w:rPr>
        <w:t>Six techniques observed, mapped against MITRE ATT&amp;CK v14/v15, each cited to a specific log file and timestamp from D1.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
        <w:gridCol w:w="1296"/>
        <w:gridCol w:w="1655"/>
        <w:gridCol w:w="887"/>
        <w:gridCol w:w="1969"/>
        <w:gridCol w:w="3161"/>
      </w:tblGrid>
      <w:tr w14:paraId="6212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shd w:val="clear" w:color="auto" w:fill="auto"/>
            <w:tcMar>
              <w:top w:w="80" w:type="dxa"/>
              <w:left w:w="100" w:type="dxa"/>
              <w:bottom w:w="80" w:type="dxa"/>
              <w:right w:w="100" w:type="dxa"/>
            </w:tcMar>
            <w:vAlign w:val="top"/>
          </w:tcPr>
          <w:p w14:paraId="331F3E69">
            <w:pPr>
              <w:rPr>
                <w:color w:val="auto"/>
              </w:rPr>
            </w:pPr>
          </w:p>
        </w:tc>
        <w:tc>
          <w:tcPr>
            <w:tcW w:w="1300" w:type="dxa"/>
            <w:shd w:val="clear" w:color="auto" w:fill="auto"/>
            <w:tcMar>
              <w:top w:w="80" w:type="dxa"/>
              <w:left w:w="100" w:type="dxa"/>
              <w:bottom w:w="80" w:type="dxa"/>
              <w:right w:w="100" w:type="dxa"/>
            </w:tcMar>
            <w:vAlign w:val="top"/>
          </w:tcPr>
          <w:p w14:paraId="6F88A672">
            <w:pPr>
              <w:rPr>
                <w:color w:val="auto"/>
              </w:rPr>
            </w:pPr>
            <w:r>
              <w:rPr>
                <w:rFonts w:ascii="Calibri" w:hAnsi="Calibri" w:eastAsia="Calibri" w:cs="Calibri"/>
                <w:b/>
                <w:bCs/>
                <w:color w:val="auto"/>
                <w:sz w:val="17"/>
                <w:szCs w:val="17"/>
              </w:rPr>
              <w:t>Tactic</w:t>
            </w:r>
          </w:p>
        </w:tc>
        <w:tc>
          <w:tcPr>
            <w:tcW w:w="1700" w:type="dxa"/>
            <w:shd w:val="clear" w:color="auto" w:fill="auto"/>
            <w:tcMar>
              <w:top w:w="80" w:type="dxa"/>
              <w:left w:w="100" w:type="dxa"/>
              <w:bottom w:w="80" w:type="dxa"/>
              <w:right w:w="100" w:type="dxa"/>
            </w:tcMar>
            <w:vAlign w:val="top"/>
          </w:tcPr>
          <w:p w14:paraId="38594F67">
            <w:pPr>
              <w:rPr>
                <w:color w:val="auto"/>
              </w:rPr>
            </w:pPr>
            <w:r>
              <w:rPr>
                <w:rFonts w:ascii="Calibri" w:hAnsi="Calibri" w:eastAsia="Calibri" w:cs="Calibri"/>
                <w:b/>
                <w:bCs/>
                <w:color w:val="auto"/>
                <w:sz w:val="17"/>
                <w:szCs w:val="17"/>
              </w:rPr>
              <w:t>Technique Name</w:t>
            </w:r>
          </w:p>
        </w:tc>
        <w:tc>
          <w:tcPr>
            <w:tcW w:w="700" w:type="dxa"/>
            <w:shd w:val="clear" w:color="auto" w:fill="auto"/>
            <w:tcMar>
              <w:top w:w="80" w:type="dxa"/>
              <w:left w:w="100" w:type="dxa"/>
              <w:bottom w:w="80" w:type="dxa"/>
              <w:right w:w="100" w:type="dxa"/>
            </w:tcMar>
            <w:vAlign w:val="top"/>
          </w:tcPr>
          <w:p w14:paraId="501DA535">
            <w:pPr>
              <w:rPr>
                <w:color w:val="auto"/>
              </w:rPr>
            </w:pPr>
            <w:r>
              <w:rPr>
                <w:rFonts w:ascii="Calibri" w:hAnsi="Calibri" w:eastAsia="Calibri" w:cs="Calibri"/>
                <w:b/>
                <w:bCs/>
                <w:color w:val="auto"/>
                <w:sz w:val="17"/>
                <w:szCs w:val="17"/>
              </w:rPr>
              <w:t>ID</w:t>
            </w:r>
          </w:p>
        </w:tc>
        <w:tc>
          <w:tcPr>
            <w:tcW w:w="2000" w:type="dxa"/>
            <w:shd w:val="clear" w:color="auto" w:fill="auto"/>
            <w:tcMar>
              <w:top w:w="80" w:type="dxa"/>
              <w:left w:w="100" w:type="dxa"/>
              <w:bottom w:w="80" w:type="dxa"/>
              <w:right w:w="100" w:type="dxa"/>
            </w:tcMar>
            <w:vAlign w:val="top"/>
          </w:tcPr>
          <w:p w14:paraId="77105715">
            <w:pPr>
              <w:rPr>
                <w:color w:val="auto"/>
              </w:rPr>
            </w:pPr>
            <w:r>
              <w:rPr>
                <w:rFonts w:ascii="Calibri" w:hAnsi="Calibri" w:eastAsia="Calibri" w:cs="Calibri"/>
                <w:b/>
                <w:bCs/>
                <w:color w:val="auto"/>
                <w:sz w:val="17"/>
                <w:szCs w:val="17"/>
              </w:rPr>
              <w:t>Log Evidence</w:t>
            </w:r>
          </w:p>
        </w:tc>
        <w:tc>
          <w:tcPr>
            <w:tcW w:w="3260" w:type="dxa"/>
            <w:shd w:val="clear" w:color="auto" w:fill="auto"/>
            <w:tcMar>
              <w:top w:w="80" w:type="dxa"/>
              <w:left w:w="100" w:type="dxa"/>
              <w:bottom w:w="80" w:type="dxa"/>
              <w:right w:w="100" w:type="dxa"/>
            </w:tcMar>
            <w:vAlign w:val="top"/>
          </w:tcPr>
          <w:p w14:paraId="69A1B35A">
            <w:pPr>
              <w:rPr>
                <w:color w:val="auto"/>
              </w:rPr>
            </w:pPr>
            <w:r>
              <w:rPr>
                <w:rFonts w:ascii="Calibri" w:hAnsi="Calibri" w:eastAsia="Calibri" w:cs="Calibri"/>
                <w:b/>
                <w:bCs/>
                <w:color w:val="auto"/>
                <w:sz w:val="17"/>
                <w:szCs w:val="17"/>
              </w:rPr>
              <w:t>Analyst Note</w:t>
            </w:r>
          </w:p>
        </w:tc>
      </w:tr>
      <w:tr w14:paraId="19F3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32032734">
            <w:pPr>
              <w:rPr>
                <w:color w:val="auto"/>
              </w:rPr>
            </w:pPr>
            <w:r>
              <w:rPr>
                <w:rFonts w:ascii="Calibri" w:hAnsi="Calibri" w:eastAsia="Calibri" w:cs="Calibri"/>
                <w:b w:val="0"/>
                <w:bCs w:val="0"/>
                <w:color w:val="auto"/>
                <w:sz w:val="16"/>
                <w:szCs w:val="16"/>
              </w:rPr>
              <w:t>1</w:t>
            </w:r>
          </w:p>
        </w:tc>
        <w:tc>
          <w:tcPr>
            <w:tcW w:w="1300" w:type="dxa"/>
            <w:tcMar>
              <w:top w:w="80" w:type="dxa"/>
              <w:left w:w="100" w:type="dxa"/>
              <w:bottom w:w="80" w:type="dxa"/>
              <w:right w:w="100" w:type="dxa"/>
            </w:tcMar>
            <w:vAlign w:val="top"/>
          </w:tcPr>
          <w:p w14:paraId="64B74891">
            <w:pPr>
              <w:rPr>
                <w:color w:val="auto"/>
              </w:rPr>
            </w:pPr>
            <w:r>
              <w:rPr>
                <w:rFonts w:ascii="Calibri" w:hAnsi="Calibri" w:eastAsia="Calibri" w:cs="Calibri"/>
                <w:b w:val="0"/>
                <w:bCs w:val="0"/>
                <w:color w:val="auto"/>
                <w:sz w:val="16"/>
                <w:szCs w:val="16"/>
              </w:rPr>
              <w:t>Reconnaissance</w:t>
            </w:r>
          </w:p>
        </w:tc>
        <w:tc>
          <w:tcPr>
            <w:tcW w:w="1700" w:type="dxa"/>
            <w:tcMar>
              <w:top w:w="80" w:type="dxa"/>
              <w:left w:w="100" w:type="dxa"/>
              <w:bottom w:w="80" w:type="dxa"/>
              <w:right w:w="100" w:type="dxa"/>
            </w:tcMar>
            <w:vAlign w:val="top"/>
          </w:tcPr>
          <w:p w14:paraId="7F3EFCEB">
            <w:pPr>
              <w:rPr>
                <w:color w:val="auto"/>
              </w:rPr>
            </w:pPr>
            <w:r>
              <w:rPr>
                <w:rFonts w:ascii="Calibri" w:hAnsi="Calibri" w:eastAsia="Calibri" w:cs="Calibri"/>
                <w:b w:val="0"/>
                <w:bCs w:val="0"/>
                <w:color w:val="auto"/>
                <w:sz w:val="16"/>
                <w:szCs w:val="16"/>
              </w:rPr>
              <w:t>Network Service Discovery</w:t>
            </w:r>
          </w:p>
        </w:tc>
        <w:tc>
          <w:tcPr>
            <w:tcW w:w="700" w:type="dxa"/>
            <w:tcMar>
              <w:top w:w="80" w:type="dxa"/>
              <w:left w:w="100" w:type="dxa"/>
              <w:bottom w:w="80" w:type="dxa"/>
              <w:right w:w="100" w:type="dxa"/>
            </w:tcMar>
            <w:vAlign w:val="top"/>
          </w:tcPr>
          <w:p w14:paraId="1E3254E8">
            <w:pPr>
              <w:rPr>
                <w:color w:val="auto"/>
              </w:rPr>
            </w:pPr>
            <w:r>
              <w:rPr>
                <w:rFonts w:ascii="Calibri" w:hAnsi="Calibri" w:eastAsia="Calibri" w:cs="Calibri"/>
                <w:b w:val="0"/>
                <w:bCs w:val="0"/>
                <w:color w:val="auto"/>
                <w:sz w:val="16"/>
                <w:szCs w:val="16"/>
              </w:rPr>
              <w:t>T1046</w:t>
            </w:r>
          </w:p>
        </w:tc>
        <w:tc>
          <w:tcPr>
            <w:tcW w:w="2000" w:type="dxa"/>
            <w:tcMar>
              <w:top w:w="80" w:type="dxa"/>
              <w:left w:w="100" w:type="dxa"/>
              <w:bottom w:w="80" w:type="dxa"/>
              <w:right w:w="100" w:type="dxa"/>
            </w:tcMar>
            <w:vAlign w:val="top"/>
          </w:tcPr>
          <w:p w14:paraId="1BA946CB">
            <w:pPr>
              <w:rPr>
                <w:color w:val="auto"/>
              </w:rPr>
            </w:pPr>
            <w:r>
              <w:rPr>
                <w:rFonts w:ascii="Calibri" w:hAnsi="Calibri" w:eastAsia="Calibri" w:cs="Calibri"/>
                <w:b w:val="0"/>
                <w:bCs w:val="0"/>
                <w:color w:val="auto"/>
                <w:sz w:val="16"/>
                <w:szCs w:val="16"/>
              </w:rPr>
              <w:t>suricatalogs.log 03/07/2022-15:56:43 &amp; 16:11:27; kern.log 14:28:27</w:t>
            </w:r>
          </w:p>
        </w:tc>
        <w:tc>
          <w:tcPr>
            <w:tcW w:w="3260" w:type="dxa"/>
            <w:tcMar>
              <w:top w:w="80" w:type="dxa"/>
              <w:left w:w="100" w:type="dxa"/>
              <w:bottom w:w="80" w:type="dxa"/>
              <w:right w:w="100" w:type="dxa"/>
            </w:tcMar>
            <w:vAlign w:val="top"/>
          </w:tcPr>
          <w:p w14:paraId="265554E3">
            <w:pPr>
              <w:rPr>
                <w:color w:val="auto"/>
              </w:rPr>
            </w:pPr>
            <w:r>
              <w:rPr>
                <w:rFonts w:ascii="Calibri" w:hAnsi="Calibri" w:eastAsia="Calibri" w:cs="Calibri"/>
                <w:b w:val="0"/>
                <w:bCs w:val="0"/>
                <w:color w:val="auto"/>
                <w:sz w:val="16"/>
                <w:szCs w:val="16"/>
              </w:rPr>
              <w:t>ICMP + TELNET-port probing from Attacker A precedes every exploitation attempt on both days.</w:t>
            </w:r>
          </w:p>
        </w:tc>
      </w:tr>
      <w:tr w14:paraId="2173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0E4C6ECA">
            <w:pPr>
              <w:rPr>
                <w:color w:val="auto"/>
              </w:rPr>
            </w:pPr>
            <w:r>
              <w:rPr>
                <w:rFonts w:ascii="Calibri" w:hAnsi="Calibri" w:eastAsia="Calibri" w:cs="Calibri"/>
                <w:b w:val="0"/>
                <w:bCs w:val="0"/>
                <w:color w:val="auto"/>
                <w:sz w:val="16"/>
                <w:szCs w:val="16"/>
              </w:rPr>
              <w:t>2</w:t>
            </w:r>
          </w:p>
        </w:tc>
        <w:tc>
          <w:tcPr>
            <w:tcW w:w="1300" w:type="dxa"/>
            <w:tcMar>
              <w:top w:w="80" w:type="dxa"/>
              <w:left w:w="100" w:type="dxa"/>
              <w:bottom w:w="80" w:type="dxa"/>
              <w:right w:w="100" w:type="dxa"/>
            </w:tcMar>
            <w:vAlign w:val="top"/>
          </w:tcPr>
          <w:p w14:paraId="24AEDAB7">
            <w:pPr>
              <w:rPr>
                <w:color w:val="auto"/>
              </w:rPr>
            </w:pPr>
            <w:r>
              <w:rPr>
                <w:rFonts w:ascii="Calibri" w:hAnsi="Calibri" w:eastAsia="Calibri" w:cs="Calibri"/>
                <w:b w:val="0"/>
                <w:bCs w:val="0"/>
                <w:color w:val="auto"/>
                <w:sz w:val="16"/>
                <w:szCs w:val="16"/>
              </w:rPr>
              <w:t>Initial Access</w:t>
            </w:r>
          </w:p>
        </w:tc>
        <w:tc>
          <w:tcPr>
            <w:tcW w:w="1700" w:type="dxa"/>
            <w:tcMar>
              <w:top w:w="80" w:type="dxa"/>
              <w:left w:w="100" w:type="dxa"/>
              <w:bottom w:w="80" w:type="dxa"/>
              <w:right w:w="100" w:type="dxa"/>
            </w:tcMar>
            <w:vAlign w:val="top"/>
          </w:tcPr>
          <w:p w14:paraId="6E82375E">
            <w:pPr>
              <w:rPr>
                <w:color w:val="auto"/>
              </w:rPr>
            </w:pPr>
            <w:r>
              <w:rPr>
                <w:rFonts w:ascii="Calibri" w:hAnsi="Calibri" w:eastAsia="Calibri" w:cs="Calibri"/>
                <w:b w:val="0"/>
                <w:bCs w:val="0"/>
                <w:color w:val="auto"/>
                <w:sz w:val="16"/>
                <w:szCs w:val="16"/>
              </w:rPr>
              <w:t>External Remote Services</w:t>
            </w:r>
          </w:p>
        </w:tc>
        <w:tc>
          <w:tcPr>
            <w:tcW w:w="700" w:type="dxa"/>
            <w:tcMar>
              <w:top w:w="80" w:type="dxa"/>
              <w:left w:w="100" w:type="dxa"/>
              <w:bottom w:w="80" w:type="dxa"/>
              <w:right w:w="100" w:type="dxa"/>
            </w:tcMar>
            <w:vAlign w:val="top"/>
          </w:tcPr>
          <w:p w14:paraId="19F304AF">
            <w:pPr>
              <w:rPr>
                <w:color w:val="auto"/>
              </w:rPr>
            </w:pPr>
            <w:r>
              <w:rPr>
                <w:rFonts w:ascii="Calibri" w:hAnsi="Calibri" w:eastAsia="Calibri" w:cs="Calibri"/>
                <w:b w:val="0"/>
                <w:bCs w:val="0"/>
                <w:color w:val="auto"/>
                <w:sz w:val="16"/>
                <w:szCs w:val="16"/>
              </w:rPr>
              <w:t>T1133</w:t>
            </w:r>
          </w:p>
        </w:tc>
        <w:tc>
          <w:tcPr>
            <w:tcW w:w="2000" w:type="dxa"/>
            <w:tcMar>
              <w:top w:w="80" w:type="dxa"/>
              <w:left w:w="100" w:type="dxa"/>
              <w:bottom w:w="80" w:type="dxa"/>
              <w:right w:w="100" w:type="dxa"/>
            </w:tcMar>
            <w:vAlign w:val="top"/>
          </w:tcPr>
          <w:p w14:paraId="032D06E5">
            <w:pPr>
              <w:rPr>
                <w:color w:val="auto"/>
              </w:rPr>
            </w:pPr>
            <w:r>
              <w:rPr>
                <w:rFonts w:ascii="Calibri" w:hAnsi="Calibri" w:eastAsia="Calibri" w:cs="Calibri"/>
                <w:b w:val="0"/>
                <w:bCs w:val="0"/>
                <w:color w:val="auto"/>
                <w:sz w:val="16"/>
                <w:szCs w:val="16"/>
              </w:rPr>
              <w:t>suricatalogs.log 03/07/2022-15:56:43; kern.log (2,883 pkts to DPT=23)</w:t>
            </w:r>
          </w:p>
        </w:tc>
        <w:tc>
          <w:tcPr>
            <w:tcW w:w="3260" w:type="dxa"/>
            <w:tcMar>
              <w:top w:w="80" w:type="dxa"/>
              <w:left w:w="100" w:type="dxa"/>
              <w:bottom w:w="80" w:type="dxa"/>
              <w:right w:w="100" w:type="dxa"/>
            </w:tcMar>
            <w:vAlign w:val="top"/>
          </w:tcPr>
          <w:p w14:paraId="6C3640E6">
            <w:pPr>
              <w:rPr>
                <w:color w:val="auto"/>
              </w:rPr>
            </w:pPr>
            <w:r>
              <w:rPr>
                <w:rFonts w:ascii="Calibri" w:hAnsi="Calibri" w:eastAsia="Calibri" w:cs="Calibri"/>
                <w:b w:val="0"/>
                <w:bCs w:val="0"/>
                <w:color w:val="auto"/>
                <w:sz w:val="16"/>
                <w:szCs w:val="16"/>
              </w:rPr>
              <w:t>TELNET exposed to the internal network with no compensating control; the client did not know this service was running.</w:t>
            </w:r>
          </w:p>
        </w:tc>
      </w:tr>
      <w:tr w14:paraId="74C8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19D6CDA6">
            <w:pPr>
              <w:rPr>
                <w:color w:val="auto"/>
              </w:rPr>
            </w:pPr>
            <w:r>
              <w:rPr>
                <w:rFonts w:ascii="Calibri" w:hAnsi="Calibri" w:eastAsia="Calibri" w:cs="Calibri"/>
                <w:b w:val="0"/>
                <w:bCs w:val="0"/>
                <w:color w:val="auto"/>
                <w:sz w:val="16"/>
                <w:szCs w:val="16"/>
              </w:rPr>
              <w:t>3</w:t>
            </w:r>
          </w:p>
        </w:tc>
        <w:tc>
          <w:tcPr>
            <w:tcW w:w="1300" w:type="dxa"/>
            <w:tcMar>
              <w:top w:w="80" w:type="dxa"/>
              <w:left w:w="100" w:type="dxa"/>
              <w:bottom w:w="80" w:type="dxa"/>
              <w:right w:w="100" w:type="dxa"/>
            </w:tcMar>
            <w:vAlign w:val="top"/>
          </w:tcPr>
          <w:p w14:paraId="698169EF">
            <w:pPr>
              <w:rPr>
                <w:color w:val="auto"/>
              </w:rPr>
            </w:pPr>
            <w:r>
              <w:rPr>
                <w:rFonts w:ascii="Calibri" w:hAnsi="Calibri" w:eastAsia="Calibri" w:cs="Calibri"/>
                <w:b w:val="0"/>
                <w:bCs w:val="0"/>
                <w:color w:val="auto"/>
                <w:sz w:val="16"/>
                <w:szCs w:val="16"/>
              </w:rPr>
              <w:t>Credential Access</w:t>
            </w:r>
          </w:p>
        </w:tc>
        <w:tc>
          <w:tcPr>
            <w:tcW w:w="1700" w:type="dxa"/>
            <w:tcMar>
              <w:top w:w="80" w:type="dxa"/>
              <w:left w:w="100" w:type="dxa"/>
              <w:bottom w:w="80" w:type="dxa"/>
              <w:right w:w="100" w:type="dxa"/>
            </w:tcMar>
            <w:vAlign w:val="top"/>
          </w:tcPr>
          <w:p w14:paraId="316C300C">
            <w:pPr>
              <w:rPr>
                <w:color w:val="auto"/>
              </w:rPr>
            </w:pPr>
            <w:r>
              <w:rPr>
                <w:rFonts w:ascii="Calibri" w:hAnsi="Calibri" w:eastAsia="Calibri" w:cs="Calibri"/>
                <w:b w:val="0"/>
                <w:bCs w:val="0"/>
                <w:color w:val="auto"/>
                <w:sz w:val="16"/>
                <w:szCs w:val="16"/>
              </w:rPr>
              <w:t>Brute Force</w:t>
            </w:r>
          </w:p>
        </w:tc>
        <w:tc>
          <w:tcPr>
            <w:tcW w:w="700" w:type="dxa"/>
            <w:tcMar>
              <w:top w:w="80" w:type="dxa"/>
              <w:left w:w="100" w:type="dxa"/>
              <w:bottom w:w="80" w:type="dxa"/>
              <w:right w:w="100" w:type="dxa"/>
            </w:tcMar>
            <w:vAlign w:val="top"/>
          </w:tcPr>
          <w:p w14:paraId="4CA4C39A">
            <w:pPr>
              <w:rPr>
                <w:color w:val="auto"/>
              </w:rPr>
            </w:pPr>
            <w:r>
              <w:rPr>
                <w:rFonts w:ascii="Calibri" w:hAnsi="Calibri" w:eastAsia="Calibri" w:cs="Calibri"/>
                <w:b w:val="0"/>
                <w:bCs w:val="0"/>
                <w:color w:val="auto"/>
                <w:sz w:val="16"/>
                <w:szCs w:val="16"/>
              </w:rPr>
              <w:t>T1110</w:t>
            </w:r>
          </w:p>
        </w:tc>
        <w:tc>
          <w:tcPr>
            <w:tcW w:w="2000" w:type="dxa"/>
            <w:tcMar>
              <w:top w:w="80" w:type="dxa"/>
              <w:left w:w="100" w:type="dxa"/>
              <w:bottom w:w="80" w:type="dxa"/>
              <w:right w:w="100" w:type="dxa"/>
            </w:tcMar>
            <w:vAlign w:val="top"/>
          </w:tcPr>
          <w:p w14:paraId="0BD21211">
            <w:pPr>
              <w:rPr>
                <w:color w:val="auto"/>
              </w:rPr>
            </w:pPr>
            <w:r>
              <w:rPr>
                <w:rFonts w:ascii="Calibri" w:hAnsi="Calibri" w:eastAsia="Calibri" w:cs="Calibri"/>
                <w:b w:val="0"/>
                <w:bCs w:val="0"/>
                <w:color w:val="auto"/>
                <w:sz w:val="16"/>
                <w:szCs w:val="16"/>
              </w:rPr>
              <w:t>auth.log Mar 8 14:44:59–14:45:14 (Attacker B, root); auth.log Mar 8 14:32:50–14:35:12 (external actor, frozen-yoghurt/root)</w:t>
            </w:r>
          </w:p>
        </w:tc>
        <w:tc>
          <w:tcPr>
            <w:tcW w:w="3260" w:type="dxa"/>
            <w:tcMar>
              <w:top w:w="80" w:type="dxa"/>
              <w:left w:w="100" w:type="dxa"/>
              <w:bottom w:w="80" w:type="dxa"/>
              <w:right w:w="100" w:type="dxa"/>
            </w:tcMar>
            <w:vAlign w:val="top"/>
          </w:tcPr>
          <w:p w14:paraId="02048BEF">
            <w:pPr>
              <w:rPr>
                <w:color w:val="auto"/>
              </w:rPr>
            </w:pPr>
            <w:r>
              <w:rPr>
                <w:rFonts w:ascii="Calibri" w:hAnsi="Calibri" w:eastAsia="Calibri" w:cs="Calibri"/>
                <w:b w:val="0"/>
                <w:bCs w:val="0"/>
                <w:color w:val="auto"/>
                <w:sz w:val="16"/>
                <w:szCs w:val="16"/>
              </w:rPr>
              <w:t>Two independent, automated, parallel-session brute-force attempts; both failed but demonstrate active credential-guessing tooling on the network.</w:t>
            </w:r>
          </w:p>
        </w:tc>
      </w:tr>
      <w:tr w14:paraId="3AF26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53BF889E">
            <w:pPr>
              <w:rPr>
                <w:color w:val="auto"/>
              </w:rPr>
            </w:pPr>
            <w:r>
              <w:rPr>
                <w:rFonts w:ascii="Calibri" w:hAnsi="Calibri" w:eastAsia="Calibri" w:cs="Calibri"/>
                <w:b w:val="0"/>
                <w:bCs w:val="0"/>
                <w:color w:val="auto"/>
                <w:sz w:val="16"/>
                <w:szCs w:val="16"/>
              </w:rPr>
              <w:t>4</w:t>
            </w:r>
          </w:p>
        </w:tc>
        <w:tc>
          <w:tcPr>
            <w:tcW w:w="1300" w:type="dxa"/>
            <w:tcMar>
              <w:top w:w="80" w:type="dxa"/>
              <w:left w:w="100" w:type="dxa"/>
              <w:bottom w:w="80" w:type="dxa"/>
              <w:right w:w="100" w:type="dxa"/>
            </w:tcMar>
            <w:vAlign w:val="top"/>
          </w:tcPr>
          <w:p w14:paraId="6F89C5F1">
            <w:pPr>
              <w:rPr>
                <w:color w:val="auto"/>
              </w:rPr>
            </w:pPr>
            <w:r>
              <w:rPr>
                <w:rFonts w:ascii="Calibri" w:hAnsi="Calibri" w:eastAsia="Calibri" w:cs="Calibri"/>
                <w:b w:val="0"/>
                <w:bCs w:val="0"/>
                <w:color w:val="auto"/>
                <w:sz w:val="16"/>
                <w:szCs w:val="16"/>
              </w:rPr>
              <w:t>Initial Access / Execution</w:t>
            </w:r>
          </w:p>
        </w:tc>
        <w:tc>
          <w:tcPr>
            <w:tcW w:w="1700" w:type="dxa"/>
            <w:tcMar>
              <w:top w:w="80" w:type="dxa"/>
              <w:left w:w="100" w:type="dxa"/>
              <w:bottom w:w="80" w:type="dxa"/>
              <w:right w:w="100" w:type="dxa"/>
            </w:tcMar>
            <w:vAlign w:val="top"/>
          </w:tcPr>
          <w:p w14:paraId="0919B0BA">
            <w:pPr>
              <w:rPr>
                <w:color w:val="auto"/>
              </w:rPr>
            </w:pPr>
            <w:r>
              <w:rPr>
                <w:rFonts w:ascii="Calibri" w:hAnsi="Calibri" w:eastAsia="Calibri" w:cs="Calibri"/>
                <w:b w:val="0"/>
                <w:bCs w:val="0"/>
                <w:color w:val="auto"/>
                <w:sz w:val="16"/>
                <w:szCs w:val="16"/>
              </w:rPr>
              <w:t>Remote Services: Telnet</w:t>
            </w:r>
          </w:p>
        </w:tc>
        <w:tc>
          <w:tcPr>
            <w:tcW w:w="700" w:type="dxa"/>
            <w:tcMar>
              <w:top w:w="80" w:type="dxa"/>
              <w:left w:w="100" w:type="dxa"/>
              <w:bottom w:w="80" w:type="dxa"/>
              <w:right w:w="100" w:type="dxa"/>
            </w:tcMar>
            <w:vAlign w:val="top"/>
          </w:tcPr>
          <w:p w14:paraId="120F4E8D">
            <w:pPr>
              <w:rPr>
                <w:color w:val="auto"/>
              </w:rPr>
            </w:pPr>
            <w:r>
              <w:rPr>
                <w:rFonts w:ascii="Calibri" w:hAnsi="Calibri" w:eastAsia="Calibri" w:cs="Calibri"/>
                <w:b w:val="0"/>
                <w:bCs w:val="0"/>
                <w:color w:val="auto"/>
                <w:sz w:val="16"/>
                <w:szCs w:val="16"/>
              </w:rPr>
              <w:t>T1021.005</w:t>
            </w:r>
          </w:p>
        </w:tc>
        <w:tc>
          <w:tcPr>
            <w:tcW w:w="2000" w:type="dxa"/>
            <w:tcMar>
              <w:top w:w="80" w:type="dxa"/>
              <w:left w:w="100" w:type="dxa"/>
              <w:bottom w:w="80" w:type="dxa"/>
              <w:right w:w="100" w:type="dxa"/>
            </w:tcMar>
            <w:vAlign w:val="top"/>
          </w:tcPr>
          <w:p w14:paraId="779BFEFB">
            <w:pPr>
              <w:rPr>
                <w:color w:val="auto"/>
              </w:rPr>
            </w:pPr>
            <w:r>
              <w:rPr>
                <w:rFonts w:ascii="Calibri" w:hAnsi="Calibri" w:eastAsia="Calibri" w:cs="Calibri"/>
                <w:b w:val="0"/>
                <w:bCs w:val="0"/>
                <w:color w:val="auto"/>
                <w:sz w:val="16"/>
                <w:szCs w:val="16"/>
              </w:rPr>
              <w:t>syslog Mar 8 14:35:46 (in.telnetd[2387] connect); auth.log Mar 8 14:35:56 (session opened); pcapng stream 25 (5,335 pkts/4MB/171.9s)</w:t>
            </w:r>
          </w:p>
        </w:tc>
        <w:tc>
          <w:tcPr>
            <w:tcW w:w="3260" w:type="dxa"/>
            <w:tcMar>
              <w:top w:w="80" w:type="dxa"/>
              <w:left w:w="100" w:type="dxa"/>
              <w:bottom w:w="80" w:type="dxa"/>
              <w:right w:w="100" w:type="dxa"/>
            </w:tcMar>
            <w:vAlign w:val="top"/>
          </w:tcPr>
          <w:p w14:paraId="4E4BFD48">
            <w:pPr>
              <w:rPr>
                <w:color w:val="auto"/>
              </w:rPr>
            </w:pPr>
            <w:r>
              <w:rPr>
                <w:rFonts w:ascii="Calibri" w:hAnsi="Calibri" w:eastAsia="Calibri" w:cs="Calibri"/>
                <w:b w:val="0"/>
                <w:bCs w:val="0"/>
                <w:color w:val="auto"/>
                <w:sz w:val="16"/>
                <w:szCs w:val="16"/>
              </w:rPr>
              <w:t>The confirmed entry vector. TELNET's cleartext transport means any credential used was exposed on the wire; packet volume indicates an interactive session, not a single command.</w:t>
            </w:r>
          </w:p>
        </w:tc>
      </w:tr>
      <w:tr w14:paraId="56C2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5A15B097">
            <w:pPr>
              <w:rPr>
                <w:color w:val="auto"/>
              </w:rPr>
            </w:pPr>
            <w:r>
              <w:rPr>
                <w:rFonts w:ascii="Calibri" w:hAnsi="Calibri" w:eastAsia="Calibri" w:cs="Calibri"/>
                <w:b w:val="0"/>
                <w:bCs w:val="0"/>
                <w:color w:val="auto"/>
                <w:sz w:val="16"/>
                <w:szCs w:val="16"/>
              </w:rPr>
              <w:t>5</w:t>
            </w:r>
          </w:p>
        </w:tc>
        <w:tc>
          <w:tcPr>
            <w:tcW w:w="1300" w:type="dxa"/>
            <w:tcMar>
              <w:top w:w="80" w:type="dxa"/>
              <w:left w:w="100" w:type="dxa"/>
              <w:bottom w:w="80" w:type="dxa"/>
              <w:right w:w="100" w:type="dxa"/>
            </w:tcMar>
            <w:vAlign w:val="top"/>
          </w:tcPr>
          <w:p w14:paraId="11ECAC25">
            <w:pPr>
              <w:rPr>
                <w:color w:val="auto"/>
              </w:rPr>
            </w:pPr>
            <w:r>
              <w:rPr>
                <w:rFonts w:ascii="Calibri" w:hAnsi="Calibri" w:eastAsia="Calibri" w:cs="Calibri"/>
                <w:b w:val="0"/>
                <w:bCs w:val="0"/>
                <w:color w:val="auto"/>
                <w:sz w:val="16"/>
                <w:szCs w:val="16"/>
              </w:rPr>
              <w:t>Initial Access / Persistence</w:t>
            </w:r>
          </w:p>
        </w:tc>
        <w:tc>
          <w:tcPr>
            <w:tcW w:w="1700" w:type="dxa"/>
            <w:tcMar>
              <w:top w:w="80" w:type="dxa"/>
              <w:left w:w="100" w:type="dxa"/>
              <w:bottom w:w="80" w:type="dxa"/>
              <w:right w:w="100" w:type="dxa"/>
            </w:tcMar>
            <w:vAlign w:val="top"/>
          </w:tcPr>
          <w:p w14:paraId="5ACCDAA9">
            <w:pPr>
              <w:rPr>
                <w:color w:val="auto"/>
              </w:rPr>
            </w:pPr>
            <w:r>
              <w:rPr>
                <w:rFonts w:ascii="Calibri" w:hAnsi="Calibri" w:eastAsia="Calibri" w:cs="Calibri"/>
                <w:b w:val="0"/>
                <w:bCs w:val="0"/>
                <w:color w:val="auto"/>
                <w:sz w:val="16"/>
                <w:szCs w:val="16"/>
              </w:rPr>
              <w:t>Valid Accounts</w:t>
            </w:r>
          </w:p>
        </w:tc>
        <w:tc>
          <w:tcPr>
            <w:tcW w:w="700" w:type="dxa"/>
            <w:tcMar>
              <w:top w:w="80" w:type="dxa"/>
              <w:left w:w="100" w:type="dxa"/>
              <w:bottom w:w="80" w:type="dxa"/>
              <w:right w:w="100" w:type="dxa"/>
            </w:tcMar>
            <w:vAlign w:val="top"/>
          </w:tcPr>
          <w:p w14:paraId="5CCFBD2C">
            <w:pPr>
              <w:rPr>
                <w:color w:val="auto"/>
              </w:rPr>
            </w:pPr>
            <w:r>
              <w:rPr>
                <w:rFonts w:ascii="Calibri" w:hAnsi="Calibri" w:eastAsia="Calibri" w:cs="Calibri"/>
                <w:b w:val="0"/>
                <w:bCs w:val="0"/>
                <w:color w:val="auto"/>
                <w:sz w:val="16"/>
                <w:szCs w:val="16"/>
              </w:rPr>
              <w:t>T1078</w:t>
            </w:r>
          </w:p>
        </w:tc>
        <w:tc>
          <w:tcPr>
            <w:tcW w:w="2000" w:type="dxa"/>
            <w:tcMar>
              <w:top w:w="80" w:type="dxa"/>
              <w:left w:w="100" w:type="dxa"/>
              <w:bottom w:w="80" w:type="dxa"/>
              <w:right w:w="100" w:type="dxa"/>
            </w:tcMar>
            <w:vAlign w:val="top"/>
          </w:tcPr>
          <w:p w14:paraId="6AB02330">
            <w:pPr>
              <w:rPr>
                <w:color w:val="auto"/>
              </w:rPr>
            </w:pPr>
            <w:r>
              <w:rPr>
                <w:rFonts w:ascii="Calibri" w:hAnsi="Calibri" w:eastAsia="Calibri" w:cs="Calibri"/>
                <w:b w:val="0"/>
                <w:bCs w:val="0"/>
                <w:color w:val="auto"/>
                <w:sz w:val="16"/>
                <w:szCs w:val="16"/>
              </w:rPr>
              <w:t>auth.log Mar 8 14:35:56 — session opened for user frozen-yoghurt by (uid=0)</w:t>
            </w:r>
          </w:p>
        </w:tc>
        <w:tc>
          <w:tcPr>
            <w:tcW w:w="3260" w:type="dxa"/>
            <w:tcMar>
              <w:top w:w="80" w:type="dxa"/>
              <w:left w:w="100" w:type="dxa"/>
              <w:bottom w:w="80" w:type="dxa"/>
              <w:right w:w="100" w:type="dxa"/>
            </w:tcMar>
            <w:vAlign w:val="top"/>
          </w:tcPr>
          <w:p w14:paraId="0966B939">
            <w:pPr>
              <w:rPr>
                <w:color w:val="auto"/>
              </w:rPr>
            </w:pPr>
            <w:r>
              <w:rPr>
                <w:rFonts w:ascii="Calibri" w:hAnsi="Calibri" w:eastAsia="Calibri" w:cs="Calibri"/>
                <w:b w:val="0"/>
                <w:bCs w:val="0"/>
                <w:color w:val="auto"/>
                <w:sz w:val="16"/>
                <w:szCs w:val="16"/>
              </w:rPr>
              <w:t>Attacker used a legitimate staff account rather than a separate exploit, which is why the intrusion produced no malware artefacts in these logs and why detection depended entirely on log correlation.</w:t>
            </w:r>
          </w:p>
        </w:tc>
      </w:tr>
      <w:tr w14:paraId="2F27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1DB43657">
            <w:pPr>
              <w:rPr>
                <w:color w:val="auto"/>
              </w:rPr>
            </w:pPr>
            <w:r>
              <w:rPr>
                <w:rFonts w:ascii="Calibri" w:hAnsi="Calibri" w:eastAsia="Calibri" w:cs="Calibri"/>
                <w:b w:val="0"/>
                <w:bCs w:val="0"/>
                <w:color w:val="auto"/>
                <w:sz w:val="16"/>
                <w:szCs w:val="16"/>
              </w:rPr>
              <w:t>6</w:t>
            </w:r>
          </w:p>
        </w:tc>
        <w:tc>
          <w:tcPr>
            <w:tcW w:w="1300" w:type="dxa"/>
            <w:tcMar>
              <w:top w:w="80" w:type="dxa"/>
              <w:left w:w="100" w:type="dxa"/>
              <w:bottom w:w="80" w:type="dxa"/>
              <w:right w:w="100" w:type="dxa"/>
            </w:tcMar>
            <w:vAlign w:val="top"/>
          </w:tcPr>
          <w:p w14:paraId="2C5E75DD">
            <w:pPr>
              <w:rPr>
                <w:color w:val="auto"/>
              </w:rPr>
            </w:pPr>
            <w:r>
              <w:rPr>
                <w:rFonts w:ascii="Calibri" w:hAnsi="Calibri" w:eastAsia="Calibri" w:cs="Calibri"/>
                <w:b w:val="0"/>
                <w:bCs w:val="0"/>
                <w:color w:val="auto"/>
                <w:sz w:val="16"/>
                <w:szCs w:val="16"/>
              </w:rPr>
              <w:t>Exfiltration</w:t>
            </w:r>
          </w:p>
        </w:tc>
        <w:tc>
          <w:tcPr>
            <w:tcW w:w="1700" w:type="dxa"/>
            <w:tcMar>
              <w:top w:w="80" w:type="dxa"/>
              <w:left w:w="100" w:type="dxa"/>
              <w:bottom w:w="80" w:type="dxa"/>
              <w:right w:w="100" w:type="dxa"/>
            </w:tcMar>
            <w:vAlign w:val="top"/>
          </w:tcPr>
          <w:p w14:paraId="5B61320D">
            <w:pPr>
              <w:rPr>
                <w:color w:val="auto"/>
              </w:rPr>
            </w:pPr>
            <w:r>
              <w:rPr>
                <w:rFonts w:ascii="Calibri" w:hAnsi="Calibri" w:eastAsia="Calibri" w:cs="Calibri"/>
                <w:b w:val="0"/>
                <w:bCs w:val="0"/>
                <w:color w:val="auto"/>
                <w:sz w:val="16"/>
                <w:szCs w:val="16"/>
              </w:rPr>
              <w:t>Exfiltration Over Alternative Protocol</w:t>
            </w:r>
          </w:p>
        </w:tc>
        <w:tc>
          <w:tcPr>
            <w:tcW w:w="700" w:type="dxa"/>
            <w:tcMar>
              <w:top w:w="80" w:type="dxa"/>
              <w:left w:w="100" w:type="dxa"/>
              <w:bottom w:w="80" w:type="dxa"/>
              <w:right w:w="100" w:type="dxa"/>
            </w:tcMar>
            <w:vAlign w:val="top"/>
          </w:tcPr>
          <w:p w14:paraId="0B8A7641">
            <w:pPr>
              <w:rPr>
                <w:color w:val="auto"/>
              </w:rPr>
            </w:pPr>
            <w:r>
              <w:rPr>
                <w:rFonts w:ascii="Calibri" w:hAnsi="Calibri" w:eastAsia="Calibri" w:cs="Calibri"/>
                <w:b w:val="0"/>
                <w:bCs w:val="0"/>
                <w:color w:val="auto"/>
                <w:sz w:val="16"/>
                <w:szCs w:val="16"/>
              </w:rPr>
              <w:t>T1048</w:t>
            </w:r>
          </w:p>
        </w:tc>
        <w:tc>
          <w:tcPr>
            <w:tcW w:w="2000" w:type="dxa"/>
            <w:tcMar>
              <w:top w:w="80" w:type="dxa"/>
              <w:left w:w="100" w:type="dxa"/>
              <w:bottom w:w="80" w:type="dxa"/>
              <w:right w:w="100" w:type="dxa"/>
            </w:tcMar>
            <w:vAlign w:val="top"/>
          </w:tcPr>
          <w:p w14:paraId="1D2B643A">
            <w:pPr>
              <w:rPr>
                <w:color w:val="auto"/>
              </w:rPr>
            </w:pPr>
            <w:r>
              <w:rPr>
                <w:rFonts w:ascii="Calibri" w:hAnsi="Calibri" w:eastAsia="Calibri" w:cs="Calibri"/>
                <w:b w:val="0"/>
                <w:bCs w:val="0"/>
                <w:color w:val="auto"/>
                <w:sz w:val="16"/>
                <w:szCs w:val="16"/>
              </w:rPr>
              <w:t>Client-reported: customer database accessed, files missing (Mission Brief); auth.log session window 14:35:56–14:38:38; pcapng stream 25 ~4MB transferred</w:t>
            </w:r>
          </w:p>
        </w:tc>
        <w:tc>
          <w:tcPr>
            <w:tcW w:w="3260" w:type="dxa"/>
            <w:tcMar>
              <w:top w:w="80" w:type="dxa"/>
              <w:left w:w="100" w:type="dxa"/>
              <w:bottom w:w="80" w:type="dxa"/>
              <w:right w:w="100" w:type="dxa"/>
            </w:tcMar>
            <w:vAlign w:val="top"/>
          </w:tcPr>
          <w:p w14:paraId="2529AC54">
            <w:pPr>
              <w:rPr>
                <w:color w:val="auto"/>
              </w:rPr>
            </w:pPr>
            <w:r>
              <w:rPr>
                <w:rFonts w:ascii="Calibri" w:hAnsi="Calibri" w:eastAsia="Calibri" w:cs="Calibri"/>
                <w:b w:val="0"/>
                <w:bCs w:val="0"/>
                <w:color w:val="auto"/>
                <w:sz w:val="16"/>
                <w:szCs w:val="16"/>
              </w:rPr>
              <w:t>No specific file-transfer command is visible in these five files, so the exact exfiltration mechanism is inferred, not directly observed. The ~4MB TELNET session is consistent with, but does not prove, file transfer over the same channel used for access. Flagged as a confidence gap for further investigation (server-side application/database logs are not part of this evidence set).</w:t>
            </w:r>
          </w:p>
        </w:tc>
      </w:tr>
    </w:tbl>
    <w:p w14:paraId="182CA927">
      <w:pPr>
        <w:rPr>
          <w:color w:val="auto"/>
        </w:rPr>
      </w:pPr>
      <w:r>
        <w:rPr>
          <w:color w:val="auto"/>
        </w:rPr>
        <w:br w:type="page"/>
      </w:r>
    </w:p>
    <w:p w14:paraId="6D38E9A4">
      <w:pPr>
        <w:pStyle w:val="2"/>
        <w:spacing w:before="240" w:after="120"/>
        <w:rPr>
          <w:color w:val="auto"/>
        </w:rPr>
      </w:pPr>
      <w:r>
        <w:rPr>
          <w:rFonts w:ascii="Calibri" w:hAnsi="Calibri" w:eastAsia="Calibri" w:cs="Calibri"/>
          <w:b/>
          <w:bCs/>
          <w:color w:val="auto"/>
        </w:rPr>
        <w:t xml:space="preserve">PART B </w:t>
      </w:r>
      <w:r>
        <w:rPr>
          <w:rFonts w:hint="default" w:ascii="Calibri" w:hAnsi="Calibri" w:eastAsia="Calibri" w:cs="Calibri"/>
          <w:b/>
          <w:bCs/>
          <w:color w:val="auto"/>
          <w:lang w:val="en-US"/>
        </w:rPr>
        <w:t>|</w:t>
      </w:r>
      <w:r>
        <w:rPr>
          <w:rFonts w:ascii="Calibri" w:hAnsi="Calibri" w:eastAsia="Calibri" w:cs="Calibri"/>
          <w:b/>
          <w:bCs/>
          <w:color w:val="auto"/>
        </w:rPr>
        <w:t>KILL CHAIN NARRATIVE</w:t>
      </w:r>
    </w:p>
    <w:p w14:paraId="76523C33">
      <w:pPr>
        <w:spacing w:after="120"/>
        <w:rPr>
          <w:color w:val="auto"/>
        </w:rPr>
      </w:pPr>
      <w:r>
        <w:rPr>
          <w:rFonts w:ascii="Calibri" w:hAnsi="Calibri" w:eastAsia="Calibri" w:cs="Calibri"/>
          <w:b w:val="0"/>
          <w:bCs w:val="0"/>
          <w:i w:val="0"/>
          <w:iCs w:val="0"/>
          <w:color w:val="auto"/>
        </w:rPr>
        <w:t>Reconnaissance: Beginning 03/07/2022 15:56:43, Attacker A (192.168.56.1) probed the victim host with repeated TELNET connection attempts and paired ICMP echo requests (T1046; D1 Rows 1 and 8), continuing intermittently across both days — this was sustained reconnaissance, not a single scan.</w:t>
      </w:r>
    </w:p>
    <w:p w14:paraId="05597A1E">
      <w:pPr>
        <w:spacing w:after="120"/>
        <w:rPr>
          <w:color w:val="auto"/>
        </w:rPr>
      </w:pPr>
      <w:r>
        <w:rPr>
          <w:rFonts w:ascii="Calibri" w:hAnsi="Calibri" w:eastAsia="Calibri" w:cs="Calibri"/>
          <w:b w:val="0"/>
          <w:bCs w:val="0"/>
          <w:i w:val="0"/>
          <w:iCs w:val="0"/>
          <w:color w:val="auto"/>
        </w:rPr>
        <w:t>Delivery / Initial Access (Attempted, multiple actors): On 8 March, three separate credential-based access attempts ran in parallel across the environment. Attacker A resumed TELNET probing (T1133/T1021.005; D1 Rows 2, 9) and also attempted SSH logins against admin and frozen-yoghurt (T1110; D1 Timeline). Attacker B (192.168.56.100) launched an automated, four-session SSH brute force against root using default credentials including “malware-bot” (T1110; D1 Rows 3–4). An external actor via 1.capita.vpn.port.ac.uk simultaneously flooded four TTY login sessions against root and frozen-yoghurt (T1110; D1 Row 7).</w:t>
      </w:r>
    </w:p>
    <w:p w14:paraId="1EB8D7B1">
      <w:pPr>
        <w:spacing w:after="120"/>
        <w:rPr>
          <w:color w:val="auto"/>
        </w:rPr>
      </w:pPr>
      <w:r>
        <w:rPr>
          <w:rFonts w:ascii="Calibri" w:hAnsi="Calibri" w:eastAsia="Calibri" w:cs="Calibri"/>
          <w:b w:val="0"/>
          <w:bCs w:val="0"/>
          <w:i w:val="0"/>
          <w:iCs w:val="0"/>
          <w:color w:val="auto"/>
        </w:rPr>
        <w:t>Exploitation / Initial Access (Achieved): At 14:35:46, Attacker A's TELNET connection (syslog PID 2387) escalated into a large, 5,335-packet session (T1021.005; D1 Rows 5 and 11), and ten seconds later a shell session opened under the frozen-yoghurt account (T1078; D1 Row 5) — the confirmed breach. Both brute-force attempts described above failed and did not contribute to this outcome.</w:t>
      </w:r>
    </w:p>
    <w:p w14:paraId="24543281">
      <w:pPr>
        <w:spacing w:after="120"/>
        <w:rPr>
          <w:color w:val="auto"/>
        </w:rPr>
      </w:pPr>
      <w:r>
        <w:rPr>
          <w:rFonts w:ascii="Calibri" w:hAnsi="Calibri" w:eastAsia="Calibri" w:cs="Calibri"/>
          <w:b w:val="0"/>
          <w:bCs w:val="0"/>
          <w:i w:val="0"/>
          <w:iCs w:val="0"/>
          <w:color w:val="auto"/>
        </w:rPr>
        <w:t>Actions on Objectives: The frozen-yoghurt session remained open for approximately 2 minutes 42 seconds (14:35:56–14:38:38), overlapping almost exactly with the large TELNET data transfer (T1048; D1 Row 11). The client independently reported that the customer database had been accessed and files were missing following this window — consistent with, though not directly proven by, the packet volume observed in this session.</w:t>
      </w:r>
    </w:p>
    <w:p w14:paraId="54F4375B">
      <w:pPr>
        <w:spacing w:after="120"/>
        <w:rPr>
          <w:color w:val="auto"/>
        </w:rPr>
      </w:pPr>
      <w:r>
        <w:rPr>
          <w:rFonts w:ascii="Calibri" w:hAnsi="Calibri" w:eastAsia="Calibri" w:cs="Calibri"/>
          <w:b w:val="0"/>
          <w:bCs w:val="0"/>
          <w:i w:val="0"/>
          <w:iCs w:val="0"/>
          <w:color w:val="auto"/>
        </w:rPr>
        <w:t>No Installation or Command &amp; Control phase is evidenced in these five files — no persistence mechanism, scheduled task, or outbound C2 beacon was observed. This should be explicitly flagged to the client as an open item: absence of evidence is not evidence of absence, and a live-host check for backdoors or added accounts is recommended before considering the incident closed.</w:t>
      </w:r>
    </w:p>
    <w:p w14:paraId="4E8B588B">
      <w:pPr>
        <w:rPr>
          <w:color w:val="auto"/>
        </w:rPr>
      </w:pPr>
    </w:p>
    <w:p w14:paraId="59F770DC">
      <w:pPr>
        <w:pStyle w:val="2"/>
        <w:spacing w:before="240" w:after="120"/>
        <w:rPr>
          <w:color w:val="auto"/>
        </w:rPr>
      </w:pPr>
      <w:r>
        <w:rPr>
          <w:rFonts w:ascii="Calibri" w:hAnsi="Calibri" w:eastAsia="Calibri" w:cs="Calibri"/>
          <w:b/>
          <w:bCs/>
          <w:color w:val="auto"/>
        </w:rPr>
        <w:t xml:space="preserve">PART C </w:t>
      </w:r>
      <w:r>
        <w:rPr>
          <w:rFonts w:hint="default" w:ascii="Calibri" w:hAnsi="Calibri" w:eastAsia="Calibri" w:cs="Calibri"/>
          <w:b/>
          <w:bCs/>
          <w:color w:val="auto"/>
          <w:lang w:val="en-US"/>
        </w:rPr>
        <w:t>|</w:t>
      </w:r>
      <w:r>
        <w:rPr>
          <w:rFonts w:ascii="Calibri" w:hAnsi="Calibri" w:eastAsia="Calibri" w:cs="Calibri"/>
          <w:b/>
          <w:bCs/>
          <w:color w:val="auto"/>
        </w:rPr>
        <w:t>RISK ASSESSMENT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9"/>
        <w:gridCol w:w="1992"/>
        <w:gridCol w:w="930"/>
        <w:gridCol w:w="799"/>
        <w:gridCol w:w="998"/>
        <w:gridCol w:w="2252"/>
        <w:gridCol w:w="1990"/>
      </w:tblGrid>
      <w:tr w14:paraId="196F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shd w:val="clear" w:color="auto" w:fill="auto"/>
            <w:tcMar>
              <w:top w:w="80" w:type="dxa"/>
              <w:left w:w="100" w:type="dxa"/>
              <w:bottom w:w="80" w:type="dxa"/>
              <w:right w:w="100" w:type="dxa"/>
            </w:tcMar>
            <w:vAlign w:val="top"/>
          </w:tcPr>
          <w:p w14:paraId="4F5448DD">
            <w:pPr>
              <w:rPr>
                <w:color w:val="auto"/>
              </w:rPr>
            </w:pPr>
            <w:r>
              <w:rPr>
                <w:rFonts w:ascii="Calibri" w:hAnsi="Calibri" w:eastAsia="Calibri" w:cs="Calibri"/>
                <w:b/>
                <w:bCs/>
                <w:color w:val="auto"/>
                <w:sz w:val="17"/>
                <w:szCs w:val="17"/>
              </w:rPr>
              <w:t>#</w:t>
            </w:r>
          </w:p>
        </w:tc>
        <w:tc>
          <w:tcPr>
            <w:tcW w:w="2000" w:type="dxa"/>
            <w:shd w:val="clear" w:color="auto" w:fill="auto"/>
            <w:tcMar>
              <w:top w:w="80" w:type="dxa"/>
              <w:left w:w="100" w:type="dxa"/>
              <w:bottom w:w="80" w:type="dxa"/>
              <w:right w:w="100" w:type="dxa"/>
            </w:tcMar>
            <w:vAlign w:val="top"/>
          </w:tcPr>
          <w:p w14:paraId="53A7F8C3">
            <w:pPr>
              <w:rPr>
                <w:color w:val="auto"/>
              </w:rPr>
            </w:pPr>
            <w:r>
              <w:rPr>
                <w:rFonts w:ascii="Calibri" w:hAnsi="Calibri" w:eastAsia="Calibri" w:cs="Calibri"/>
                <w:b/>
                <w:bCs/>
                <w:color w:val="auto"/>
                <w:sz w:val="17"/>
                <w:szCs w:val="17"/>
              </w:rPr>
              <w:t>Risk / Vulnerability</w:t>
            </w:r>
          </w:p>
        </w:tc>
        <w:tc>
          <w:tcPr>
            <w:tcW w:w="900" w:type="dxa"/>
            <w:shd w:val="clear" w:color="auto" w:fill="auto"/>
            <w:tcMar>
              <w:top w:w="80" w:type="dxa"/>
              <w:left w:w="100" w:type="dxa"/>
              <w:bottom w:w="80" w:type="dxa"/>
              <w:right w:w="100" w:type="dxa"/>
            </w:tcMar>
            <w:vAlign w:val="top"/>
          </w:tcPr>
          <w:p w14:paraId="07593B7E">
            <w:pPr>
              <w:rPr>
                <w:color w:val="auto"/>
              </w:rPr>
            </w:pPr>
            <w:r>
              <w:rPr>
                <w:rFonts w:ascii="Calibri" w:hAnsi="Calibri" w:eastAsia="Calibri" w:cs="Calibri"/>
                <w:b/>
                <w:bCs/>
                <w:color w:val="auto"/>
                <w:sz w:val="17"/>
                <w:szCs w:val="17"/>
              </w:rPr>
              <w:t>Likelihood</w:t>
            </w:r>
          </w:p>
        </w:tc>
        <w:tc>
          <w:tcPr>
            <w:tcW w:w="800" w:type="dxa"/>
            <w:shd w:val="clear" w:color="auto" w:fill="auto"/>
            <w:tcMar>
              <w:top w:w="80" w:type="dxa"/>
              <w:left w:w="100" w:type="dxa"/>
              <w:bottom w:w="80" w:type="dxa"/>
              <w:right w:w="100" w:type="dxa"/>
            </w:tcMar>
            <w:vAlign w:val="top"/>
          </w:tcPr>
          <w:p w14:paraId="401C38D4">
            <w:pPr>
              <w:rPr>
                <w:color w:val="auto"/>
              </w:rPr>
            </w:pPr>
            <w:r>
              <w:rPr>
                <w:rFonts w:ascii="Calibri" w:hAnsi="Calibri" w:eastAsia="Calibri" w:cs="Calibri"/>
                <w:b/>
                <w:bCs/>
                <w:color w:val="auto"/>
                <w:sz w:val="17"/>
                <w:szCs w:val="17"/>
              </w:rPr>
              <w:t>Impact</w:t>
            </w:r>
          </w:p>
        </w:tc>
        <w:tc>
          <w:tcPr>
            <w:tcW w:w="1000" w:type="dxa"/>
            <w:shd w:val="clear" w:color="auto" w:fill="auto"/>
            <w:tcMar>
              <w:top w:w="80" w:type="dxa"/>
              <w:left w:w="100" w:type="dxa"/>
              <w:bottom w:w="80" w:type="dxa"/>
              <w:right w:w="100" w:type="dxa"/>
            </w:tcMar>
            <w:vAlign w:val="top"/>
          </w:tcPr>
          <w:p w14:paraId="764C641F">
            <w:pPr>
              <w:rPr>
                <w:color w:val="auto"/>
              </w:rPr>
            </w:pPr>
            <w:r>
              <w:rPr>
                <w:rFonts w:ascii="Calibri" w:hAnsi="Calibri" w:eastAsia="Calibri" w:cs="Calibri"/>
                <w:b/>
                <w:bCs/>
                <w:color w:val="auto"/>
                <w:sz w:val="17"/>
                <w:szCs w:val="17"/>
              </w:rPr>
              <w:t>Rating</w:t>
            </w:r>
          </w:p>
        </w:tc>
        <w:tc>
          <w:tcPr>
            <w:tcW w:w="2260" w:type="dxa"/>
            <w:shd w:val="clear" w:color="auto" w:fill="auto"/>
            <w:tcMar>
              <w:top w:w="80" w:type="dxa"/>
              <w:left w:w="100" w:type="dxa"/>
              <w:bottom w:w="80" w:type="dxa"/>
              <w:right w:w="100" w:type="dxa"/>
            </w:tcMar>
            <w:vAlign w:val="top"/>
          </w:tcPr>
          <w:p w14:paraId="30456753">
            <w:pPr>
              <w:rPr>
                <w:color w:val="auto"/>
              </w:rPr>
            </w:pPr>
            <w:r>
              <w:rPr>
                <w:rFonts w:ascii="Calibri" w:hAnsi="Calibri" w:eastAsia="Calibri" w:cs="Calibri"/>
                <w:b/>
                <w:bCs/>
                <w:color w:val="auto"/>
                <w:sz w:val="17"/>
                <w:szCs w:val="17"/>
              </w:rPr>
              <w:t>Recommended Control</w:t>
            </w:r>
          </w:p>
        </w:tc>
        <w:tc>
          <w:tcPr>
            <w:tcW w:w="2000" w:type="dxa"/>
            <w:shd w:val="clear" w:color="auto" w:fill="auto"/>
            <w:tcMar>
              <w:top w:w="80" w:type="dxa"/>
              <w:left w:w="100" w:type="dxa"/>
              <w:bottom w:w="80" w:type="dxa"/>
              <w:right w:w="100" w:type="dxa"/>
            </w:tcMar>
            <w:vAlign w:val="top"/>
          </w:tcPr>
          <w:p w14:paraId="2F25AB4C">
            <w:pPr>
              <w:rPr>
                <w:color w:val="auto"/>
              </w:rPr>
            </w:pPr>
            <w:r>
              <w:rPr>
                <w:rFonts w:ascii="Calibri" w:hAnsi="Calibri" w:eastAsia="Calibri" w:cs="Calibri"/>
                <w:b/>
                <w:bCs/>
                <w:color w:val="auto"/>
                <w:sz w:val="17"/>
                <w:szCs w:val="17"/>
              </w:rPr>
              <w:t>Framework Reference</w:t>
            </w:r>
          </w:p>
        </w:tc>
      </w:tr>
      <w:tr w14:paraId="7F90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036E7435">
            <w:pPr>
              <w:rPr>
                <w:color w:val="auto"/>
              </w:rPr>
            </w:pPr>
            <w:r>
              <w:rPr>
                <w:rFonts w:ascii="Calibri" w:hAnsi="Calibri" w:eastAsia="Calibri" w:cs="Calibri"/>
                <w:b w:val="0"/>
                <w:bCs w:val="0"/>
                <w:color w:val="auto"/>
                <w:sz w:val="16"/>
                <w:szCs w:val="16"/>
              </w:rPr>
              <w:t>1</w:t>
            </w:r>
          </w:p>
        </w:tc>
        <w:tc>
          <w:tcPr>
            <w:tcW w:w="2000" w:type="dxa"/>
            <w:tcMar>
              <w:top w:w="80" w:type="dxa"/>
              <w:left w:w="100" w:type="dxa"/>
              <w:bottom w:w="80" w:type="dxa"/>
              <w:right w:w="100" w:type="dxa"/>
            </w:tcMar>
            <w:vAlign w:val="top"/>
          </w:tcPr>
          <w:p w14:paraId="776DD264">
            <w:pPr>
              <w:rPr>
                <w:color w:val="auto"/>
              </w:rPr>
            </w:pPr>
            <w:r>
              <w:rPr>
                <w:rFonts w:ascii="Calibri" w:hAnsi="Calibri" w:eastAsia="Calibri" w:cs="Calibri"/>
                <w:b w:val="0"/>
                <w:bCs w:val="0"/>
                <w:color w:val="auto"/>
                <w:sz w:val="16"/>
                <w:szCs w:val="16"/>
              </w:rPr>
              <w:t>TELNET service exposed on port 23</w:t>
            </w:r>
          </w:p>
        </w:tc>
        <w:tc>
          <w:tcPr>
            <w:tcW w:w="900" w:type="dxa"/>
            <w:tcMar>
              <w:top w:w="80" w:type="dxa"/>
              <w:left w:w="100" w:type="dxa"/>
              <w:bottom w:w="80" w:type="dxa"/>
              <w:right w:w="100" w:type="dxa"/>
            </w:tcMar>
            <w:vAlign w:val="top"/>
          </w:tcPr>
          <w:p w14:paraId="648FA3EF">
            <w:pPr>
              <w:rPr>
                <w:color w:val="auto"/>
              </w:rPr>
            </w:pPr>
            <w:r>
              <w:rPr>
                <w:rFonts w:ascii="Calibri" w:hAnsi="Calibri" w:eastAsia="Calibri" w:cs="Calibri"/>
                <w:b w:val="0"/>
                <w:bCs w:val="0"/>
                <w:color w:val="auto"/>
                <w:sz w:val="16"/>
                <w:szCs w:val="16"/>
              </w:rPr>
              <w:t>H</w:t>
            </w:r>
          </w:p>
        </w:tc>
        <w:tc>
          <w:tcPr>
            <w:tcW w:w="800" w:type="dxa"/>
            <w:tcMar>
              <w:top w:w="80" w:type="dxa"/>
              <w:left w:w="100" w:type="dxa"/>
              <w:bottom w:w="80" w:type="dxa"/>
              <w:right w:w="100" w:type="dxa"/>
            </w:tcMar>
            <w:vAlign w:val="top"/>
          </w:tcPr>
          <w:p w14:paraId="182B451F">
            <w:pPr>
              <w:rPr>
                <w:color w:val="auto"/>
              </w:rPr>
            </w:pPr>
            <w:r>
              <w:rPr>
                <w:rFonts w:ascii="Calibri" w:hAnsi="Calibri" w:eastAsia="Calibri" w:cs="Calibri"/>
                <w:b w:val="0"/>
                <w:bCs w:val="0"/>
                <w:color w:val="auto"/>
                <w:sz w:val="16"/>
                <w:szCs w:val="16"/>
              </w:rPr>
              <w:t>H</w:t>
            </w:r>
          </w:p>
        </w:tc>
        <w:tc>
          <w:tcPr>
            <w:tcW w:w="1000" w:type="dxa"/>
            <w:tcMar>
              <w:top w:w="80" w:type="dxa"/>
              <w:left w:w="100" w:type="dxa"/>
              <w:bottom w:w="80" w:type="dxa"/>
              <w:right w:w="100" w:type="dxa"/>
            </w:tcMar>
            <w:vAlign w:val="top"/>
          </w:tcPr>
          <w:p w14:paraId="00EC2214">
            <w:pPr>
              <w:rPr>
                <w:color w:val="auto"/>
              </w:rPr>
            </w:pPr>
            <w:r>
              <w:rPr>
                <w:rFonts w:ascii="Calibri" w:hAnsi="Calibri" w:eastAsia="Calibri" w:cs="Calibri"/>
                <w:b w:val="0"/>
                <w:bCs w:val="0"/>
                <w:color w:val="auto"/>
                <w:sz w:val="16"/>
                <w:szCs w:val="16"/>
              </w:rPr>
              <w:t>CRITICAL</w:t>
            </w:r>
          </w:p>
        </w:tc>
        <w:tc>
          <w:tcPr>
            <w:tcW w:w="2260" w:type="dxa"/>
            <w:tcMar>
              <w:top w:w="80" w:type="dxa"/>
              <w:left w:w="100" w:type="dxa"/>
              <w:bottom w:w="80" w:type="dxa"/>
              <w:right w:w="100" w:type="dxa"/>
            </w:tcMar>
            <w:vAlign w:val="top"/>
          </w:tcPr>
          <w:p w14:paraId="37D5D1E8">
            <w:pPr>
              <w:rPr>
                <w:color w:val="auto"/>
              </w:rPr>
            </w:pPr>
            <w:r>
              <w:rPr>
                <w:rFonts w:ascii="Calibri" w:hAnsi="Calibri" w:eastAsia="Calibri" w:cs="Calibri"/>
                <w:b w:val="0"/>
                <w:bCs w:val="0"/>
                <w:color w:val="auto"/>
                <w:sz w:val="16"/>
                <w:szCs w:val="16"/>
              </w:rPr>
              <w:t>Disable TELNET; migrate to SSH with key-based auth</w:t>
            </w:r>
          </w:p>
        </w:tc>
        <w:tc>
          <w:tcPr>
            <w:tcW w:w="2000" w:type="dxa"/>
            <w:tcMar>
              <w:top w:w="80" w:type="dxa"/>
              <w:left w:w="100" w:type="dxa"/>
              <w:bottom w:w="80" w:type="dxa"/>
              <w:right w:w="100" w:type="dxa"/>
            </w:tcMar>
            <w:vAlign w:val="top"/>
          </w:tcPr>
          <w:p w14:paraId="2A512B4C">
            <w:pPr>
              <w:rPr>
                <w:color w:val="auto"/>
              </w:rPr>
            </w:pPr>
            <w:r>
              <w:rPr>
                <w:rFonts w:ascii="Calibri" w:hAnsi="Calibri" w:eastAsia="Calibri" w:cs="Calibri"/>
                <w:b w:val="0"/>
                <w:bCs w:val="0"/>
                <w:color w:val="auto"/>
                <w:sz w:val="16"/>
                <w:szCs w:val="16"/>
              </w:rPr>
              <w:t>NCSC Cyber Essentials — Secure Configuration</w:t>
            </w:r>
          </w:p>
        </w:tc>
      </w:tr>
      <w:tr w14:paraId="2B00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54495050">
            <w:pPr>
              <w:rPr>
                <w:color w:val="auto"/>
              </w:rPr>
            </w:pPr>
            <w:r>
              <w:rPr>
                <w:rFonts w:ascii="Calibri" w:hAnsi="Calibri" w:eastAsia="Calibri" w:cs="Calibri"/>
                <w:b w:val="0"/>
                <w:bCs w:val="0"/>
                <w:color w:val="auto"/>
                <w:sz w:val="16"/>
                <w:szCs w:val="16"/>
              </w:rPr>
              <w:t>2</w:t>
            </w:r>
          </w:p>
        </w:tc>
        <w:tc>
          <w:tcPr>
            <w:tcW w:w="2000" w:type="dxa"/>
            <w:tcMar>
              <w:top w:w="80" w:type="dxa"/>
              <w:left w:w="100" w:type="dxa"/>
              <w:bottom w:w="80" w:type="dxa"/>
              <w:right w:w="100" w:type="dxa"/>
            </w:tcMar>
            <w:vAlign w:val="top"/>
          </w:tcPr>
          <w:p w14:paraId="71343D55">
            <w:pPr>
              <w:rPr>
                <w:color w:val="auto"/>
              </w:rPr>
            </w:pPr>
            <w:r>
              <w:rPr>
                <w:rFonts w:ascii="Calibri" w:hAnsi="Calibri" w:eastAsia="Calibri" w:cs="Calibri"/>
                <w:b w:val="0"/>
                <w:bCs w:val="0"/>
                <w:color w:val="auto"/>
                <w:sz w:val="16"/>
                <w:szCs w:val="16"/>
              </w:rPr>
              <w:t>Weak/guessable password on a staff account with broad file access</w:t>
            </w:r>
          </w:p>
        </w:tc>
        <w:tc>
          <w:tcPr>
            <w:tcW w:w="900" w:type="dxa"/>
            <w:tcMar>
              <w:top w:w="80" w:type="dxa"/>
              <w:left w:w="100" w:type="dxa"/>
              <w:bottom w:w="80" w:type="dxa"/>
              <w:right w:w="100" w:type="dxa"/>
            </w:tcMar>
            <w:vAlign w:val="top"/>
          </w:tcPr>
          <w:p w14:paraId="196D60C9">
            <w:pPr>
              <w:rPr>
                <w:color w:val="auto"/>
              </w:rPr>
            </w:pPr>
            <w:r>
              <w:rPr>
                <w:rFonts w:ascii="Calibri" w:hAnsi="Calibri" w:eastAsia="Calibri" w:cs="Calibri"/>
                <w:b w:val="0"/>
                <w:bCs w:val="0"/>
                <w:color w:val="auto"/>
                <w:sz w:val="16"/>
                <w:szCs w:val="16"/>
              </w:rPr>
              <w:t>H</w:t>
            </w:r>
          </w:p>
        </w:tc>
        <w:tc>
          <w:tcPr>
            <w:tcW w:w="800" w:type="dxa"/>
            <w:tcMar>
              <w:top w:w="80" w:type="dxa"/>
              <w:left w:w="100" w:type="dxa"/>
              <w:bottom w:w="80" w:type="dxa"/>
              <w:right w:w="100" w:type="dxa"/>
            </w:tcMar>
            <w:vAlign w:val="top"/>
          </w:tcPr>
          <w:p w14:paraId="1828EF06">
            <w:pPr>
              <w:rPr>
                <w:color w:val="auto"/>
              </w:rPr>
            </w:pPr>
            <w:r>
              <w:rPr>
                <w:rFonts w:ascii="Calibri" w:hAnsi="Calibri" w:eastAsia="Calibri" w:cs="Calibri"/>
                <w:b w:val="0"/>
                <w:bCs w:val="0"/>
                <w:color w:val="auto"/>
                <w:sz w:val="16"/>
                <w:szCs w:val="16"/>
              </w:rPr>
              <w:t>H</w:t>
            </w:r>
          </w:p>
        </w:tc>
        <w:tc>
          <w:tcPr>
            <w:tcW w:w="1000" w:type="dxa"/>
            <w:tcMar>
              <w:top w:w="80" w:type="dxa"/>
              <w:left w:w="100" w:type="dxa"/>
              <w:bottom w:w="80" w:type="dxa"/>
              <w:right w:w="100" w:type="dxa"/>
            </w:tcMar>
            <w:vAlign w:val="top"/>
          </w:tcPr>
          <w:p w14:paraId="6EA059F6">
            <w:pPr>
              <w:rPr>
                <w:color w:val="auto"/>
              </w:rPr>
            </w:pPr>
            <w:r>
              <w:rPr>
                <w:rFonts w:ascii="Calibri" w:hAnsi="Calibri" w:eastAsia="Calibri" w:cs="Calibri"/>
                <w:b w:val="0"/>
                <w:bCs w:val="0"/>
                <w:color w:val="auto"/>
                <w:sz w:val="16"/>
                <w:szCs w:val="16"/>
              </w:rPr>
              <w:t>CRITICAL</w:t>
            </w:r>
          </w:p>
        </w:tc>
        <w:tc>
          <w:tcPr>
            <w:tcW w:w="2260" w:type="dxa"/>
            <w:tcMar>
              <w:top w:w="80" w:type="dxa"/>
              <w:left w:w="100" w:type="dxa"/>
              <w:bottom w:w="80" w:type="dxa"/>
              <w:right w:w="100" w:type="dxa"/>
            </w:tcMar>
            <w:vAlign w:val="top"/>
          </w:tcPr>
          <w:p w14:paraId="1864E3A6">
            <w:pPr>
              <w:rPr>
                <w:color w:val="auto"/>
              </w:rPr>
            </w:pPr>
            <w:r>
              <w:rPr>
                <w:rFonts w:ascii="Calibri" w:hAnsi="Calibri" w:eastAsia="Calibri" w:cs="Calibri"/>
                <w:b w:val="0"/>
                <w:bCs w:val="0"/>
                <w:color w:val="auto"/>
                <w:sz w:val="16"/>
                <w:szCs w:val="16"/>
              </w:rPr>
              <w:t>Enforce strong, unique passwords and enable MFA on all remote-access accounts</w:t>
            </w:r>
          </w:p>
        </w:tc>
        <w:tc>
          <w:tcPr>
            <w:tcW w:w="2000" w:type="dxa"/>
            <w:tcMar>
              <w:top w:w="80" w:type="dxa"/>
              <w:left w:w="100" w:type="dxa"/>
              <w:bottom w:w="80" w:type="dxa"/>
              <w:right w:w="100" w:type="dxa"/>
            </w:tcMar>
            <w:vAlign w:val="top"/>
          </w:tcPr>
          <w:p w14:paraId="5D15DD27">
            <w:pPr>
              <w:rPr>
                <w:color w:val="auto"/>
              </w:rPr>
            </w:pPr>
            <w:r>
              <w:rPr>
                <w:rFonts w:ascii="Calibri" w:hAnsi="Calibri" w:eastAsia="Calibri" w:cs="Calibri"/>
                <w:b w:val="0"/>
                <w:bCs w:val="0"/>
                <w:color w:val="auto"/>
                <w:sz w:val="16"/>
                <w:szCs w:val="16"/>
              </w:rPr>
              <w:t>ISO/IEC 27001 Annex A.9.4 (Access Control)</w:t>
            </w:r>
          </w:p>
        </w:tc>
      </w:tr>
      <w:tr w14:paraId="3107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6CC3C907">
            <w:pPr>
              <w:rPr>
                <w:color w:val="auto"/>
              </w:rPr>
            </w:pPr>
            <w:r>
              <w:rPr>
                <w:rFonts w:ascii="Calibri" w:hAnsi="Calibri" w:eastAsia="Calibri" w:cs="Calibri"/>
                <w:b w:val="0"/>
                <w:bCs w:val="0"/>
                <w:color w:val="auto"/>
                <w:sz w:val="16"/>
                <w:szCs w:val="16"/>
              </w:rPr>
              <w:t>3</w:t>
            </w:r>
          </w:p>
        </w:tc>
        <w:tc>
          <w:tcPr>
            <w:tcW w:w="2000" w:type="dxa"/>
            <w:tcMar>
              <w:top w:w="80" w:type="dxa"/>
              <w:left w:w="100" w:type="dxa"/>
              <w:bottom w:w="80" w:type="dxa"/>
              <w:right w:w="100" w:type="dxa"/>
            </w:tcMar>
            <w:vAlign w:val="top"/>
          </w:tcPr>
          <w:p w14:paraId="32F868B6">
            <w:pPr>
              <w:rPr>
                <w:color w:val="auto"/>
              </w:rPr>
            </w:pPr>
            <w:r>
              <w:rPr>
                <w:rFonts w:ascii="Calibri" w:hAnsi="Calibri" w:eastAsia="Calibri" w:cs="Calibri"/>
                <w:b w:val="0"/>
                <w:bCs w:val="0"/>
                <w:color w:val="auto"/>
                <w:sz w:val="16"/>
                <w:szCs w:val="16"/>
              </w:rPr>
              <w:t>No account lockout on repeated failed logins (SSH and TTY)</w:t>
            </w:r>
          </w:p>
        </w:tc>
        <w:tc>
          <w:tcPr>
            <w:tcW w:w="900" w:type="dxa"/>
            <w:tcMar>
              <w:top w:w="80" w:type="dxa"/>
              <w:left w:w="100" w:type="dxa"/>
              <w:bottom w:w="80" w:type="dxa"/>
              <w:right w:w="100" w:type="dxa"/>
            </w:tcMar>
            <w:vAlign w:val="top"/>
          </w:tcPr>
          <w:p w14:paraId="0BE38B5D">
            <w:pPr>
              <w:rPr>
                <w:color w:val="auto"/>
              </w:rPr>
            </w:pPr>
            <w:r>
              <w:rPr>
                <w:rFonts w:ascii="Calibri" w:hAnsi="Calibri" w:eastAsia="Calibri" w:cs="Calibri"/>
                <w:b w:val="0"/>
                <w:bCs w:val="0"/>
                <w:color w:val="auto"/>
                <w:sz w:val="16"/>
                <w:szCs w:val="16"/>
              </w:rPr>
              <w:t>H</w:t>
            </w:r>
          </w:p>
        </w:tc>
        <w:tc>
          <w:tcPr>
            <w:tcW w:w="800" w:type="dxa"/>
            <w:tcMar>
              <w:top w:w="80" w:type="dxa"/>
              <w:left w:w="100" w:type="dxa"/>
              <w:bottom w:w="80" w:type="dxa"/>
              <w:right w:w="100" w:type="dxa"/>
            </w:tcMar>
            <w:vAlign w:val="top"/>
          </w:tcPr>
          <w:p w14:paraId="0D397F01">
            <w:pPr>
              <w:rPr>
                <w:color w:val="auto"/>
              </w:rPr>
            </w:pPr>
            <w:r>
              <w:rPr>
                <w:rFonts w:ascii="Calibri" w:hAnsi="Calibri" w:eastAsia="Calibri" w:cs="Calibri"/>
                <w:b w:val="0"/>
                <w:bCs w:val="0"/>
                <w:color w:val="auto"/>
                <w:sz w:val="16"/>
                <w:szCs w:val="16"/>
              </w:rPr>
              <w:t>M</w:t>
            </w:r>
          </w:p>
        </w:tc>
        <w:tc>
          <w:tcPr>
            <w:tcW w:w="1000" w:type="dxa"/>
            <w:tcMar>
              <w:top w:w="80" w:type="dxa"/>
              <w:left w:w="100" w:type="dxa"/>
              <w:bottom w:w="80" w:type="dxa"/>
              <w:right w:w="100" w:type="dxa"/>
            </w:tcMar>
            <w:vAlign w:val="top"/>
          </w:tcPr>
          <w:p w14:paraId="1246A1DB">
            <w:pPr>
              <w:rPr>
                <w:color w:val="auto"/>
              </w:rPr>
            </w:pPr>
            <w:r>
              <w:rPr>
                <w:rFonts w:ascii="Calibri" w:hAnsi="Calibri" w:eastAsia="Calibri" w:cs="Calibri"/>
                <w:b w:val="0"/>
                <w:bCs w:val="0"/>
                <w:color w:val="auto"/>
                <w:sz w:val="16"/>
                <w:szCs w:val="16"/>
              </w:rPr>
              <w:t>HIGH</w:t>
            </w:r>
          </w:p>
        </w:tc>
        <w:tc>
          <w:tcPr>
            <w:tcW w:w="2260" w:type="dxa"/>
            <w:tcMar>
              <w:top w:w="80" w:type="dxa"/>
              <w:left w:w="100" w:type="dxa"/>
              <w:bottom w:w="80" w:type="dxa"/>
              <w:right w:w="100" w:type="dxa"/>
            </w:tcMar>
            <w:vAlign w:val="top"/>
          </w:tcPr>
          <w:p w14:paraId="253E86E4">
            <w:pPr>
              <w:rPr>
                <w:color w:val="auto"/>
              </w:rPr>
            </w:pPr>
            <w:r>
              <w:rPr>
                <w:rFonts w:ascii="Calibri" w:hAnsi="Calibri" w:eastAsia="Calibri" w:cs="Calibri"/>
                <w:b w:val="0"/>
                <w:bCs w:val="0"/>
                <w:color w:val="auto"/>
                <w:sz w:val="16"/>
                <w:szCs w:val="16"/>
              </w:rPr>
              <w:t>Implement rate-limiting / lockout (e.g., fail2ban) after a small number of failed attempts</w:t>
            </w:r>
          </w:p>
        </w:tc>
        <w:tc>
          <w:tcPr>
            <w:tcW w:w="2000" w:type="dxa"/>
            <w:tcMar>
              <w:top w:w="80" w:type="dxa"/>
              <w:left w:w="100" w:type="dxa"/>
              <w:bottom w:w="80" w:type="dxa"/>
              <w:right w:w="100" w:type="dxa"/>
            </w:tcMar>
            <w:vAlign w:val="top"/>
          </w:tcPr>
          <w:p w14:paraId="00A4E39E">
            <w:pPr>
              <w:rPr>
                <w:color w:val="auto"/>
              </w:rPr>
            </w:pPr>
            <w:r>
              <w:rPr>
                <w:rFonts w:ascii="Calibri" w:hAnsi="Calibri" w:eastAsia="Calibri" w:cs="Calibri"/>
                <w:b w:val="0"/>
                <w:bCs w:val="0"/>
                <w:color w:val="auto"/>
                <w:sz w:val="16"/>
                <w:szCs w:val="16"/>
              </w:rPr>
              <w:t>CIS Controls v8, Control 4</w:t>
            </w:r>
          </w:p>
        </w:tc>
      </w:tr>
      <w:tr w14:paraId="038C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6DDD81D5">
            <w:pPr>
              <w:rPr>
                <w:color w:val="auto"/>
              </w:rPr>
            </w:pPr>
            <w:r>
              <w:rPr>
                <w:rFonts w:ascii="Calibri" w:hAnsi="Calibri" w:eastAsia="Calibri" w:cs="Calibri"/>
                <w:b w:val="0"/>
                <w:bCs w:val="0"/>
                <w:color w:val="auto"/>
                <w:sz w:val="16"/>
                <w:szCs w:val="16"/>
              </w:rPr>
              <w:t>4</w:t>
            </w:r>
          </w:p>
        </w:tc>
        <w:tc>
          <w:tcPr>
            <w:tcW w:w="2000" w:type="dxa"/>
            <w:tcMar>
              <w:top w:w="80" w:type="dxa"/>
              <w:left w:w="100" w:type="dxa"/>
              <w:bottom w:w="80" w:type="dxa"/>
              <w:right w:w="100" w:type="dxa"/>
            </w:tcMar>
            <w:vAlign w:val="top"/>
          </w:tcPr>
          <w:p w14:paraId="4AD0B3B6">
            <w:pPr>
              <w:rPr>
                <w:color w:val="auto"/>
              </w:rPr>
            </w:pPr>
            <w:r>
              <w:rPr>
                <w:rFonts w:ascii="Calibri" w:hAnsi="Calibri" w:eastAsia="Calibri" w:cs="Calibri"/>
                <w:b w:val="0"/>
                <w:bCs w:val="0"/>
                <w:color w:val="auto"/>
                <w:sz w:val="16"/>
                <w:szCs w:val="16"/>
              </w:rPr>
              <w:t>Single server hosting mail, website, HR, customer DB, sales and stock with no segmentation</w:t>
            </w:r>
          </w:p>
        </w:tc>
        <w:tc>
          <w:tcPr>
            <w:tcW w:w="900" w:type="dxa"/>
            <w:tcMar>
              <w:top w:w="80" w:type="dxa"/>
              <w:left w:w="100" w:type="dxa"/>
              <w:bottom w:w="80" w:type="dxa"/>
              <w:right w:w="100" w:type="dxa"/>
            </w:tcMar>
            <w:vAlign w:val="top"/>
          </w:tcPr>
          <w:p w14:paraId="3B8BF9A9">
            <w:pPr>
              <w:rPr>
                <w:color w:val="auto"/>
              </w:rPr>
            </w:pPr>
            <w:r>
              <w:rPr>
                <w:rFonts w:ascii="Calibri" w:hAnsi="Calibri" w:eastAsia="Calibri" w:cs="Calibri"/>
                <w:b w:val="0"/>
                <w:bCs w:val="0"/>
                <w:color w:val="auto"/>
                <w:sz w:val="16"/>
                <w:szCs w:val="16"/>
              </w:rPr>
              <w:t>M</w:t>
            </w:r>
          </w:p>
        </w:tc>
        <w:tc>
          <w:tcPr>
            <w:tcW w:w="800" w:type="dxa"/>
            <w:tcMar>
              <w:top w:w="80" w:type="dxa"/>
              <w:left w:w="100" w:type="dxa"/>
              <w:bottom w:w="80" w:type="dxa"/>
              <w:right w:w="100" w:type="dxa"/>
            </w:tcMar>
            <w:vAlign w:val="top"/>
          </w:tcPr>
          <w:p w14:paraId="0F8476A4">
            <w:pPr>
              <w:rPr>
                <w:color w:val="auto"/>
              </w:rPr>
            </w:pPr>
            <w:r>
              <w:rPr>
                <w:rFonts w:ascii="Calibri" w:hAnsi="Calibri" w:eastAsia="Calibri" w:cs="Calibri"/>
                <w:b w:val="0"/>
                <w:bCs w:val="0"/>
                <w:color w:val="auto"/>
                <w:sz w:val="16"/>
                <w:szCs w:val="16"/>
              </w:rPr>
              <w:t>H</w:t>
            </w:r>
          </w:p>
        </w:tc>
        <w:tc>
          <w:tcPr>
            <w:tcW w:w="1000" w:type="dxa"/>
            <w:tcMar>
              <w:top w:w="80" w:type="dxa"/>
              <w:left w:w="100" w:type="dxa"/>
              <w:bottom w:w="80" w:type="dxa"/>
              <w:right w:w="100" w:type="dxa"/>
            </w:tcMar>
            <w:vAlign w:val="top"/>
          </w:tcPr>
          <w:p w14:paraId="1FE6218D">
            <w:pPr>
              <w:rPr>
                <w:color w:val="auto"/>
              </w:rPr>
            </w:pPr>
            <w:r>
              <w:rPr>
                <w:rFonts w:ascii="Calibri" w:hAnsi="Calibri" w:eastAsia="Calibri" w:cs="Calibri"/>
                <w:b w:val="0"/>
                <w:bCs w:val="0"/>
                <w:color w:val="auto"/>
                <w:sz w:val="16"/>
                <w:szCs w:val="16"/>
              </w:rPr>
              <w:t>HIGH</w:t>
            </w:r>
          </w:p>
        </w:tc>
        <w:tc>
          <w:tcPr>
            <w:tcW w:w="2260" w:type="dxa"/>
            <w:tcMar>
              <w:top w:w="80" w:type="dxa"/>
              <w:left w:w="100" w:type="dxa"/>
              <w:bottom w:w="80" w:type="dxa"/>
              <w:right w:w="100" w:type="dxa"/>
            </w:tcMar>
            <w:vAlign w:val="top"/>
          </w:tcPr>
          <w:p w14:paraId="2A75A5B3">
            <w:pPr>
              <w:rPr>
                <w:color w:val="auto"/>
              </w:rPr>
            </w:pPr>
            <w:r>
              <w:rPr>
                <w:rFonts w:ascii="Calibri" w:hAnsi="Calibri" w:eastAsia="Calibri" w:cs="Calibri"/>
                <w:b w:val="0"/>
                <w:bCs w:val="0"/>
                <w:color w:val="auto"/>
                <w:sz w:val="16"/>
                <w:szCs w:val="16"/>
              </w:rPr>
              <w:t>Segment services onto separate systems or VLANs so one compromised account cannot reach every business function</w:t>
            </w:r>
          </w:p>
        </w:tc>
        <w:tc>
          <w:tcPr>
            <w:tcW w:w="2000" w:type="dxa"/>
            <w:tcMar>
              <w:top w:w="80" w:type="dxa"/>
              <w:left w:w="100" w:type="dxa"/>
              <w:bottom w:w="80" w:type="dxa"/>
              <w:right w:w="100" w:type="dxa"/>
            </w:tcMar>
            <w:vAlign w:val="top"/>
          </w:tcPr>
          <w:p w14:paraId="060321DA">
            <w:pPr>
              <w:rPr>
                <w:color w:val="auto"/>
              </w:rPr>
            </w:pPr>
            <w:r>
              <w:rPr>
                <w:rFonts w:ascii="Calibri" w:hAnsi="Calibri" w:eastAsia="Calibri" w:cs="Calibri"/>
                <w:b w:val="0"/>
                <w:bCs w:val="0"/>
                <w:color w:val="auto"/>
                <w:sz w:val="16"/>
                <w:szCs w:val="16"/>
              </w:rPr>
              <w:t>NIST CSF 2.0 — PR.AC-05</w:t>
            </w:r>
          </w:p>
        </w:tc>
      </w:tr>
      <w:tr w14:paraId="6048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0E273153">
            <w:pPr>
              <w:rPr>
                <w:color w:val="auto"/>
              </w:rPr>
            </w:pPr>
            <w:r>
              <w:rPr>
                <w:rFonts w:ascii="Calibri" w:hAnsi="Calibri" w:eastAsia="Calibri" w:cs="Calibri"/>
                <w:b w:val="0"/>
                <w:bCs w:val="0"/>
                <w:color w:val="auto"/>
                <w:sz w:val="16"/>
                <w:szCs w:val="16"/>
              </w:rPr>
              <w:t>5</w:t>
            </w:r>
          </w:p>
        </w:tc>
        <w:tc>
          <w:tcPr>
            <w:tcW w:w="2000" w:type="dxa"/>
            <w:tcMar>
              <w:top w:w="80" w:type="dxa"/>
              <w:left w:w="100" w:type="dxa"/>
              <w:bottom w:w="80" w:type="dxa"/>
              <w:right w:w="100" w:type="dxa"/>
            </w:tcMar>
            <w:vAlign w:val="top"/>
          </w:tcPr>
          <w:p w14:paraId="61B11524">
            <w:pPr>
              <w:rPr>
                <w:color w:val="auto"/>
              </w:rPr>
            </w:pPr>
            <w:r>
              <w:rPr>
                <w:rFonts w:ascii="Calibri" w:hAnsi="Calibri" w:eastAsia="Calibri" w:cs="Calibri"/>
                <w:b w:val="0"/>
                <w:bCs w:val="0"/>
                <w:color w:val="auto"/>
                <w:sz w:val="16"/>
                <w:szCs w:val="16"/>
              </w:rPr>
              <w:t>No real-time alerting; breach discovered after the fact by the owner</w:t>
            </w:r>
          </w:p>
        </w:tc>
        <w:tc>
          <w:tcPr>
            <w:tcW w:w="900" w:type="dxa"/>
            <w:tcMar>
              <w:top w:w="80" w:type="dxa"/>
              <w:left w:w="100" w:type="dxa"/>
              <w:bottom w:w="80" w:type="dxa"/>
              <w:right w:w="100" w:type="dxa"/>
            </w:tcMar>
            <w:vAlign w:val="top"/>
          </w:tcPr>
          <w:p w14:paraId="073F50CC">
            <w:pPr>
              <w:rPr>
                <w:color w:val="auto"/>
              </w:rPr>
            </w:pPr>
            <w:r>
              <w:rPr>
                <w:rFonts w:ascii="Calibri" w:hAnsi="Calibri" w:eastAsia="Calibri" w:cs="Calibri"/>
                <w:b w:val="0"/>
                <w:bCs w:val="0"/>
                <w:color w:val="auto"/>
                <w:sz w:val="16"/>
                <w:szCs w:val="16"/>
              </w:rPr>
              <w:t>M</w:t>
            </w:r>
          </w:p>
        </w:tc>
        <w:tc>
          <w:tcPr>
            <w:tcW w:w="800" w:type="dxa"/>
            <w:tcMar>
              <w:top w:w="80" w:type="dxa"/>
              <w:left w:w="100" w:type="dxa"/>
              <w:bottom w:w="80" w:type="dxa"/>
              <w:right w:w="100" w:type="dxa"/>
            </w:tcMar>
            <w:vAlign w:val="top"/>
          </w:tcPr>
          <w:p w14:paraId="1850E686">
            <w:pPr>
              <w:rPr>
                <w:color w:val="auto"/>
              </w:rPr>
            </w:pPr>
            <w:r>
              <w:rPr>
                <w:rFonts w:ascii="Calibri" w:hAnsi="Calibri" w:eastAsia="Calibri" w:cs="Calibri"/>
                <w:b w:val="0"/>
                <w:bCs w:val="0"/>
                <w:color w:val="auto"/>
                <w:sz w:val="16"/>
                <w:szCs w:val="16"/>
              </w:rPr>
              <w:t>M</w:t>
            </w:r>
          </w:p>
        </w:tc>
        <w:tc>
          <w:tcPr>
            <w:tcW w:w="1000" w:type="dxa"/>
            <w:tcMar>
              <w:top w:w="80" w:type="dxa"/>
              <w:left w:w="100" w:type="dxa"/>
              <w:bottom w:w="80" w:type="dxa"/>
              <w:right w:w="100" w:type="dxa"/>
            </w:tcMar>
            <w:vAlign w:val="top"/>
          </w:tcPr>
          <w:p w14:paraId="7C5995F9">
            <w:pPr>
              <w:rPr>
                <w:color w:val="auto"/>
              </w:rPr>
            </w:pPr>
            <w:r>
              <w:rPr>
                <w:rFonts w:ascii="Calibri" w:hAnsi="Calibri" w:eastAsia="Calibri" w:cs="Calibri"/>
                <w:b w:val="0"/>
                <w:bCs w:val="0"/>
                <w:color w:val="auto"/>
                <w:sz w:val="16"/>
                <w:szCs w:val="16"/>
              </w:rPr>
              <w:t>MEDIUM</w:t>
            </w:r>
          </w:p>
        </w:tc>
        <w:tc>
          <w:tcPr>
            <w:tcW w:w="2260" w:type="dxa"/>
            <w:tcMar>
              <w:top w:w="80" w:type="dxa"/>
              <w:left w:w="100" w:type="dxa"/>
              <w:bottom w:w="80" w:type="dxa"/>
              <w:right w:w="100" w:type="dxa"/>
            </w:tcMar>
            <w:vAlign w:val="top"/>
          </w:tcPr>
          <w:p w14:paraId="6D8A19C7">
            <w:pPr>
              <w:rPr>
                <w:color w:val="auto"/>
              </w:rPr>
            </w:pPr>
            <w:r>
              <w:rPr>
                <w:rFonts w:ascii="Calibri" w:hAnsi="Calibri" w:eastAsia="Calibri" w:cs="Calibri"/>
                <w:b w:val="0"/>
                <w:bCs w:val="0"/>
                <w:color w:val="auto"/>
                <w:sz w:val="16"/>
                <w:szCs w:val="16"/>
              </w:rPr>
              <w:t>Deploy continuous monitoring/alerting on the existing Suricata IDS rather than manual log review</w:t>
            </w:r>
          </w:p>
        </w:tc>
        <w:tc>
          <w:tcPr>
            <w:tcW w:w="2000" w:type="dxa"/>
            <w:tcMar>
              <w:top w:w="80" w:type="dxa"/>
              <w:left w:w="100" w:type="dxa"/>
              <w:bottom w:w="80" w:type="dxa"/>
              <w:right w:w="100" w:type="dxa"/>
            </w:tcMar>
            <w:vAlign w:val="top"/>
          </w:tcPr>
          <w:p w14:paraId="01A48BC9">
            <w:pPr>
              <w:rPr>
                <w:color w:val="auto"/>
              </w:rPr>
            </w:pPr>
            <w:r>
              <w:rPr>
                <w:rFonts w:ascii="Calibri" w:hAnsi="Calibri" w:eastAsia="Calibri" w:cs="Calibri"/>
                <w:b w:val="0"/>
                <w:bCs w:val="0"/>
                <w:color w:val="auto"/>
                <w:sz w:val="16"/>
                <w:szCs w:val="16"/>
              </w:rPr>
              <w:t>NIST CSF 2.0 — DE.CM</w:t>
            </w:r>
          </w:p>
        </w:tc>
      </w:tr>
      <w:tr w14:paraId="6DBC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vAlign w:val="top"/>
          </w:tcPr>
          <w:p w14:paraId="3FC08018">
            <w:pPr>
              <w:rPr>
                <w:color w:val="auto"/>
              </w:rPr>
            </w:pPr>
            <w:r>
              <w:rPr>
                <w:rFonts w:ascii="Calibri" w:hAnsi="Calibri" w:eastAsia="Calibri" w:cs="Calibri"/>
                <w:b w:val="0"/>
                <w:bCs w:val="0"/>
                <w:color w:val="auto"/>
                <w:sz w:val="16"/>
                <w:szCs w:val="16"/>
              </w:rPr>
              <w:t>6</w:t>
            </w:r>
          </w:p>
        </w:tc>
        <w:tc>
          <w:tcPr>
            <w:tcW w:w="2000" w:type="dxa"/>
            <w:tcMar>
              <w:top w:w="80" w:type="dxa"/>
              <w:left w:w="100" w:type="dxa"/>
              <w:bottom w:w="80" w:type="dxa"/>
              <w:right w:w="100" w:type="dxa"/>
            </w:tcMar>
            <w:vAlign w:val="top"/>
          </w:tcPr>
          <w:p w14:paraId="01FABA88">
            <w:pPr>
              <w:rPr>
                <w:color w:val="auto"/>
              </w:rPr>
            </w:pPr>
            <w:r>
              <w:rPr>
                <w:rFonts w:ascii="Calibri" w:hAnsi="Calibri" w:eastAsia="Calibri" w:cs="Calibri"/>
                <w:b w:val="0"/>
                <w:bCs w:val="0"/>
                <w:color w:val="auto"/>
                <w:sz w:val="16"/>
                <w:szCs w:val="16"/>
              </w:rPr>
              <w:t>Personal data breach with no documented notification procedure</w:t>
            </w:r>
          </w:p>
        </w:tc>
        <w:tc>
          <w:tcPr>
            <w:tcW w:w="900" w:type="dxa"/>
            <w:tcMar>
              <w:top w:w="80" w:type="dxa"/>
              <w:left w:w="100" w:type="dxa"/>
              <w:bottom w:w="80" w:type="dxa"/>
              <w:right w:w="100" w:type="dxa"/>
            </w:tcMar>
            <w:vAlign w:val="top"/>
          </w:tcPr>
          <w:p w14:paraId="77BC8E72">
            <w:pPr>
              <w:rPr>
                <w:color w:val="auto"/>
              </w:rPr>
            </w:pPr>
            <w:r>
              <w:rPr>
                <w:rFonts w:ascii="Calibri" w:hAnsi="Calibri" w:eastAsia="Calibri" w:cs="Calibri"/>
                <w:b w:val="0"/>
                <w:bCs w:val="0"/>
                <w:color w:val="auto"/>
                <w:sz w:val="16"/>
                <w:szCs w:val="16"/>
              </w:rPr>
              <w:t>M</w:t>
            </w:r>
          </w:p>
        </w:tc>
        <w:tc>
          <w:tcPr>
            <w:tcW w:w="800" w:type="dxa"/>
            <w:tcMar>
              <w:top w:w="80" w:type="dxa"/>
              <w:left w:w="100" w:type="dxa"/>
              <w:bottom w:w="80" w:type="dxa"/>
              <w:right w:w="100" w:type="dxa"/>
            </w:tcMar>
            <w:vAlign w:val="top"/>
          </w:tcPr>
          <w:p w14:paraId="2415A128">
            <w:pPr>
              <w:rPr>
                <w:color w:val="auto"/>
              </w:rPr>
            </w:pPr>
            <w:r>
              <w:rPr>
                <w:rFonts w:ascii="Calibri" w:hAnsi="Calibri" w:eastAsia="Calibri" w:cs="Calibri"/>
                <w:b w:val="0"/>
                <w:bCs w:val="0"/>
                <w:color w:val="auto"/>
                <w:sz w:val="16"/>
                <w:szCs w:val="16"/>
              </w:rPr>
              <w:t>H</w:t>
            </w:r>
          </w:p>
        </w:tc>
        <w:tc>
          <w:tcPr>
            <w:tcW w:w="1000" w:type="dxa"/>
            <w:tcMar>
              <w:top w:w="80" w:type="dxa"/>
              <w:left w:w="100" w:type="dxa"/>
              <w:bottom w:w="80" w:type="dxa"/>
              <w:right w:w="100" w:type="dxa"/>
            </w:tcMar>
            <w:vAlign w:val="top"/>
          </w:tcPr>
          <w:p w14:paraId="1E1CB7FF">
            <w:pPr>
              <w:rPr>
                <w:color w:val="auto"/>
              </w:rPr>
            </w:pPr>
            <w:r>
              <w:rPr>
                <w:rFonts w:ascii="Calibri" w:hAnsi="Calibri" w:eastAsia="Calibri" w:cs="Calibri"/>
                <w:b w:val="0"/>
                <w:bCs w:val="0"/>
                <w:color w:val="auto"/>
                <w:sz w:val="16"/>
                <w:szCs w:val="16"/>
              </w:rPr>
              <w:t>HIGH</w:t>
            </w:r>
          </w:p>
        </w:tc>
        <w:tc>
          <w:tcPr>
            <w:tcW w:w="2260" w:type="dxa"/>
            <w:tcMar>
              <w:top w:w="80" w:type="dxa"/>
              <w:left w:w="100" w:type="dxa"/>
              <w:bottom w:w="80" w:type="dxa"/>
              <w:right w:w="100" w:type="dxa"/>
            </w:tcMar>
            <w:vAlign w:val="top"/>
          </w:tcPr>
          <w:p w14:paraId="61CBE997">
            <w:pPr>
              <w:rPr>
                <w:color w:val="auto"/>
              </w:rPr>
            </w:pPr>
            <w:r>
              <w:rPr>
                <w:rFonts w:ascii="Calibri" w:hAnsi="Calibri" w:eastAsia="Calibri" w:cs="Calibri"/>
                <w:b w:val="0"/>
                <w:bCs w:val="0"/>
                <w:color w:val="auto"/>
                <w:sz w:val="16"/>
                <w:szCs w:val="16"/>
              </w:rPr>
              <w:t>Establish and rehearse a breach-response procedure covering ICO notification within 72 hours</w:t>
            </w:r>
          </w:p>
        </w:tc>
        <w:tc>
          <w:tcPr>
            <w:tcW w:w="2000" w:type="dxa"/>
            <w:tcMar>
              <w:top w:w="80" w:type="dxa"/>
              <w:left w:w="100" w:type="dxa"/>
              <w:bottom w:w="80" w:type="dxa"/>
              <w:right w:w="100" w:type="dxa"/>
            </w:tcMar>
            <w:vAlign w:val="top"/>
          </w:tcPr>
          <w:p w14:paraId="41D06A27">
            <w:pPr>
              <w:rPr>
                <w:color w:val="auto"/>
              </w:rPr>
            </w:pPr>
            <w:r>
              <w:rPr>
                <w:rFonts w:ascii="Calibri" w:hAnsi="Calibri" w:eastAsia="Calibri" w:cs="Calibri"/>
                <w:b w:val="0"/>
                <w:bCs w:val="0"/>
                <w:color w:val="auto"/>
                <w:sz w:val="16"/>
                <w:szCs w:val="16"/>
              </w:rPr>
              <w:t>UK GDPR Article 33 / Data Protection Act 2018</w:t>
            </w:r>
          </w:p>
        </w:tc>
      </w:tr>
    </w:tbl>
    <w:p w14:paraId="413FB3A6">
      <w:pPr>
        <w:rPr>
          <w:color w:val="auto"/>
        </w:rPr>
      </w:pPr>
      <w:r>
        <w:rPr>
          <w:color w:val="auto"/>
        </w:rPr>
        <w:br w:type="page"/>
      </w:r>
    </w:p>
    <w:p w14:paraId="35B78AB7">
      <w:pPr>
        <w:rPr>
          <w:b/>
          <w:bCs/>
          <w:sz w:val="32"/>
          <w:szCs w:val="36"/>
        </w:rPr>
      </w:pPr>
      <w:r>
        <w:rPr>
          <w:b/>
          <w:bCs/>
          <w:sz w:val="32"/>
          <w:szCs w:val="36"/>
        </w:rPr>
        <w:t xml:space="preserve">D4 </w:t>
      </w:r>
      <w:r>
        <w:rPr>
          <w:rFonts w:hint="default"/>
          <w:b/>
          <w:bCs/>
          <w:sz w:val="32"/>
          <w:szCs w:val="36"/>
          <w:lang w:val="en-US"/>
        </w:rPr>
        <w:t>|</w:t>
      </w:r>
      <w:r>
        <w:rPr>
          <w:b/>
          <w:bCs/>
          <w:sz w:val="32"/>
          <w:szCs w:val="36"/>
        </w:rPr>
        <w:t>JUDGMENT, BRIEFING &amp; PUBLIC COMMUNICATION</w:t>
      </w:r>
    </w:p>
    <w:p w14:paraId="032B0818">
      <w:pPr>
        <w:spacing w:after="200"/>
        <w:rPr>
          <w:color w:val="auto"/>
        </w:rPr>
      </w:pPr>
    </w:p>
    <w:p w14:paraId="5833A66C">
      <w:pPr>
        <w:pStyle w:val="2"/>
        <w:spacing w:before="240" w:after="120"/>
        <w:rPr>
          <w:color w:val="auto"/>
        </w:rPr>
      </w:pPr>
      <w:r>
        <w:rPr>
          <w:rFonts w:ascii="Calibri" w:hAnsi="Calibri" w:eastAsia="Calibri" w:cs="Calibri"/>
          <w:b/>
          <w:bCs/>
          <w:color w:val="auto"/>
        </w:rPr>
        <w:t xml:space="preserve">Part A </w:t>
      </w:r>
      <w:r>
        <w:rPr>
          <w:rFonts w:hint="default" w:ascii="Calibri" w:hAnsi="Calibri" w:eastAsia="Calibri" w:cs="Calibri"/>
          <w:b/>
          <w:bCs/>
          <w:color w:val="auto"/>
          <w:lang w:val="en-US"/>
        </w:rPr>
        <w:t>|</w:t>
      </w:r>
      <w:r>
        <w:rPr>
          <w:rFonts w:ascii="Calibri" w:hAnsi="Calibri" w:eastAsia="Calibri" w:cs="Calibri"/>
          <w:b/>
          <w:bCs/>
          <w:color w:val="auto"/>
        </w:rPr>
        <w:t>Judgment Essay</w:t>
      </w:r>
    </w:p>
    <w:p w14:paraId="0D60376A">
      <w:pPr>
        <w:spacing w:after="120"/>
        <w:rPr>
          <w:rFonts w:hint="default" w:ascii="Calibri" w:hAnsi="Calibri" w:eastAsia="Calibri" w:cs="Calibri"/>
          <w:b w:val="0"/>
          <w:bCs w:val="0"/>
          <w:i w:val="0"/>
          <w:iCs w:val="0"/>
          <w:color w:val="auto"/>
        </w:rPr>
      </w:pPr>
      <w:r>
        <w:rPr>
          <w:rFonts w:hint="default" w:ascii="Calibri" w:hAnsi="Calibri" w:eastAsia="Calibri" w:cs="Calibri"/>
          <w:b w:val="0"/>
          <w:bCs w:val="0"/>
          <w:i w:val="0"/>
          <w:iCs w:val="0"/>
          <w:color w:val="auto"/>
        </w:rPr>
        <w:t>However, Nsikan has requested me to also mention the action taken by the IT support person, specifically the use of the sudo ifconfig vboxnet0 up command at 14:25:55 – the very interface used by the attackers' subnet, around 10 minutes before the reported security breach. My colleague has advised against mentioning it in order to avoid placing blame on the IT person. However, I will not do so.What I will do: I will include the use of the sudo ifconfig vboxnet0 up command in the report as part of the factual data in the same manner that I have mentioned the admin's other actions for that particular session (checking the status of Suricata, adding iptables rules and launching Wireshark), which altogether form an honest narrative: a user who was investigating and defending the system and one of whose actions could have caused a consequence.</w:t>
      </w:r>
    </w:p>
    <w:p w14:paraId="072D2CFD">
      <w:pPr>
        <w:spacing w:after="120"/>
        <w:rPr>
          <w:color w:val="auto"/>
        </w:rPr>
      </w:pPr>
      <w:r>
        <w:rPr>
          <w:rFonts w:ascii="Calibri" w:hAnsi="Calibri" w:eastAsia="Calibri" w:cs="Calibri"/>
          <w:b w:val="0"/>
          <w:bCs w:val="0"/>
          <w:i w:val="0"/>
          <w:iCs w:val="0"/>
          <w:color w:val="auto"/>
        </w:rPr>
        <w:t>What I would not do: I would not leave it out, and I would say so directly to my colleague. The report exists so that Nsikan and the client can make decisions — about ICO notification, about what to fix, about what to tell the owner — based on a complete picture. Omitting a directly relevant technical fact because it might reflect badly on someone, however well-intentioned they were, is not a call I get to make as the person compiling the evidence. It would also set a bad precedent: if uncomfortable findings can be quietly dropped when the person involved seems sympathetic, the report stops being a reliable record for anyone, including the IT person it was meant to protect.</w:t>
      </w:r>
    </w:p>
    <w:p w14:paraId="6A30BEFA">
      <w:pPr>
        <w:spacing w:after="120"/>
        <w:rPr>
          <w:color w:val="auto"/>
        </w:rPr>
      </w:pPr>
      <w:r>
        <w:rPr>
          <w:rFonts w:ascii="Calibri" w:hAnsi="Calibri" w:eastAsia="Calibri" w:cs="Calibri"/>
          <w:b w:val="0"/>
          <w:bCs w:val="0"/>
          <w:i w:val="0"/>
          <w:iCs w:val="0"/>
          <w:color w:val="auto"/>
        </w:rPr>
        <w:t>The governing ISC2 canon: “Act honorably, honestly, justly, responsibly, and legally.” This situation is precisely what that canon exists for — it is easy to be honest when the truth is convenient, and the test is whether I stay honest when it is not. Softening or omitting a true, relevant finding to spare someone consequences would be a breach of that canon, even with good intentions behind it, because it puts my judgment about someone's feelings ahead of the integrity of the record I was asked to produce.</w:t>
      </w:r>
    </w:p>
    <w:p w14:paraId="6281764B">
      <w:pPr>
        <w:spacing w:after="120"/>
        <w:rPr>
          <w:color w:val="auto"/>
        </w:rPr>
      </w:pPr>
      <w:r>
        <w:rPr>
          <w:rFonts w:ascii="Calibri" w:hAnsi="Calibri" w:eastAsia="Calibri" w:cs="Calibri"/>
          <w:b w:val="0"/>
          <w:bCs w:val="0"/>
          <w:i w:val="0"/>
          <w:iCs w:val="0"/>
          <w:color w:val="auto"/>
        </w:rPr>
        <w:t>How I would phrase it in the report: “At 14:25:55, the on-site administrator (frozen-yoghurt) executed sudo ifconfig vboxnet0 up, approximately seven minutes before the first accepted TELNET connection from the attacking subnet. This action appears to be part of a broader, good-faith effort to investigate suspicious activity — in the same session the administrator also checked the intrusion detection service status, reviewed firewall rules, and added packet logging. It cannot be confirmed from the available logs whether this specific command re-enabled network connectivity used by the attackers; given the timing, this possibility is noted here as an open item for further review, not as a finding of fault.”</w:t>
      </w:r>
    </w:p>
    <w:p w14:paraId="42286AE1">
      <w:pPr>
        <w:rPr>
          <w:color w:val="auto"/>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compatSetting w:name="compatibilityMode" w:uri="http://schemas.microsoft.com/office/word" w:val="15"/>
  </w:compat>
  <w:rsids>
    <w:rsidRoot w:val="00000000"/>
    <w:rsid w:val="7E4D2B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746</Words>
  <Characters>4324</Characters>
  <TotalTime>51</TotalTime>
  <ScaleCrop>false</ScaleCrop>
  <LinksUpToDate>false</LinksUpToDate>
  <CharactersWithSpaces>5021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2026-08-05T21:10:00Z</dcterms:created>
  <dc:creator>Un-named</dc:creator>
  <cp:lastModifiedBy>Adeyemi</cp:lastModifiedBy>
  <dcterms:modified xsi:type="dcterms:W3CDTF">2026-08-06T09:57:46Z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1033-12.1.0.28032</vt:lpwstr>
  </property>
  <property fmtid="{D5CDD505-2E9C-101B-9397-08002B2CF9AE}" pid="4" name="ICV">
    <vt:lpwstr>87D923D661FC4F6690E53635D37D9427_12</vt:lpwstr>
  </property>
</Properties>
</file>