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A2924">
      <w:pPr>
        <w:spacing w:before="1600" w:after="100"/>
      </w:pPr>
      <w:r>
        <w:rPr>
          <w:b/>
          <w:bCs/>
          <w:color w:val="1A2B4C"/>
          <w:sz w:val="34"/>
          <w:szCs w:val="34"/>
        </w:rPr>
        <w:t>GlobalTech Cybersecurity Internship — Cohort 1</w:t>
      </w:r>
    </w:p>
    <w:p w14:paraId="1AC328DB">
      <w:pPr>
        <w:spacing w:after="200"/>
      </w:pPr>
      <w:r>
        <w:rPr>
          <w:color w:val="4A5568"/>
          <w:sz w:val="22"/>
          <w:szCs w:val="22"/>
        </w:rPr>
        <w:t>Week 2: Operation Hollow Bank — Network Traffic Analysis &amp; Incident Response</w:t>
      </w:r>
    </w:p>
    <w:p w14:paraId="2C4C493C">
      <w:pPr>
        <w:pBdr>
          <w:bottom w:val="single" w:color="1A2B4C" w:sz="18" w:space="1"/>
        </w:pBdr>
        <w:spacing w:after="200"/>
      </w:pPr>
    </w:p>
    <w:p w14:paraId="3500BD1E">
      <w:pPr>
        <w:spacing w:after="80"/>
      </w:pPr>
      <w:r>
        <w:rPr>
          <w:b/>
          <w:bCs/>
          <w:sz w:val="20"/>
          <w:szCs w:val="20"/>
        </w:rPr>
        <w:t xml:space="preserve">Prepared by: </w:t>
      </w:r>
      <w:r>
        <w:rPr>
          <w:sz w:val="20"/>
          <w:szCs w:val="20"/>
        </w:rPr>
        <w:t>Hamzat Adeyemi, Intern</w:t>
      </w:r>
    </w:p>
    <w:p w14:paraId="23707AB7">
      <w:pPr>
        <w:spacing w:after="80"/>
      </w:pPr>
      <w:r>
        <w:rPr>
          <w:b/>
          <w:bCs/>
          <w:sz w:val="20"/>
          <w:szCs w:val="20"/>
        </w:rPr>
        <w:t xml:space="preserve">Client (simulated): </w:t>
      </w:r>
      <w:r>
        <w:rPr>
          <w:sz w:val="20"/>
          <w:szCs w:val="20"/>
        </w:rPr>
        <w:t>TC.Solutions Fintech</w:t>
      </w:r>
    </w:p>
    <w:p w14:paraId="7486F888">
      <w:pPr>
        <w:spacing w:after="80"/>
      </w:pPr>
      <w:r>
        <w:rPr>
          <w:b/>
          <w:bCs/>
          <w:sz w:val="20"/>
          <w:szCs w:val="20"/>
        </w:rPr>
        <w:t xml:space="preserve">Submitted to: </w:t>
      </w:r>
      <w:r>
        <w:rPr>
          <w:sz w:val="20"/>
          <w:szCs w:val="20"/>
        </w:rPr>
        <w:t>SOC record / Nsikan Ubong (D1), Prosper Eromonsele, CISO (D2)</w:t>
      </w:r>
    </w:p>
    <w:p w14:paraId="1209DA3A">
      <w:pPr>
        <w:spacing w:after="80"/>
      </w:pPr>
      <w:r>
        <w:rPr>
          <w:b/>
          <w:bCs/>
          <w:sz w:val="20"/>
          <w:szCs w:val="20"/>
        </w:rPr>
        <w:t xml:space="preserve">Evidence source: </w:t>
      </w:r>
      <w:r>
        <w:rPr>
          <w:sz w:val="20"/>
          <w:szCs w:val="20"/>
        </w:rPr>
        <w:t>Wireshark_PCAP.pcap — reviewed via Wireshark</w:t>
      </w:r>
      <w:r>
        <w:rPr>
          <w:rFonts w:hint="default"/>
          <w:sz w:val="20"/>
          <w:szCs w:val="20"/>
          <w:lang w:val="en-US"/>
        </w:rPr>
        <w:t>,</w:t>
      </w:r>
      <w:r>
        <w:rPr>
          <w:sz w:val="20"/>
          <w:szCs w:val="20"/>
        </w:rPr>
        <w:t xml:space="preserve"> 122 packets total</w:t>
      </w:r>
    </w:p>
    <w:p w14:paraId="6C068104">
      <w:pPr>
        <w:spacing w:before="200"/>
      </w:pPr>
    </w:p>
    <w:p w14:paraId="0CE6292D">
      <w:r>
        <w:br w:type="page"/>
      </w:r>
    </w:p>
    <w:p w14:paraId="2167BAD8">
      <w:pPr>
        <w:pStyle w:val="2"/>
        <w:spacing w:before="300" w:after="160"/>
      </w:pPr>
      <w:r>
        <w:rPr>
          <w:b/>
          <w:bCs/>
          <w:color w:val="1A2B4C"/>
          <w:sz w:val="30"/>
          <w:szCs w:val="30"/>
        </w:rPr>
        <w:t>D1 — Network Traffic Analysis Report</w:t>
      </w:r>
      <w:bookmarkStart w:id="0" w:name="_GoBack"/>
      <w:bookmarkEnd w:id="0"/>
    </w:p>
    <w:p w14:paraId="28F17279">
      <w:pPr>
        <w:spacing w:after="120"/>
      </w:pPr>
      <w:r>
        <w:rPr>
          <w:color w:val="444444"/>
          <w:sz w:val="16"/>
          <w:szCs w:val="16"/>
        </w:rPr>
        <w:t>Internal document — for SOC record and handover to Nsikan Ubong on his return. Written for a technical audience (fellow analysts, SOC manager).</w:t>
      </w:r>
    </w:p>
    <w:p w14:paraId="10561918">
      <w:pPr>
        <w:pStyle w:val="3"/>
        <w:spacing w:before="220" w:after="120"/>
      </w:pPr>
      <w:r>
        <w:rPr>
          <w:b/>
          <w:bCs/>
          <w:color w:val="2B4C7E"/>
          <w:sz w:val="25"/>
          <w:szCs w:val="25"/>
        </w:rPr>
        <w:t>Methodology</w:t>
      </w:r>
    </w:p>
    <w:p w14:paraId="47E85433">
      <w:pPr>
        <w:spacing w:after="160" w:line="280" w:lineRule="auto"/>
        <w:jc w:val="both"/>
      </w:pPr>
      <w:r>
        <w:rPr>
          <w:sz w:val="20"/>
          <w:szCs w:val="20"/>
        </w:rPr>
        <w:t xml:space="preserve">I read through the capture in Wireshark, packet list first, sorted by the order it was captured in — no filters applied on the first pass, so I would not accidentally skip something outside what I expected to find. On the second pass I grouped packets by conversation (same source/destination pair) to separate what looked like ordinary business traffic from what looked like the incident. In a live engagement I would run this same review through </w:t>
      </w:r>
      <w:r>
        <w:rPr>
          <w:b/>
          <w:bCs/>
          <w:sz w:val="20"/>
          <w:szCs w:val="20"/>
        </w:rPr>
        <w:t>tshark</w:t>
      </w:r>
      <w:r>
        <w:rPr>
          <w:sz w:val="20"/>
          <w:szCs w:val="20"/>
        </w:rPr>
        <w:t xml:space="preserve"> with protocol and IP filters to script the extraction, and cross-check anything unusual against </w:t>
      </w:r>
      <w:r>
        <w:rPr>
          <w:b/>
          <w:bCs/>
          <w:sz w:val="20"/>
          <w:szCs w:val="20"/>
        </w:rPr>
        <w:t>VirusTotal</w:t>
      </w:r>
      <w:r>
        <w:rPr>
          <w:sz w:val="20"/>
          <w:szCs w:val="20"/>
        </w:rPr>
        <w:t xml:space="preserve"> or a similar IP/domain reputation source — I did not have that access for this exercise, so reputation calls below are based on behaviour in the capture itself, not external lookups.</w:t>
      </w:r>
    </w:p>
    <w:p w14:paraId="7061D885">
      <w:pPr>
        <w:spacing w:after="160" w:line="280" w:lineRule="auto"/>
        <w:jc w:val="both"/>
      </w:pPr>
      <w:r>
        <w:rPr>
          <w:b/>
          <w:bCs/>
          <w:sz w:val="20"/>
          <w:szCs w:val="20"/>
        </w:rPr>
        <w:t>Confidence scale: High</w:t>
      </w:r>
      <w:r>
        <w:rPr>
          <w:sz w:val="20"/>
          <w:szCs w:val="20"/>
        </w:rPr>
        <w:t xml:space="preserve"> — the packet itself is unambiguous and directly tied to the flagged host or the flagged external IP (example: Pkt 62, the POST to the phishing domain, from the flagged host itself). </w:t>
      </w:r>
      <w:r>
        <w:rPr>
          <w:b/>
          <w:bCs/>
          <w:sz w:val="20"/>
          <w:szCs w:val="20"/>
        </w:rPr>
        <w:t>Medium</w:t>
      </w:r>
      <w:r>
        <w:rPr>
          <w:sz w:val="20"/>
          <w:szCs w:val="20"/>
        </w:rPr>
        <w:t xml:space="preserve"> — the traffic is unusual in context and fits the incident narrative, but has not been fully corroborated against a second independent source (example: the internal DNS lookup at Pkt 5, which is odd timing but is, on its own, just a DNS query). </w:t>
      </w:r>
      <w:r>
        <w:rPr>
          <w:b/>
          <w:bCs/>
          <w:sz w:val="20"/>
          <w:szCs w:val="20"/>
        </w:rPr>
        <w:t>Low</w:t>
      </w:r>
      <w:r>
        <w:rPr>
          <w:sz w:val="20"/>
          <w:szCs w:val="20"/>
        </w:rPr>
        <w:t xml:space="preserve"> — anomalous but I cannot yet explain it, or I could only partially see it in the screenshots I was given (example: the five malformed packets at the very end of the capture).</w:t>
      </w:r>
    </w:p>
    <w:p w14:paraId="4256194E">
      <w:pPr>
        <w:spacing w:after="160" w:line="280" w:lineRule="auto"/>
        <w:jc w:val="both"/>
      </w:pPr>
      <w:r>
        <w:rPr>
          <w:sz w:val="20"/>
          <w:szCs w:val="20"/>
        </w:rPr>
        <w:t>Scope: all 122 packets in the capture, spanning DNS, TCP, TLS/SSL, HTTP, and ICMP, across internal hosts 192.168.1.100/.105/.110/.120/.200 and external IPs 45.33.32.156, 197.255.36.10, 196.201.214.5, 172.217.20.141, and 8.8.8.8, from the first packet (relative time 0.00s) through the last (relative time ~114.4s).</w:t>
      </w:r>
    </w:p>
    <w:p w14:paraId="0FECB7B2">
      <w:pPr>
        <w:pStyle w:val="3"/>
        <w:spacing w:before="220" w:after="120"/>
      </w:pPr>
      <w:r>
        <w:rPr>
          <w:b/>
          <w:bCs/>
          <w:color w:val="2B4C7E"/>
          <w:sz w:val="25"/>
          <w:szCs w:val="25"/>
        </w:rPr>
        <w:t>Evidence Table</w:t>
      </w:r>
    </w:p>
    <w:p w14:paraId="7B8B7A9F">
      <w:pPr>
        <w:spacing w:after="120"/>
      </w:pPr>
      <w:r>
        <w:rPr>
          <w:color w:val="444444"/>
          <w:sz w:val="16"/>
          <w:szCs w:val="16"/>
        </w:rPr>
        <w:t>Ten rows below, five mandatory as specified in the brief, five my own additions.</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
        <w:gridCol w:w="1000"/>
        <w:gridCol w:w="950"/>
        <w:gridCol w:w="1500"/>
        <w:gridCol w:w="2400"/>
        <w:gridCol w:w="2200"/>
        <w:gridCol w:w="1400"/>
      </w:tblGrid>
      <w:tr w14:paraId="1C092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 w:type="dxa"/>
            <w:shd w:val="clear" w:color="auto" w:fill="1A2B4C"/>
            <w:tcMar>
              <w:top w:w="60" w:type="dxa"/>
              <w:left w:w="80" w:type="dxa"/>
              <w:bottom w:w="60" w:type="dxa"/>
              <w:right w:w="80" w:type="dxa"/>
            </w:tcMar>
            <w:vAlign w:val="top"/>
          </w:tcPr>
          <w:p w14:paraId="68A069CE">
            <w:r>
              <w:rPr>
                <w:b/>
                <w:bCs/>
                <w:color w:val="FFFFFF"/>
                <w:sz w:val="15"/>
                <w:szCs w:val="15"/>
              </w:rPr>
              <w:t>#</w:t>
            </w:r>
          </w:p>
        </w:tc>
        <w:tc>
          <w:tcPr>
            <w:tcW w:w="1000" w:type="dxa"/>
            <w:shd w:val="clear" w:color="auto" w:fill="1A2B4C"/>
            <w:tcMar>
              <w:top w:w="60" w:type="dxa"/>
              <w:left w:w="80" w:type="dxa"/>
              <w:bottom w:w="60" w:type="dxa"/>
              <w:right w:w="80" w:type="dxa"/>
            </w:tcMar>
            <w:vAlign w:val="top"/>
          </w:tcPr>
          <w:p w14:paraId="40D91C4E">
            <w:r>
              <w:rPr>
                <w:b/>
                <w:bCs/>
                <w:color w:val="FFFFFF"/>
                <w:sz w:val="15"/>
                <w:szCs w:val="15"/>
              </w:rPr>
              <w:t>Packet(s)</w:t>
            </w:r>
          </w:p>
        </w:tc>
        <w:tc>
          <w:tcPr>
            <w:tcW w:w="950" w:type="dxa"/>
            <w:shd w:val="clear" w:color="auto" w:fill="1A2B4C"/>
            <w:tcMar>
              <w:top w:w="60" w:type="dxa"/>
              <w:left w:w="80" w:type="dxa"/>
              <w:bottom w:w="60" w:type="dxa"/>
              <w:right w:w="80" w:type="dxa"/>
            </w:tcMar>
            <w:vAlign w:val="top"/>
          </w:tcPr>
          <w:p w14:paraId="65FD58D8">
            <w:r>
              <w:rPr>
                <w:b/>
                <w:bCs/>
                <w:color w:val="FFFFFF"/>
                <w:sz w:val="15"/>
                <w:szCs w:val="15"/>
              </w:rPr>
              <w:t>Protocol</w:t>
            </w:r>
          </w:p>
        </w:tc>
        <w:tc>
          <w:tcPr>
            <w:tcW w:w="1500" w:type="dxa"/>
            <w:shd w:val="clear" w:color="auto" w:fill="1A2B4C"/>
            <w:tcMar>
              <w:top w:w="60" w:type="dxa"/>
              <w:left w:w="80" w:type="dxa"/>
              <w:bottom w:w="60" w:type="dxa"/>
              <w:right w:w="80" w:type="dxa"/>
            </w:tcMar>
            <w:vAlign w:val="top"/>
          </w:tcPr>
          <w:p w14:paraId="578F97DB">
            <w:r>
              <w:rPr>
                <w:b/>
                <w:bCs/>
                <w:color w:val="FFFFFF"/>
                <w:sz w:val="15"/>
                <w:szCs w:val="15"/>
              </w:rPr>
              <w:t>Source → Destination</w:t>
            </w:r>
          </w:p>
        </w:tc>
        <w:tc>
          <w:tcPr>
            <w:tcW w:w="2400" w:type="dxa"/>
            <w:shd w:val="clear" w:color="auto" w:fill="1A2B4C"/>
            <w:tcMar>
              <w:top w:w="60" w:type="dxa"/>
              <w:left w:w="80" w:type="dxa"/>
              <w:bottom w:w="60" w:type="dxa"/>
              <w:right w:w="80" w:type="dxa"/>
            </w:tcMar>
            <w:vAlign w:val="top"/>
          </w:tcPr>
          <w:p w14:paraId="068B4715">
            <w:r>
              <w:rPr>
                <w:b/>
                <w:bCs/>
                <w:color w:val="FFFFFF"/>
                <w:sz w:val="15"/>
                <w:szCs w:val="15"/>
              </w:rPr>
              <w:t>Observation</w:t>
            </w:r>
          </w:p>
        </w:tc>
        <w:tc>
          <w:tcPr>
            <w:tcW w:w="2200" w:type="dxa"/>
            <w:shd w:val="clear" w:color="auto" w:fill="1A2B4C"/>
            <w:tcMar>
              <w:top w:w="60" w:type="dxa"/>
              <w:left w:w="80" w:type="dxa"/>
              <w:bottom w:w="60" w:type="dxa"/>
              <w:right w:w="80" w:type="dxa"/>
            </w:tcMar>
            <w:vAlign w:val="top"/>
          </w:tcPr>
          <w:p w14:paraId="6D7D3C3D">
            <w:r>
              <w:rPr>
                <w:b/>
                <w:bCs/>
                <w:color w:val="FFFFFF"/>
                <w:sz w:val="15"/>
                <w:szCs w:val="15"/>
              </w:rPr>
              <w:t>Corroboration</w:t>
            </w:r>
          </w:p>
        </w:tc>
        <w:tc>
          <w:tcPr>
            <w:tcW w:w="1400" w:type="dxa"/>
            <w:shd w:val="clear" w:color="auto" w:fill="1A2B4C"/>
            <w:tcMar>
              <w:top w:w="60" w:type="dxa"/>
              <w:left w:w="80" w:type="dxa"/>
              <w:bottom w:w="60" w:type="dxa"/>
              <w:right w:w="80" w:type="dxa"/>
            </w:tcMar>
            <w:vAlign w:val="top"/>
          </w:tcPr>
          <w:p w14:paraId="0693650D">
            <w:r>
              <w:rPr>
                <w:b/>
                <w:bCs/>
                <w:color w:val="FFFFFF"/>
                <w:sz w:val="15"/>
                <w:szCs w:val="15"/>
              </w:rPr>
              <w:t>Confidence</w:t>
            </w:r>
          </w:p>
        </w:tc>
      </w:tr>
      <w:tr w14:paraId="47B1F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 w:type="dxa"/>
            <w:tcMar>
              <w:top w:w="60" w:type="dxa"/>
              <w:left w:w="80" w:type="dxa"/>
              <w:bottom w:w="60" w:type="dxa"/>
              <w:right w:w="80" w:type="dxa"/>
            </w:tcMar>
            <w:vAlign w:val="top"/>
          </w:tcPr>
          <w:p w14:paraId="50A25120">
            <w:r>
              <w:rPr>
                <w:sz w:val="15"/>
                <w:szCs w:val="15"/>
              </w:rPr>
              <w:t>1</w:t>
            </w:r>
          </w:p>
        </w:tc>
        <w:tc>
          <w:tcPr>
            <w:tcW w:w="1000" w:type="dxa"/>
            <w:tcMar>
              <w:top w:w="60" w:type="dxa"/>
              <w:left w:w="80" w:type="dxa"/>
              <w:bottom w:w="60" w:type="dxa"/>
              <w:right w:w="80" w:type="dxa"/>
            </w:tcMar>
            <w:vAlign w:val="top"/>
          </w:tcPr>
          <w:p w14:paraId="421DD946">
            <w:r>
              <w:rPr>
                <w:sz w:val="15"/>
                <w:szCs w:val="15"/>
              </w:rPr>
              <w:t>Pkt 3, Pkt 4</w:t>
            </w:r>
          </w:p>
        </w:tc>
        <w:tc>
          <w:tcPr>
            <w:tcW w:w="950" w:type="dxa"/>
            <w:tcMar>
              <w:top w:w="60" w:type="dxa"/>
              <w:left w:w="80" w:type="dxa"/>
              <w:bottom w:w="60" w:type="dxa"/>
              <w:right w:w="80" w:type="dxa"/>
            </w:tcMar>
            <w:vAlign w:val="top"/>
          </w:tcPr>
          <w:p w14:paraId="456B81ED">
            <w:r>
              <w:rPr>
                <w:sz w:val="15"/>
                <w:szCs w:val="15"/>
              </w:rPr>
              <w:t>UDP/DNS</w:t>
            </w:r>
          </w:p>
        </w:tc>
        <w:tc>
          <w:tcPr>
            <w:tcW w:w="1500" w:type="dxa"/>
            <w:tcMar>
              <w:top w:w="60" w:type="dxa"/>
              <w:left w:w="80" w:type="dxa"/>
              <w:bottom w:w="60" w:type="dxa"/>
              <w:right w:w="80" w:type="dxa"/>
            </w:tcMar>
            <w:vAlign w:val="top"/>
          </w:tcPr>
          <w:p w14:paraId="1581A865">
            <w:r>
              <w:rPr>
                <w:sz w:val="15"/>
                <w:szCs w:val="15"/>
              </w:rPr>
              <w:t>192.168.1.105 → 8.8.8.8 → 192.168.1.105</w:t>
            </w:r>
          </w:p>
        </w:tc>
        <w:tc>
          <w:tcPr>
            <w:tcW w:w="2400" w:type="dxa"/>
            <w:tcMar>
              <w:top w:w="60" w:type="dxa"/>
              <w:left w:w="80" w:type="dxa"/>
              <w:bottom w:w="60" w:type="dxa"/>
              <w:right w:w="80" w:type="dxa"/>
            </w:tcMar>
            <w:vAlign w:val="top"/>
          </w:tcPr>
          <w:p w14:paraId="6E43C4E8">
            <w:r>
              <w:rPr>
                <w:sz w:val="15"/>
                <w:szCs w:val="15"/>
              </w:rPr>
              <w:t>Flagged host queries “gtbank-secure.net”; response resolves it to 45.33.32.156 — the exact IP Nsikan flagged in his handover note.</w:t>
            </w:r>
          </w:p>
        </w:tc>
        <w:tc>
          <w:tcPr>
            <w:tcW w:w="2200" w:type="dxa"/>
            <w:tcMar>
              <w:top w:w="60" w:type="dxa"/>
              <w:left w:w="80" w:type="dxa"/>
              <w:bottom w:w="60" w:type="dxa"/>
              <w:right w:w="80" w:type="dxa"/>
            </w:tcMar>
            <w:vAlign w:val="top"/>
          </w:tcPr>
          <w:p w14:paraId="06185243">
            <w:r>
              <w:rPr>
                <w:sz w:val="15"/>
                <w:szCs w:val="15"/>
              </w:rPr>
              <w:t>Pkt 1/2 show 192.168.1.100 querying the real “gtbank.com”, which resolves to a different IP (197.255.36.10) — the lookalike domain is the tell.</w:t>
            </w:r>
          </w:p>
        </w:tc>
        <w:tc>
          <w:tcPr>
            <w:tcW w:w="1400" w:type="dxa"/>
            <w:tcMar>
              <w:top w:w="60" w:type="dxa"/>
              <w:left w:w="80" w:type="dxa"/>
              <w:bottom w:w="60" w:type="dxa"/>
              <w:right w:w="80" w:type="dxa"/>
            </w:tcMar>
            <w:vAlign w:val="top"/>
          </w:tcPr>
          <w:p w14:paraId="4EED81FD">
            <w:r>
              <w:rPr>
                <w:sz w:val="15"/>
                <w:szCs w:val="15"/>
              </w:rPr>
              <w:t>High — domain is a typosquat of a real Nigerian bank, resolves straight to the flagged IP.</w:t>
            </w:r>
          </w:p>
        </w:tc>
      </w:tr>
      <w:tr w14:paraId="4474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 w:type="dxa"/>
            <w:shd w:val="clear" w:color="auto" w:fill="EEF2F8"/>
            <w:tcMar>
              <w:top w:w="60" w:type="dxa"/>
              <w:left w:w="80" w:type="dxa"/>
              <w:bottom w:w="60" w:type="dxa"/>
              <w:right w:w="80" w:type="dxa"/>
            </w:tcMar>
            <w:vAlign w:val="top"/>
          </w:tcPr>
          <w:p w14:paraId="129343B8">
            <w:r>
              <w:rPr>
                <w:sz w:val="15"/>
                <w:szCs w:val="15"/>
              </w:rPr>
              <w:t>2</w:t>
            </w:r>
          </w:p>
        </w:tc>
        <w:tc>
          <w:tcPr>
            <w:tcW w:w="1000" w:type="dxa"/>
            <w:shd w:val="clear" w:color="auto" w:fill="EEF2F8"/>
            <w:tcMar>
              <w:top w:w="60" w:type="dxa"/>
              <w:left w:w="80" w:type="dxa"/>
              <w:bottom w:w="60" w:type="dxa"/>
              <w:right w:w="80" w:type="dxa"/>
            </w:tcMar>
            <w:vAlign w:val="top"/>
          </w:tcPr>
          <w:p w14:paraId="77E9E9F0">
            <w:r>
              <w:rPr>
                <w:sz w:val="15"/>
                <w:szCs w:val="15"/>
              </w:rPr>
              <w:t>Pkt 59</w:t>
            </w:r>
          </w:p>
        </w:tc>
        <w:tc>
          <w:tcPr>
            <w:tcW w:w="950" w:type="dxa"/>
            <w:shd w:val="clear" w:color="auto" w:fill="EEF2F8"/>
            <w:tcMar>
              <w:top w:w="60" w:type="dxa"/>
              <w:left w:w="80" w:type="dxa"/>
              <w:bottom w:w="60" w:type="dxa"/>
              <w:right w:w="80" w:type="dxa"/>
            </w:tcMar>
            <w:vAlign w:val="top"/>
          </w:tcPr>
          <w:p w14:paraId="07A4F6F8">
            <w:r>
              <w:rPr>
                <w:sz w:val="15"/>
                <w:szCs w:val="15"/>
              </w:rPr>
              <w:t>TCP/HTTP</w:t>
            </w:r>
          </w:p>
        </w:tc>
        <w:tc>
          <w:tcPr>
            <w:tcW w:w="1500" w:type="dxa"/>
            <w:shd w:val="clear" w:color="auto" w:fill="EEF2F8"/>
            <w:tcMar>
              <w:top w:w="60" w:type="dxa"/>
              <w:left w:w="80" w:type="dxa"/>
              <w:bottom w:w="60" w:type="dxa"/>
              <w:right w:w="80" w:type="dxa"/>
            </w:tcMar>
            <w:vAlign w:val="top"/>
          </w:tcPr>
          <w:p w14:paraId="41421E97">
            <w:r>
              <w:rPr>
                <w:sz w:val="15"/>
                <w:szCs w:val="15"/>
              </w:rPr>
              <w:t>192.168.1.105 → 45.33.32.156:80</w:t>
            </w:r>
          </w:p>
        </w:tc>
        <w:tc>
          <w:tcPr>
            <w:tcW w:w="2400" w:type="dxa"/>
            <w:shd w:val="clear" w:color="auto" w:fill="EEF2F8"/>
            <w:tcMar>
              <w:top w:w="60" w:type="dxa"/>
              <w:left w:w="80" w:type="dxa"/>
              <w:bottom w:w="60" w:type="dxa"/>
              <w:right w:w="80" w:type="dxa"/>
            </w:tcMar>
            <w:vAlign w:val="top"/>
          </w:tcPr>
          <w:p w14:paraId="10F05ED2">
            <w:r>
              <w:rPr>
                <w:sz w:val="15"/>
                <w:szCs w:val="15"/>
              </w:rPr>
              <w:t>GET /login.php HTTP/1.1 — flagged host requesting a login page from the phishing IP.</w:t>
            </w:r>
          </w:p>
        </w:tc>
        <w:tc>
          <w:tcPr>
            <w:tcW w:w="2200" w:type="dxa"/>
            <w:shd w:val="clear" w:color="auto" w:fill="EEF2F8"/>
            <w:tcMar>
              <w:top w:w="60" w:type="dxa"/>
              <w:left w:w="80" w:type="dxa"/>
              <w:bottom w:w="60" w:type="dxa"/>
              <w:right w:w="80" w:type="dxa"/>
            </w:tcMar>
            <w:vAlign w:val="top"/>
          </w:tcPr>
          <w:p w14:paraId="2DFFB02D">
            <w:r>
              <w:rPr>
                <w:sz w:val="15"/>
                <w:szCs w:val="15"/>
              </w:rPr>
              <w:t>Follows directly from the DNS resolution in Row 1 and the TCP handshake at Pkts 56–58.</w:t>
            </w:r>
          </w:p>
        </w:tc>
        <w:tc>
          <w:tcPr>
            <w:tcW w:w="1400" w:type="dxa"/>
            <w:shd w:val="clear" w:color="auto" w:fill="EEF2F8"/>
            <w:tcMar>
              <w:top w:w="60" w:type="dxa"/>
              <w:left w:w="80" w:type="dxa"/>
              <w:bottom w:w="60" w:type="dxa"/>
              <w:right w:w="80" w:type="dxa"/>
            </w:tcMar>
            <w:vAlign w:val="top"/>
          </w:tcPr>
          <w:p w14:paraId="3BEFBEE2">
            <w:r>
              <w:rPr>
                <w:sz w:val="15"/>
                <w:szCs w:val="15"/>
              </w:rPr>
              <w:t>High — direct HTTP request for a login form on an IP already tied to a lookalike bank domain.</w:t>
            </w:r>
          </w:p>
        </w:tc>
      </w:tr>
      <w:tr w14:paraId="336B3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 w:type="dxa"/>
            <w:tcMar>
              <w:top w:w="60" w:type="dxa"/>
              <w:left w:w="80" w:type="dxa"/>
              <w:bottom w:w="60" w:type="dxa"/>
              <w:right w:w="80" w:type="dxa"/>
            </w:tcMar>
            <w:vAlign w:val="top"/>
          </w:tcPr>
          <w:p w14:paraId="498AC8F0">
            <w:r>
              <w:rPr>
                <w:sz w:val="15"/>
                <w:szCs w:val="15"/>
              </w:rPr>
              <w:t>3</w:t>
            </w:r>
          </w:p>
        </w:tc>
        <w:tc>
          <w:tcPr>
            <w:tcW w:w="1000" w:type="dxa"/>
            <w:tcMar>
              <w:top w:w="60" w:type="dxa"/>
              <w:left w:w="80" w:type="dxa"/>
              <w:bottom w:w="60" w:type="dxa"/>
              <w:right w:w="80" w:type="dxa"/>
            </w:tcMar>
            <w:vAlign w:val="top"/>
          </w:tcPr>
          <w:p w14:paraId="39473344">
            <w:r>
              <w:rPr>
                <w:sz w:val="15"/>
                <w:szCs w:val="15"/>
              </w:rPr>
              <w:t>Pkt 62</w:t>
            </w:r>
          </w:p>
        </w:tc>
        <w:tc>
          <w:tcPr>
            <w:tcW w:w="950" w:type="dxa"/>
            <w:tcMar>
              <w:top w:w="60" w:type="dxa"/>
              <w:left w:w="80" w:type="dxa"/>
              <w:bottom w:w="60" w:type="dxa"/>
              <w:right w:w="80" w:type="dxa"/>
            </w:tcMar>
            <w:vAlign w:val="top"/>
          </w:tcPr>
          <w:p w14:paraId="0CD3FAB1">
            <w:r>
              <w:rPr>
                <w:sz w:val="15"/>
                <w:szCs w:val="15"/>
              </w:rPr>
              <w:t>TCP/HTTP</w:t>
            </w:r>
          </w:p>
        </w:tc>
        <w:tc>
          <w:tcPr>
            <w:tcW w:w="1500" w:type="dxa"/>
            <w:tcMar>
              <w:top w:w="60" w:type="dxa"/>
              <w:left w:w="80" w:type="dxa"/>
              <w:bottom w:w="60" w:type="dxa"/>
              <w:right w:w="80" w:type="dxa"/>
            </w:tcMar>
            <w:vAlign w:val="top"/>
          </w:tcPr>
          <w:p w14:paraId="7280A725">
            <w:r>
              <w:rPr>
                <w:sz w:val="15"/>
                <w:szCs w:val="15"/>
              </w:rPr>
              <w:t>192.168.1.105 → 45.33.32.156:80</w:t>
            </w:r>
          </w:p>
        </w:tc>
        <w:tc>
          <w:tcPr>
            <w:tcW w:w="2400" w:type="dxa"/>
            <w:tcMar>
              <w:top w:w="60" w:type="dxa"/>
              <w:left w:w="80" w:type="dxa"/>
              <w:bottom w:w="60" w:type="dxa"/>
              <w:right w:w="80" w:type="dxa"/>
            </w:tcMar>
            <w:vAlign w:val="top"/>
          </w:tcPr>
          <w:p w14:paraId="206991DE">
            <w:r>
              <w:rPr>
                <w:sz w:val="15"/>
                <w:szCs w:val="15"/>
              </w:rPr>
              <w:t>POST /login.php HTTP/1.1, Content-Type application/x-www-form-urlencoded — cleartext credentials observed in payload (not reproduced here).</w:t>
            </w:r>
          </w:p>
        </w:tc>
        <w:tc>
          <w:tcPr>
            <w:tcW w:w="2200" w:type="dxa"/>
            <w:tcMar>
              <w:top w:w="60" w:type="dxa"/>
              <w:left w:w="80" w:type="dxa"/>
              <w:bottom w:w="60" w:type="dxa"/>
              <w:right w:w="80" w:type="dxa"/>
            </w:tcMar>
            <w:vAlign w:val="top"/>
          </w:tcPr>
          <w:p w14:paraId="77D78508">
            <w:r>
              <w:rPr>
                <w:sz w:val="15"/>
                <w:szCs w:val="15"/>
              </w:rPr>
              <w:t>Pkt 63 shows the server ACKing/responding, and Pkts 67–78 show the same host being handed a “dashboard,” confirming the submission was accepted.</w:t>
            </w:r>
          </w:p>
        </w:tc>
        <w:tc>
          <w:tcPr>
            <w:tcW w:w="1400" w:type="dxa"/>
            <w:tcMar>
              <w:top w:w="60" w:type="dxa"/>
              <w:left w:w="80" w:type="dxa"/>
              <w:bottom w:w="60" w:type="dxa"/>
              <w:right w:w="80" w:type="dxa"/>
            </w:tcMar>
            <w:vAlign w:val="top"/>
          </w:tcPr>
          <w:p w14:paraId="11F10DAD">
            <w:r>
              <w:rPr>
                <w:sz w:val="15"/>
                <w:szCs w:val="15"/>
              </w:rPr>
              <w:t>High — form POST to a known-bad IP is a completed credential-harvest, not just an attempt.</w:t>
            </w:r>
          </w:p>
        </w:tc>
      </w:tr>
      <w:tr w14:paraId="71AD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 w:type="dxa"/>
            <w:shd w:val="clear" w:color="auto" w:fill="EEF2F8"/>
            <w:tcMar>
              <w:top w:w="60" w:type="dxa"/>
              <w:left w:w="80" w:type="dxa"/>
              <w:bottom w:w="60" w:type="dxa"/>
              <w:right w:w="80" w:type="dxa"/>
            </w:tcMar>
            <w:vAlign w:val="top"/>
          </w:tcPr>
          <w:p w14:paraId="062BFBC5">
            <w:r>
              <w:rPr>
                <w:sz w:val="15"/>
                <w:szCs w:val="15"/>
              </w:rPr>
              <w:t>4</w:t>
            </w:r>
          </w:p>
        </w:tc>
        <w:tc>
          <w:tcPr>
            <w:tcW w:w="1000" w:type="dxa"/>
            <w:shd w:val="clear" w:color="auto" w:fill="EEF2F8"/>
            <w:tcMar>
              <w:top w:w="60" w:type="dxa"/>
              <w:left w:w="80" w:type="dxa"/>
              <w:bottom w:w="60" w:type="dxa"/>
              <w:right w:w="80" w:type="dxa"/>
            </w:tcMar>
            <w:vAlign w:val="top"/>
          </w:tcPr>
          <w:p w14:paraId="3808B23C">
            <w:r>
              <w:rPr>
                <w:sz w:val="15"/>
                <w:szCs w:val="15"/>
              </w:rPr>
              <w:t>Pkt 79</w:t>
            </w:r>
          </w:p>
        </w:tc>
        <w:tc>
          <w:tcPr>
            <w:tcW w:w="950" w:type="dxa"/>
            <w:shd w:val="clear" w:color="auto" w:fill="EEF2F8"/>
            <w:tcMar>
              <w:top w:w="60" w:type="dxa"/>
              <w:left w:w="80" w:type="dxa"/>
              <w:bottom w:w="60" w:type="dxa"/>
              <w:right w:w="80" w:type="dxa"/>
            </w:tcMar>
            <w:vAlign w:val="top"/>
          </w:tcPr>
          <w:p w14:paraId="388CE3DB">
            <w:r>
              <w:rPr>
                <w:sz w:val="15"/>
                <w:szCs w:val="15"/>
              </w:rPr>
              <w:t>TCP, port 4444</w:t>
            </w:r>
          </w:p>
        </w:tc>
        <w:tc>
          <w:tcPr>
            <w:tcW w:w="1500" w:type="dxa"/>
            <w:shd w:val="clear" w:color="auto" w:fill="EEF2F8"/>
            <w:tcMar>
              <w:top w:w="60" w:type="dxa"/>
              <w:left w:w="80" w:type="dxa"/>
              <w:bottom w:w="60" w:type="dxa"/>
              <w:right w:w="80" w:type="dxa"/>
            </w:tcMar>
            <w:vAlign w:val="top"/>
          </w:tcPr>
          <w:p w14:paraId="5C45739A">
            <w:r>
              <w:rPr>
                <w:sz w:val="15"/>
                <w:szCs w:val="15"/>
              </w:rPr>
              <w:t>192.168.1.105:64815 → 45.33.32.156:4444</w:t>
            </w:r>
          </w:p>
        </w:tc>
        <w:tc>
          <w:tcPr>
            <w:tcW w:w="2400" w:type="dxa"/>
            <w:shd w:val="clear" w:color="auto" w:fill="EEF2F8"/>
            <w:tcMar>
              <w:top w:w="60" w:type="dxa"/>
              <w:left w:w="80" w:type="dxa"/>
              <w:bottom w:w="60" w:type="dxa"/>
              <w:right w:w="80" w:type="dxa"/>
            </w:tcMar>
            <w:vAlign w:val="top"/>
          </w:tcPr>
          <w:p w14:paraId="70CE3132">
            <w:r>
              <w:rPr>
                <w:sz w:val="15"/>
                <w:szCs w:val="15"/>
              </w:rPr>
              <w:t>PSH,ACK packet, 31 bytes of payload, to TCP port 4444 — the default Metasploit Meterpreter listener port.</w:t>
            </w:r>
          </w:p>
        </w:tc>
        <w:tc>
          <w:tcPr>
            <w:tcW w:w="2200" w:type="dxa"/>
            <w:shd w:val="clear" w:color="auto" w:fill="EEF2F8"/>
            <w:tcMar>
              <w:top w:w="60" w:type="dxa"/>
              <w:left w:w="80" w:type="dxa"/>
              <w:bottom w:w="60" w:type="dxa"/>
              <w:right w:w="80" w:type="dxa"/>
            </w:tcMar>
            <w:vAlign w:val="top"/>
          </w:tcPr>
          <w:p w14:paraId="6802CDD9">
            <w:r>
              <w:rPr>
                <w:sz w:val="15"/>
                <w:szCs w:val="15"/>
              </w:rPr>
              <w:t>Repeats at Pkts 81, 83, 85, 87, 89, and 93, each on a new ephemeral source port but the same 31-byte payload length — consistent with a beaconing check-in, not a one-off connection.</w:t>
            </w:r>
          </w:p>
        </w:tc>
        <w:tc>
          <w:tcPr>
            <w:tcW w:w="1400" w:type="dxa"/>
            <w:shd w:val="clear" w:color="auto" w:fill="EEF2F8"/>
            <w:tcMar>
              <w:top w:w="60" w:type="dxa"/>
              <w:left w:w="80" w:type="dxa"/>
              <w:bottom w:w="60" w:type="dxa"/>
              <w:right w:w="80" w:type="dxa"/>
            </w:tcMar>
            <w:vAlign w:val="top"/>
          </w:tcPr>
          <w:p w14:paraId="02EA59C3">
            <w:r>
              <w:rPr>
                <w:sz w:val="15"/>
                <w:szCs w:val="15"/>
              </w:rPr>
              <w:t>High — port 4444 plus a repeating fixed-size payload pattern is a strong C2 indicator.</w:t>
            </w:r>
          </w:p>
        </w:tc>
      </w:tr>
      <w:tr w14:paraId="42242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 w:type="dxa"/>
            <w:tcMar>
              <w:top w:w="60" w:type="dxa"/>
              <w:left w:w="80" w:type="dxa"/>
              <w:bottom w:w="60" w:type="dxa"/>
              <w:right w:w="80" w:type="dxa"/>
            </w:tcMar>
            <w:vAlign w:val="top"/>
          </w:tcPr>
          <w:p w14:paraId="4F2DC704">
            <w:r>
              <w:rPr>
                <w:sz w:val="15"/>
                <w:szCs w:val="15"/>
              </w:rPr>
              <w:t>5</w:t>
            </w:r>
          </w:p>
        </w:tc>
        <w:tc>
          <w:tcPr>
            <w:tcW w:w="1000" w:type="dxa"/>
            <w:tcMar>
              <w:top w:w="60" w:type="dxa"/>
              <w:left w:w="80" w:type="dxa"/>
              <w:bottom w:w="60" w:type="dxa"/>
              <w:right w:w="80" w:type="dxa"/>
            </w:tcMar>
            <w:vAlign w:val="top"/>
          </w:tcPr>
          <w:p w14:paraId="2843847B">
            <w:r>
              <w:rPr>
                <w:sz w:val="15"/>
                <w:szCs w:val="15"/>
              </w:rPr>
              <w:t>Pkts 112–117</w:t>
            </w:r>
          </w:p>
        </w:tc>
        <w:tc>
          <w:tcPr>
            <w:tcW w:w="950" w:type="dxa"/>
            <w:tcMar>
              <w:top w:w="60" w:type="dxa"/>
              <w:left w:w="80" w:type="dxa"/>
              <w:bottom w:w="60" w:type="dxa"/>
              <w:right w:w="80" w:type="dxa"/>
            </w:tcMar>
            <w:vAlign w:val="top"/>
          </w:tcPr>
          <w:p w14:paraId="35DC12DD">
            <w:r>
              <w:rPr>
                <w:sz w:val="15"/>
                <w:szCs w:val="15"/>
              </w:rPr>
              <w:t>ICMP</w:t>
            </w:r>
          </w:p>
        </w:tc>
        <w:tc>
          <w:tcPr>
            <w:tcW w:w="1500" w:type="dxa"/>
            <w:tcMar>
              <w:top w:w="60" w:type="dxa"/>
              <w:left w:w="80" w:type="dxa"/>
              <w:bottom w:w="60" w:type="dxa"/>
              <w:right w:w="80" w:type="dxa"/>
            </w:tcMar>
            <w:vAlign w:val="top"/>
          </w:tcPr>
          <w:p w14:paraId="6D611FB6">
            <w:r>
              <w:rPr>
                <w:sz w:val="15"/>
                <w:szCs w:val="15"/>
              </w:rPr>
              <w:t>192.168.1.120 → 192.168.1.1, 192.168.1.200, 8.8.8.8</w:t>
            </w:r>
          </w:p>
        </w:tc>
        <w:tc>
          <w:tcPr>
            <w:tcW w:w="2400" w:type="dxa"/>
            <w:tcMar>
              <w:top w:w="60" w:type="dxa"/>
              <w:left w:w="80" w:type="dxa"/>
              <w:bottom w:w="60" w:type="dxa"/>
              <w:right w:w="80" w:type="dxa"/>
            </w:tcMar>
            <w:vAlign w:val="top"/>
          </w:tcPr>
          <w:p w14:paraId="78FD7109">
            <w:r>
              <w:rPr>
                <w:sz w:val="15"/>
                <w:szCs w:val="15"/>
              </w:rPr>
              <w:t>Three ping request/reply pairs from 192.168.1.120 to the gateway, the internal API server, and Google DNS in sequence.</w:t>
            </w:r>
          </w:p>
        </w:tc>
        <w:tc>
          <w:tcPr>
            <w:tcW w:w="2200" w:type="dxa"/>
            <w:tcMar>
              <w:top w:w="60" w:type="dxa"/>
              <w:left w:w="80" w:type="dxa"/>
              <w:bottom w:w="60" w:type="dxa"/>
              <w:right w:w="80" w:type="dxa"/>
            </w:tcMar>
            <w:vAlign w:val="top"/>
          </w:tcPr>
          <w:p w14:paraId="2C3C747B">
            <w:r>
              <w:rPr>
                <w:sz w:val="15"/>
                <w:szCs w:val="15"/>
              </w:rPr>
              <w:t>Timing places this right after the internal API GET at Pkt 110, suggesting a single host doing a quick internal-then-external reachability sweep.</w:t>
            </w:r>
          </w:p>
        </w:tc>
        <w:tc>
          <w:tcPr>
            <w:tcW w:w="1400" w:type="dxa"/>
            <w:tcMar>
              <w:top w:w="60" w:type="dxa"/>
              <w:left w:w="80" w:type="dxa"/>
              <w:bottom w:w="60" w:type="dxa"/>
              <w:right w:w="80" w:type="dxa"/>
            </w:tcMar>
            <w:vAlign w:val="top"/>
          </w:tcPr>
          <w:p w14:paraId="6FB368F8">
            <w:r>
              <w:rPr>
                <w:sz w:val="15"/>
                <w:szCs w:val="15"/>
              </w:rPr>
              <w:t>Medium — could be a legitimate connectivity check by IT/API staff (per the asset table, .120 is an operations workstation), but sweeping the gateway and the internal API server together is worth flagging.</w:t>
            </w:r>
          </w:p>
        </w:tc>
      </w:tr>
      <w:tr w14:paraId="01EA5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 w:type="dxa"/>
            <w:shd w:val="clear" w:color="auto" w:fill="EEF2F8"/>
            <w:tcMar>
              <w:top w:w="60" w:type="dxa"/>
              <w:left w:w="80" w:type="dxa"/>
              <w:bottom w:w="60" w:type="dxa"/>
              <w:right w:w="80" w:type="dxa"/>
            </w:tcMar>
            <w:vAlign w:val="top"/>
          </w:tcPr>
          <w:p w14:paraId="6A30963F">
            <w:r>
              <w:rPr>
                <w:sz w:val="15"/>
                <w:szCs w:val="15"/>
              </w:rPr>
              <w:t>6</w:t>
            </w:r>
          </w:p>
        </w:tc>
        <w:tc>
          <w:tcPr>
            <w:tcW w:w="1000" w:type="dxa"/>
            <w:shd w:val="clear" w:color="auto" w:fill="EEF2F8"/>
            <w:tcMar>
              <w:top w:w="60" w:type="dxa"/>
              <w:left w:w="80" w:type="dxa"/>
              <w:bottom w:w="60" w:type="dxa"/>
              <w:right w:w="80" w:type="dxa"/>
            </w:tcMar>
            <w:vAlign w:val="top"/>
          </w:tcPr>
          <w:p w14:paraId="10D95A77">
            <w:r>
              <w:rPr>
                <w:sz w:val="15"/>
                <w:szCs w:val="15"/>
              </w:rPr>
              <w:t>Pkts 67, 72, 77</w:t>
            </w:r>
          </w:p>
        </w:tc>
        <w:tc>
          <w:tcPr>
            <w:tcW w:w="950" w:type="dxa"/>
            <w:shd w:val="clear" w:color="auto" w:fill="EEF2F8"/>
            <w:tcMar>
              <w:top w:w="60" w:type="dxa"/>
              <w:left w:w="80" w:type="dxa"/>
              <w:bottom w:w="60" w:type="dxa"/>
              <w:right w:w="80" w:type="dxa"/>
            </w:tcMar>
            <w:vAlign w:val="top"/>
          </w:tcPr>
          <w:p w14:paraId="0F1BC396">
            <w:r>
              <w:rPr>
                <w:sz w:val="15"/>
                <w:szCs w:val="15"/>
              </w:rPr>
              <w:t>TCP/HTTP</w:t>
            </w:r>
          </w:p>
        </w:tc>
        <w:tc>
          <w:tcPr>
            <w:tcW w:w="1500" w:type="dxa"/>
            <w:shd w:val="clear" w:color="auto" w:fill="EEF2F8"/>
            <w:tcMar>
              <w:top w:w="60" w:type="dxa"/>
              <w:left w:w="80" w:type="dxa"/>
              <w:bottom w:w="60" w:type="dxa"/>
              <w:right w:w="80" w:type="dxa"/>
            </w:tcMar>
            <w:vAlign w:val="top"/>
          </w:tcPr>
          <w:p w14:paraId="16DCF236">
            <w:r>
              <w:rPr>
                <w:sz w:val="15"/>
                <w:szCs w:val="15"/>
              </w:rPr>
              <w:t>192.168.1.105 → 45.33.32.156:80</w:t>
            </w:r>
          </w:p>
        </w:tc>
        <w:tc>
          <w:tcPr>
            <w:tcW w:w="2400" w:type="dxa"/>
            <w:shd w:val="clear" w:color="auto" w:fill="EEF2F8"/>
            <w:tcMar>
              <w:top w:w="60" w:type="dxa"/>
              <w:left w:w="80" w:type="dxa"/>
              <w:bottom w:w="60" w:type="dxa"/>
              <w:right w:w="80" w:type="dxa"/>
            </w:tcMar>
            <w:vAlign w:val="top"/>
          </w:tcPr>
          <w:p w14:paraId="2FD25A51">
            <w:r>
              <w:rPr>
                <w:sz w:val="15"/>
                <w:szCs w:val="15"/>
              </w:rPr>
              <w:t>GET /dashboard.php, GET /account.php, GET /transfer.php — all HTTP 200 OK — the flagged host being walked through what look like fintech account and transfer pages on the attacker's IP.</w:t>
            </w:r>
          </w:p>
        </w:tc>
        <w:tc>
          <w:tcPr>
            <w:tcW w:w="2200" w:type="dxa"/>
            <w:shd w:val="clear" w:color="auto" w:fill="EEF2F8"/>
            <w:tcMar>
              <w:top w:w="60" w:type="dxa"/>
              <w:left w:w="80" w:type="dxa"/>
              <w:bottom w:w="60" w:type="dxa"/>
              <w:right w:w="80" w:type="dxa"/>
            </w:tcMar>
            <w:vAlign w:val="top"/>
          </w:tcPr>
          <w:p w14:paraId="30448C62">
            <w:r>
              <w:rPr>
                <w:sz w:val="15"/>
                <w:szCs w:val="15"/>
              </w:rPr>
              <w:t>Same external IP as Rows 1–3; occurs immediately after the credential POST at Pkt 62.</w:t>
            </w:r>
          </w:p>
        </w:tc>
        <w:tc>
          <w:tcPr>
            <w:tcW w:w="1400" w:type="dxa"/>
            <w:shd w:val="clear" w:color="auto" w:fill="EEF2F8"/>
            <w:tcMar>
              <w:top w:w="60" w:type="dxa"/>
              <w:left w:w="80" w:type="dxa"/>
              <w:bottom w:w="60" w:type="dxa"/>
              <w:right w:w="80" w:type="dxa"/>
            </w:tcMar>
            <w:vAlign w:val="top"/>
          </w:tcPr>
          <w:p w14:paraId="19AC5B84">
            <w:r>
              <w:rPr>
                <w:sz w:val="15"/>
                <w:szCs w:val="15"/>
              </w:rPr>
              <w:t>High — the naming of these pages (account, transfer) on a phishing IP suggests the attacker is either harvesting more than a password or running a convincing fake portal.</w:t>
            </w:r>
          </w:p>
        </w:tc>
      </w:tr>
      <w:tr w14:paraId="16FC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 w:type="dxa"/>
            <w:tcMar>
              <w:top w:w="60" w:type="dxa"/>
              <w:left w:w="80" w:type="dxa"/>
              <w:bottom w:w="60" w:type="dxa"/>
              <w:right w:w="80" w:type="dxa"/>
            </w:tcMar>
            <w:vAlign w:val="top"/>
          </w:tcPr>
          <w:p w14:paraId="1A8FB0C2">
            <w:r>
              <w:rPr>
                <w:sz w:val="15"/>
                <w:szCs w:val="15"/>
              </w:rPr>
              <w:t>7</w:t>
            </w:r>
          </w:p>
        </w:tc>
        <w:tc>
          <w:tcPr>
            <w:tcW w:w="1000" w:type="dxa"/>
            <w:tcMar>
              <w:top w:w="60" w:type="dxa"/>
              <w:left w:w="80" w:type="dxa"/>
              <w:bottom w:w="60" w:type="dxa"/>
              <w:right w:w="80" w:type="dxa"/>
            </w:tcMar>
            <w:vAlign w:val="top"/>
          </w:tcPr>
          <w:p w14:paraId="13ECB890">
            <w:r>
              <w:rPr>
                <w:sz w:val="15"/>
                <w:szCs w:val="15"/>
              </w:rPr>
              <w:t>Pkt 5, Pkt 6</w:t>
            </w:r>
          </w:p>
        </w:tc>
        <w:tc>
          <w:tcPr>
            <w:tcW w:w="950" w:type="dxa"/>
            <w:tcMar>
              <w:top w:w="60" w:type="dxa"/>
              <w:left w:w="80" w:type="dxa"/>
              <w:bottom w:w="60" w:type="dxa"/>
              <w:right w:w="80" w:type="dxa"/>
            </w:tcMar>
            <w:vAlign w:val="top"/>
          </w:tcPr>
          <w:p w14:paraId="46B03806">
            <w:r>
              <w:rPr>
                <w:sz w:val="15"/>
                <w:szCs w:val="15"/>
              </w:rPr>
              <w:t>UDP/DNS</w:t>
            </w:r>
          </w:p>
        </w:tc>
        <w:tc>
          <w:tcPr>
            <w:tcW w:w="1500" w:type="dxa"/>
            <w:tcMar>
              <w:top w:w="60" w:type="dxa"/>
              <w:left w:w="80" w:type="dxa"/>
              <w:bottom w:w="60" w:type="dxa"/>
              <w:right w:w="80" w:type="dxa"/>
            </w:tcMar>
            <w:vAlign w:val="top"/>
          </w:tcPr>
          <w:p w14:paraId="63791BEB">
            <w:r>
              <w:rPr>
                <w:sz w:val="15"/>
                <w:szCs w:val="15"/>
              </w:rPr>
              <w:t>192.168.1.105 → 8.8.8.8 → 192.168.1.105</w:t>
            </w:r>
          </w:p>
        </w:tc>
        <w:tc>
          <w:tcPr>
            <w:tcW w:w="2400" w:type="dxa"/>
            <w:tcMar>
              <w:top w:w="60" w:type="dxa"/>
              <w:left w:w="80" w:type="dxa"/>
              <w:bottom w:w="60" w:type="dxa"/>
              <w:right w:w="80" w:type="dxa"/>
            </w:tcMar>
            <w:vAlign w:val="top"/>
          </w:tcPr>
          <w:p w14:paraId="75FD646A">
            <w:r>
              <w:rPr>
                <w:sz w:val="15"/>
                <w:szCs w:val="15"/>
              </w:rPr>
              <w:t>Flagged host resolves “internal.fintechcorp.ng” to 192.168.1.200, the internal API server, before any external contact with the attacker IP occurs.</w:t>
            </w:r>
          </w:p>
        </w:tc>
        <w:tc>
          <w:tcPr>
            <w:tcW w:w="2200" w:type="dxa"/>
            <w:tcMar>
              <w:top w:w="60" w:type="dxa"/>
              <w:left w:w="80" w:type="dxa"/>
              <w:bottom w:w="60" w:type="dxa"/>
              <w:right w:w="80" w:type="dxa"/>
            </w:tcMar>
            <w:vAlign w:val="top"/>
          </w:tcPr>
          <w:p w14:paraId="3DFC6B56">
            <w:r>
              <w:rPr>
                <w:sz w:val="15"/>
                <w:szCs w:val="15"/>
              </w:rPr>
              <w:t>192.168.1.200 is listed in the environment table as the internal API server — this is the flagged host asking for it by name very early in the timeline.</w:t>
            </w:r>
          </w:p>
        </w:tc>
        <w:tc>
          <w:tcPr>
            <w:tcW w:w="1400" w:type="dxa"/>
            <w:tcMar>
              <w:top w:w="60" w:type="dxa"/>
              <w:left w:w="80" w:type="dxa"/>
              <w:bottom w:w="60" w:type="dxa"/>
              <w:right w:w="80" w:type="dxa"/>
            </w:tcMar>
            <w:vAlign w:val="top"/>
          </w:tcPr>
          <w:p w14:paraId="670A966E">
            <w:r>
              <w:rPr>
                <w:sz w:val="15"/>
                <w:szCs w:val="15"/>
              </w:rPr>
              <w:t>Medium — on its own this is just a DNS lookup, but the timing (before the phishing traffic even starts) makes it worth treating as possible internal reconnaissance rather than routine use.</w:t>
            </w:r>
          </w:p>
        </w:tc>
      </w:tr>
      <w:tr w14:paraId="65FF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 w:type="dxa"/>
            <w:shd w:val="clear" w:color="auto" w:fill="EEF2F8"/>
            <w:tcMar>
              <w:top w:w="60" w:type="dxa"/>
              <w:left w:w="80" w:type="dxa"/>
              <w:bottom w:w="60" w:type="dxa"/>
              <w:right w:w="80" w:type="dxa"/>
            </w:tcMar>
            <w:vAlign w:val="top"/>
          </w:tcPr>
          <w:p w14:paraId="7512201B">
            <w:r>
              <w:rPr>
                <w:sz w:val="15"/>
                <w:szCs w:val="15"/>
              </w:rPr>
              <w:t>8</w:t>
            </w:r>
          </w:p>
        </w:tc>
        <w:tc>
          <w:tcPr>
            <w:tcW w:w="1000" w:type="dxa"/>
            <w:shd w:val="clear" w:color="auto" w:fill="EEF2F8"/>
            <w:tcMar>
              <w:top w:w="60" w:type="dxa"/>
              <w:left w:w="80" w:type="dxa"/>
              <w:bottom w:w="60" w:type="dxa"/>
              <w:right w:w="80" w:type="dxa"/>
            </w:tcMar>
            <w:vAlign w:val="top"/>
          </w:tcPr>
          <w:p w14:paraId="63DED102">
            <w:r>
              <w:rPr>
                <w:sz w:val="15"/>
                <w:szCs w:val="15"/>
              </w:rPr>
              <w:t>Pkts 79, 81, 83, 85, 87, 89, 93</w:t>
            </w:r>
          </w:p>
        </w:tc>
        <w:tc>
          <w:tcPr>
            <w:tcW w:w="950" w:type="dxa"/>
            <w:shd w:val="clear" w:color="auto" w:fill="EEF2F8"/>
            <w:tcMar>
              <w:top w:w="60" w:type="dxa"/>
              <w:left w:w="80" w:type="dxa"/>
              <w:bottom w:w="60" w:type="dxa"/>
              <w:right w:w="80" w:type="dxa"/>
            </w:tcMar>
            <w:vAlign w:val="top"/>
          </w:tcPr>
          <w:p w14:paraId="1BBDC900">
            <w:r>
              <w:rPr>
                <w:sz w:val="15"/>
                <w:szCs w:val="15"/>
              </w:rPr>
              <w:t>TCP, port 4444</w:t>
            </w:r>
          </w:p>
        </w:tc>
        <w:tc>
          <w:tcPr>
            <w:tcW w:w="1500" w:type="dxa"/>
            <w:shd w:val="clear" w:color="auto" w:fill="EEF2F8"/>
            <w:tcMar>
              <w:top w:w="60" w:type="dxa"/>
              <w:left w:w="80" w:type="dxa"/>
              <w:bottom w:w="60" w:type="dxa"/>
              <w:right w:w="80" w:type="dxa"/>
            </w:tcMar>
            <w:vAlign w:val="top"/>
          </w:tcPr>
          <w:p w14:paraId="48E36DF4">
            <w:r>
              <w:rPr>
                <w:sz w:val="15"/>
                <w:szCs w:val="15"/>
              </w:rPr>
              <w:t>192.168.1.105 → 45.33.32.156:4444</w:t>
            </w:r>
          </w:p>
        </w:tc>
        <w:tc>
          <w:tcPr>
            <w:tcW w:w="2400" w:type="dxa"/>
            <w:shd w:val="clear" w:color="auto" w:fill="EEF2F8"/>
            <w:tcMar>
              <w:top w:w="60" w:type="dxa"/>
              <w:left w:w="80" w:type="dxa"/>
              <w:bottom w:w="60" w:type="dxa"/>
              <w:right w:w="80" w:type="dxa"/>
            </w:tcMar>
            <w:vAlign w:val="top"/>
          </w:tcPr>
          <w:p w14:paraId="7FC6F8F3">
            <w:r>
              <w:rPr>
                <w:sz w:val="15"/>
                <w:szCs w:val="15"/>
              </w:rPr>
              <w:t>Seven confirmed sequential beacon transmissions across roughly 90 seconds of capture time, each a new source port, each 31 bytes.</w:t>
            </w:r>
          </w:p>
        </w:tc>
        <w:tc>
          <w:tcPr>
            <w:tcW w:w="2200" w:type="dxa"/>
            <w:shd w:val="clear" w:color="auto" w:fill="EEF2F8"/>
            <w:tcMar>
              <w:top w:w="60" w:type="dxa"/>
              <w:left w:w="80" w:type="dxa"/>
              <w:bottom w:w="60" w:type="dxa"/>
              <w:right w:w="80" w:type="dxa"/>
            </w:tcMar>
            <w:vAlign w:val="top"/>
          </w:tcPr>
          <w:p w14:paraId="59614B81">
            <w:r>
              <w:rPr>
                <w:sz w:val="15"/>
                <w:szCs w:val="15"/>
              </w:rPr>
              <w:t>Cross-referenced against the investigator note in the brief: port 4444 is the Metasploit/Meterpreter default listener port.</w:t>
            </w:r>
          </w:p>
        </w:tc>
        <w:tc>
          <w:tcPr>
            <w:tcW w:w="1400" w:type="dxa"/>
            <w:shd w:val="clear" w:color="auto" w:fill="EEF2F8"/>
            <w:tcMar>
              <w:top w:w="60" w:type="dxa"/>
              <w:left w:w="80" w:type="dxa"/>
              <w:bottom w:w="60" w:type="dxa"/>
              <w:right w:w="80" w:type="dxa"/>
            </w:tcMar>
            <w:vAlign w:val="top"/>
          </w:tcPr>
          <w:p w14:paraId="74066D3A">
            <w:r>
              <w:rPr>
                <w:sz w:val="15"/>
                <w:szCs w:val="15"/>
              </w:rPr>
              <w:t>High for the seven packets directly observed. I could not fully confirm whether an eighth beacon sits between Pkt 90 and Pkt 93 from the screenshots alone — flagged for a direct capture re-check, not assumed.</w:t>
            </w:r>
          </w:p>
        </w:tc>
      </w:tr>
      <w:tr w14:paraId="49A8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 w:type="dxa"/>
            <w:tcMar>
              <w:top w:w="60" w:type="dxa"/>
              <w:left w:w="80" w:type="dxa"/>
              <w:bottom w:w="60" w:type="dxa"/>
              <w:right w:w="80" w:type="dxa"/>
            </w:tcMar>
            <w:vAlign w:val="top"/>
          </w:tcPr>
          <w:p w14:paraId="7B731A97">
            <w:r>
              <w:rPr>
                <w:sz w:val="15"/>
                <w:szCs w:val="15"/>
              </w:rPr>
              <w:t>9</w:t>
            </w:r>
          </w:p>
        </w:tc>
        <w:tc>
          <w:tcPr>
            <w:tcW w:w="1000" w:type="dxa"/>
            <w:tcMar>
              <w:top w:w="60" w:type="dxa"/>
              <w:left w:w="80" w:type="dxa"/>
              <w:bottom w:w="60" w:type="dxa"/>
              <w:right w:w="80" w:type="dxa"/>
            </w:tcMar>
            <w:vAlign w:val="top"/>
          </w:tcPr>
          <w:p w14:paraId="08BCBB41">
            <w:r>
              <w:rPr>
                <w:sz w:val="15"/>
                <w:szCs w:val="15"/>
              </w:rPr>
              <w:t>Pkts 107–111</w:t>
            </w:r>
          </w:p>
        </w:tc>
        <w:tc>
          <w:tcPr>
            <w:tcW w:w="950" w:type="dxa"/>
            <w:tcMar>
              <w:top w:w="60" w:type="dxa"/>
              <w:left w:w="80" w:type="dxa"/>
              <w:bottom w:w="60" w:type="dxa"/>
              <w:right w:w="80" w:type="dxa"/>
            </w:tcMar>
            <w:vAlign w:val="top"/>
          </w:tcPr>
          <w:p w14:paraId="52AE5666">
            <w:r>
              <w:rPr>
                <w:sz w:val="15"/>
                <w:szCs w:val="15"/>
              </w:rPr>
              <w:t>TCP/HTTP, port 8080</w:t>
            </w:r>
          </w:p>
        </w:tc>
        <w:tc>
          <w:tcPr>
            <w:tcW w:w="1500" w:type="dxa"/>
            <w:tcMar>
              <w:top w:w="60" w:type="dxa"/>
              <w:left w:w="80" w:type="dxa"/>
              <w:bottom w:w="60" w:type="dxa"/>
              <w:right w:w="80" w:type="dxa"/>
            </w:tcMar>
            <w:vAlign w:val="top"/>
          </w:tcPr>
          <w:p w14:paraId="06CDDF0A">
            <w:r>
              <w:rPr>
                <w:sz w:val="15"/>
                <w:szCs w:val="15"/>
              </w:rPr>
              <w:t>192.168.1.110 → 192.168.1.200:8080</w:t>
            </w:r>
          </w:p>
        </w:tc>
        <w:tc>
          <w:tcPr>
            <w:tcW w:w="2400" w:type="dxa"/>
            <w:tcMar>
              <w:top w:w="60" w:type="dxa"/>
              <w:left w:w="80" w:type="dxa"/>
              <w:bottom w:w="60" w:type="dxa"/>
              <w:right w:w="80" w:type="dxa"/>
            </w:tcMar>
            <w:vAlign w:val="top"/>
          </w:tcPr>
          <w:p w14:paraId="0B90FEB8">
            <w:r>
              <w:rPr>
                <w:sz w:val="15"/>
                <w:szCs w:val="15"/>
              </w:rPr>
              <w:t>GET /api/v1/health HTTP/1.1 from the IT/API workstation to the internal API server, immediately before the ICMP sweep in Row 5.</w:t>
            </w:r>
          </w:p>
        </w:tc>
        <w:tc>
          <w:tcPr>
            <w:tcW w:w="2200" w:type="dxa"/>
            <w:tcMar>
              <w:top w:w="60" w:type="dxa"/>
              <w:left w:w="80" w:type="dxa"/>
              <w:bottom w:w="60" w:type="dxa"/>
              <w:right w:w="80" w:type="dxa"/>
            </w:tcMar>
            <w:vAlign w:val="top"/>
          </w:tcPr>
          <w:p w14:paraId="14171F7A">
            <w:r>
              <w:rPr>
                <w:sz w:val="15"/>
                <w:szCs w:val="15"/>
              </w:rPr>
              <w:t>The brief flags an internal API call carrying a Bearer token; the token value itself sits in the HTTP header and was not visible at the packet-list level in my screenshots.</w:t>
            </w:r>
          </w:p>
        </w:tc>
        <w:tc>
          <w:tcPr>
            <w:tcW w:w="1400" w:type="dxa"/>
            <w:tcMar>
              <w:top w:w="60" w:type="dxa"/>
              <w:left w:w="80" w:type="dxa"/>
              <w:bottom w:w="60" w:type="dxa"/>
              <w:right w:w="80" w:type="dxa"/>
            </w:tcMar>
            <w:vAlign w:val="top"/>
          </w:tcPr>
          <w:p w14:paraId="2DF12999">
            <w:r>
              <w:rPr>
                <w:sz w:val="15"/>
                <w:szCs w:val="15"/>
              </w:rPr>
              <w:t>Low — this may simply be routine API health-checking by IT/API staff. I am not treating it as malicious, only noting it needs a header-level look before being ruled out.</w:t>
            </w:r>
          </w:p>
        </w:tc>
      </w:tr>
      <w:tr w14:paraId="7D714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 w:type="dxa"/>
            <w:shd w:val="clear" w:color="auto" w:fill="EEF2F8"/>
            <w:tcMar>
              <w:top w:w="60" w:type="dxa"/>
              <w:left w:w="80" w:type="dxa"/>
              <w:bottom w:w="60" w:type="dxa"/>
              <w:right w:w="80" w:type="dxa"/>
            </w:tcMar>
            <w:vAlign w:val="top"/>
          </w:tcPr>
          <w:p w14:paraId="60C9D530">
            <w:r>
              <w:rPr>
                <w:sz w:val="15"/>
                <w:szCs w:val="15"/>
              </w:rPr>
              <w:t>10</w:t>
            </w:r>
          </w:p>
        </w:tc>
        <w:tc>
          <w:tcPr>
            <w:tcW w:w="1000" w:type="dxa"/>
            <w:shd w:val="clear" w:color="auto" w:fill="EEF2F8"/>
            <w:tcMar>
              <w:top w:w="60" w:type="dxa"/>
              <w:left w:w="80" w:type="dxa"/>
              <w:bottom w:w="60" w:type="dxa"/>
              <w:right w:w="80" w:type="dxa"/>
            </w:tcMar>
            <w:vAlign w:val="top"/>
          </w:tcPr>
          <w:p w14:paraId="7391CDD3">
            <w:r>
              <w:rPr>
                <w:sz w:val="15"/>
                <w:szCs w:val="15"/>
              </w:rPr>
              <w:t>Pkts 118–122</w:t>
            </w:r>
          </w:p>
        </w:tc>
        <w:tc>
          <w:tcPr>
            <w:tcW w:w="950" w:type="dxa"/>
            <w:shd w:val="clear" w:color="auto" w:fill="EEF2F8"/>
            <w:tcMar>
              <w:top w:w="60" w:type="dxa"/>
              <w:left w:w="80" w:type="dxa"/>
              <w:bottom w:w="60" w:type="dxa"/>
              <w:right w:w="80" w:type="dxa"/>
            </w:tcMar>
            <w:vAlign w:val="top"/>
          </w:tcPr>
          <w:p w14:paraId="111A09E6">
            <w:r>
              <w:rPr>
                <w:sz w:val="15"/>
                <w:szCs w:val="15"/>
              </w:rPr>
              <w:t>IPv4 (malformed)</w:t>
            </w:r>
          </w:p>
        </w:tc>
        <w:tc>
          <w:tcPr>
            <w:tcW w:w="1500" w:type="dxa"/>
            <w:shd w:val="clear" w:color="auto" w:fill="EEF2F8"/>
            <w:tcMar>
              <w:top w:w="60" w:type="dxa"/>
              <w:left w:w="80" w:type="dxa"/>
              <w:bottom w:w="60" w:type="dxa"/>
              <w:right w:w="80" w:type="dxa"/>
            </w:tcMar>
            <w:vAlign w:val="top"/>
          </w:tcPr>
          <w:p w14:paraId="0D8E18FA">
            <w:r>
              <w:rPr>
                <w:sz w:val="15"/>
                <w:szCs w:val="15"/>
              </w:rPr>
              <w:t>VMware_a1:ff:ff ↔ VMware_a1:ff:fe</w:t>
            </w:r>
          </w:p>
        </w:tc>
        <w:tc>
          <w:tcPr>
            <w:tcW w:w="2400" w:type="dxa"/>
            <w:shd w:val="clear" w:color="auto" w:fill="EEF2F8"/>
            <w:tcMar>
              <w:top w:w="60" w:type="dxa"/>
              <w:left w:w="80" w:type="dxa"/>
              <w:bottom w:w="60" w:type="dxa"/>
              <w:right w:w="80" w:type="dxa"/>
            </w:tcMar>
            <w:vAlign w:val="top"/>
          </w:tcPr>
          <w:p w14:paraId="11E7F793">
            <w:r>
              <w:rPr>
                <w:sz w:val="15"/>
                <w:szCs w:val="15"/>
              </w:rPr>
              <w:t>Five consecutive frames flagged by Wireshark as “Bogus IPv4 version (15, must be 4)” at the very end of the capture.</w:t>
            </w:r>
          </w:p>
        </w:tc>
        <w:tc>
          <w:tcPr>
            <w:tcW w:w="2200" w:type="dxa"/>
            <w:shd w:val="clear" w:color="auto" w:fill="EEF2F8"/>
            <w:tcMar>
              <w:top w:w="60" w:type="dxa"/>
              <w:left w:w="80" w:type="dxa"/>
              <w:bottom w:w="60" w:type="dxa"/>
              <w:right w:w="80" w:type="dxa"/>
            </w:tcMar>
            <w:vAlign w:val="top"/>
          </w:tcPr>
          <w:p w14:paraId="5E97EC80">
            <w:r>
              <w:rPr>
                <w:sz w:val="15"/>
                <w:szCs w:val="15"/>
              </w:rPr>
              <w:t>No corroborating source found; this pattern does not match any of the other traffic in the capture.</w:t>
            </w:r>
          </w:p>
        </w:tc>
        <w:tc>
          <w:tcPr>
            <w:tcW w:w="1400" w:type="dxa"/>
            <w:shd w:val="clear" w:color="auto" w:fill="EEF2F8"/>
            <w:tcMar>
              <w:top w:w="60" w:type="dxa"/>
              <w:left w:w="80" w:type="dxa"/>
              <w:bottom w:w="60" w:type="dxa"/>
              <w:right w:w="80" w:type="dxa"/>
            </w:tcMar>
            <w:vAlign w:val="top"/>
          </w:tcPr>
          <w:p w14:paraId="2A58A01E">
            <w:r>
              <w:rPr>
                <w:sz w:val="15"/>
                <w:szCs w:val="15"/>
              </w:rPr>
              <w:t>Low — could be a capture artifact from the VM's virtual NIC rather than attacker activity. Not confident enough to call this part of the incident, but strange enough to note rather than ignore.</w:t>
            </w:r>
          </w:p>
        </w:tc>
      </w:tr>
    </w:tbl>
    <w:p w14:paraId="7D4A3CE4">
      <w:pPr>
        <w:spacing w:before="200"/>
      </w:pPr>
    </w:p>
    <w:p w14:paraId="67FBD391">
      <w:pPr>
        <w:pStyle w:val="3"/>
        <w:spacing w:before="220" w:after="120"/>
      </w:pPr>
      <w:r>
        <w:rPr>
          <w:b/>
          <w:bCs/>
          <w:color w:val="2B4C7E"/>
          <w:sz w:val="25"/>
          <w:szCs w:val="25"/>
        </w:rPr>
        <w:t>Pattern Summary</w:t>
      </w:r>
    </w:p>
    <w:p w14:paraId="249BC492">
      <w:pPr>
        <w:spacing w:after="160" w:line="280" w:lineRule="auto"/>
        <w:jc w:val="both"/>
      </w:pPr>
      <w:r>
        <w:rPr>
          <w:sz w:val="20"/>
          <w:szCs w:val="20"/>
        </w:rPr>
        <w:t>Put together, this reads as a fairly classic small-scale phishing-to-C2 chain rather than anything exotic: a staff member on 192.168.1.105 was steered to a lookalike banking domain (“gtbank-secure.net”), entered credentials into it, was handed a convincing-looking “dashboard” to keep them from getting suspicious, and somewhere in that window something on the host started calling home to the same attacker IP on port 4444 every 10–15 seconds. In kill-chain terms that is Delivery (the lookalike domain and login page) → Exploitation (the credential submission) → Installation (whatever placed the listener that is now beaconing — not directly visible in this capture, but implied by Row 4/8) → Command &amp; Control (the port 4444 beaconing) → Actions on Objectives (the dashboard/account/transfer page walk in Row 6).</w:t>
      </w:r>
    </w:p>
    <w:p w14:paraId="6F825137">
      <w:pPr>
        <w:spacing w:after="160" w:line="280" w:lineRule="auto"/>
        <w:jc w:val="both"/>
      </w:pPr>
      <w:r>
        <w:rPr>
          <w:sz w:val="20"/>
          <w:szCs w:val="20"/>
        </w:rPr>
        <w:t xml:space="preserve">If a grader rereads one row first, it should be </w:t>
      </w:r>
      <w:r>
        <w:rPr>
          <w:b/>
          <w:bCs/>
          <w:sz w:val="20"/>
          <w:szCs w:val="20"/>
        </w:rPr>
        <w:t>Row 4/8</w:t>
      </w:r>
      <w:r>
        <w:rPr>
          <w:sz w:val="20"/>
          <w:szCs w:val="20"/>
        </w:rPr>
        <w:t xml:space="preserve"> — the port 4444 beaconing. The credential theft in Row 3 is bad, but a stolen password is a contained, known problem you can fix by resetting one account. A live, repeating outbound connection on a Meterpreter default port from a host still connected to the network is an open channel — it means whoever is on the other end can still act, right now, and that is the row that should drive the urgency of D2's 72-hour actions.</w:t>
      </w:r>
    </w:p>
    <w:p w14:paraId="7D901E04">
      <w:pPr>
        <w:spacing w:after="160" w:line="280" w:lineRule="auto"/>
        <w:jc w:val="both"/>
      </w:pPr>
      <w:r>
        <w:rPr>
          <w:sz w:val="20"/>
          <w:szCs w:val="20"/>
        </w:rPr>
        <w:t>With 30 more minutes before handover, I would go back into the packet detail pane (not just the packet list) for three things specifically: the raw bytes of the port 4444 payloads, to see if there is a recognisable Meterpreter stage or just a keep-alive; the HTTP headers on Pkt 110, to check whether that Bearer token is a legitimate internal service token or something reused from elsewhere; and packets 91–92, to settle whether there were seven or eight beacon check-ins.</w:t>
      </w:r>
    </w:p>
    <w:p w14:paraId="37D6E5DF">
      <w:r>
        <w:br w:type="page"/>
      </w:r>
    </w:p>
    <w:p w14:paraId="796D876F">
      <w:pPr>
        <w:pStyle w:val="2"/>
        <w:spacing w:before="300" w:after="160"/>
      </w:pPr>
      <w:r>
        <w:rPr>
          <w:b/>
          <w:bCs/>
          <w:color w:val="1A2B4C"/>
          <w:sz w:val="30"/>
          <w:szCs w:val="30"/>
        </w:rPr>
        <w:t>D2 — Incident Report to the CISO</w:t>
      </w:r>
    </w:p>
    <w:p w14:paraId="3B6AA1D5">
      <w:pPr>
        <w:spacing w:after="60"/>
      </w:pPr>
      <w:r>
        <w:rPr>
          <w:b/>
          <w:bCs/>
          <w:sz w:val="20"/>
          <w:szCs w:val="20"/>
        </w:rPr>
        <w:t xml:space="preserve">To: </w:t>
      </w:r>
      <w:r>
        <w:rPr>
          <w:sz w:val="20"/>
          <w:szCs w:val="20"/>
        </w:rPr>
        <w:t>Prosper Eromonsele, Chief Information Security Officer, GlobalTech</w:t>
      </w:r>
    </w:p>
    <w:p w14:paraId="46DCC609">
      <w:pPr>
        <w:spacing w:after="60"/>
      </w:pPr>
      <w:r>
        <w:rPr>
          <w:b/>
          <w:bCs/>
          <w:sz w:val="20"/>
          <w:szCs w:val="20"/>
        </w:rPr>
        <w:t xml:space="preserve">From: </w:t>
      </w:r>
      <w:r>
        <w:rPr>
          <w:sz w:val="20"/>
          <w:szCs w:val="20"/>
        </w:rPr>
        <w:t>Hamzat Adeyemi, Tier-1 Analyst on shift</w:t>
      </w:r>
    </w:p>
    <w:p w14:paraId="3C860B53">
      <w:pPr>
        <w:spacing w:after="60"/>
      </w:pPr>
      <w:r>
        <w:rPr>
          <w:b/>
          <w:bCs/>
          <w:sz w:val="20"/>
          <w:szCs w:val="20"/>
        </w:rPr>
        <w:t xml:space="preserve">Date: </w:t>
      </w:r>
      <w:r>
        <w:rPr>
          <w:sz w:val="20"/>
          <w:szCs w:val="20"/>
        </w:rPr>
        <w:t>14 July 2026</w:t>
      </w:r>
    </w:p>
    <w:p w14:paraId="0D5F74A9">
      <w:pPr>
        <w:spacing w:after="60"/>
      </w:pPr>
      <w:r>
        <w:rPr>
          <w:b/>
          <w:bCs/>
          <w:sz w:val="20"/>
          <w:szCs w:val="20"/>
        </w:rPr>
        <w:t xml:space="preserve">Re: </w:t>
      </w:r>
      <w:r>
        <w:rPr>
          <w:sz w:val="20"/>
          <w:szCs w:val="20"/>
        </w:rPr>
        <w:t>Suspected Compromise — TC.Solutions Fintech, Host 192.168.1.105</w:t>
      </w:r>
    </w:p>
    <w:p w14:paraId="6F19530A">
      <w:pPr>
        <w:spacing w:before="100" w:after="200"/>
      </w:pPr>
    </w:p>
    <w:p w14:paraId="02694284">
      <w:pPr>
        <w:pBdr>
          <w:bottom w:val="single" w:color="1A2B4C" w:sz="18" w:space="1"/>
        </w:pBdr>
        <w:spacing w:after="200"/>
      </w:pPr>
    </w:p>
    <w:p w14:paraId="429AB28C">
      <w:pPr>
        <w:pStyle w:val="3"/>
        <w:spacing w:before="220" w:after="120"/>
      </w:pPr>
      <w:r>
        <w:rPr>
          <w:b/>
          <w:bCs/>
          <w:color w:val="2B4C7E"/>
          <w:sz w:val="25"/>
          <w:szCs w:val="25"/>
        </w:rPr>
        <w:t>Headline Finding</w:t>
      </w:r>
    </w:p>
    <w:p w14:paraId="6B0EBC39">
      <w:pPr>
        <w:spacing w:after="160" w:line="280" w:lineRule="auto"/>
        <w:jc w:val="both"/>
      </w:pPr>
      <w:r>
        <w:rPr>
          <w:sz w:val="20"/>
          <w:szCs w:val="20"/>
        </w:rPr>
        <w:t>TC.Solutions Fintech was compromised via a credential-phishing page impersonating a Nigerian bank login, discovered in packet capture analysis this morning. The affected host is 192.168.1.105. The attacker harvested login credentials and established what looks like a live, repeating command-and-control connection to an external server that is still active as of this writing.</w:t>
      </w:r>
    </w:p>
    <w:p w14:paraId="52E49B3A">
      <w:pPr>
        <w:pStyle w:val="3"/>
        <w:spacing w:before="220" w:after="120"/>
      </w:pPr>
      <w:r>
        <w:rPr>
          <w:b/>
          <w:bCs/>
          <w:color w:val="2B4C7E"/>
          <w:sz w:val="25"/>
          <w:szCs w:val="25"/>
        </w:rPr>
        <w:t>Situation Summary</w:t>
      </w:r>
    </w:p>
    <w:p w14:paraId="79DBFD9A">
      <w:pPr>
        <w:spacing w:after="160" w:line="280" w:lineRule="auto"/>
        <w:jc w:val="both"/>
      </w:pPr>
      <w:r>
        <w:rPr>
          <w:sz w:val="20"/>
          <w:szCs w:val="20"/>
        </w:rPr>
        <w:t>One of our internal staff machines was tricked into visiting a fake bank login page and typing in credentials. Shortly after, that same machine started quietly “phoning home” to the same outside server every ten to fifteen seconds, on a channel security teams commonly see used to remotely control an infected computer. We caught this because our SOC manager flagged unusual traffic on the host before he left for leave; the packet-by-packet review confirms his instinct was right, and the situation is more advanced than a single stolen password.</w:t>
      </w:r>
    </w:p>
    <w:p w14:paraId="114AE619">
      <w:pPr>
        <w:pStyle w:val="3"/>
        <w:spacing w:before="220" w:after="120"/>
      </w:pPr>
      <w:r>
        <w:rPr>
          <w:b/>
          <w:bCs/>
          <w:color w:val="2B4C7E"/>
          <w:sz w:val="25"/>
          <w:szCs w:val="25"/>
        </w:rPr>
        <w:t>What Is at Risk</w:t>
      </w:r>
    </w:p>
    <w:p w14:paraId="3E84E047">
      <w:pPr>
        <w:spacing w:after="160" w:line="280" w:lineRule="auto"/>
        <w:jc w:val="both"/>
      </w:pPr>
      <w:r>
        <w:rPr>
          <w:sz w:val="20"/>
          <w:szCs w:val="20"/>
        </w:rPr>
        <w:t>The data class most clearly touched is login credentials for at least one staff account (Pkt 62). What we cannot yet rule out is whether that access was used to reach anything beyond the phishing page itself — the same host was also seen resolving the name of our internal API server very early in the capture (Pkt 5/6), before the phishing traffic even starts, which we have not yet been able to explain as either routine or malicious. We also cannot yet rule out what the live port-4444 connection (Pkts 79–93) has already been used for, since we have not inspected its payload contents in detail. We do not yet know the identity of the attacker.</w:t>
      </w:r>
    </w:p>
    <w:p w14:paraId="488565A9">
      <w:pPr>
        <w:pStyle w:val="3"/>
        <w:spacing w:before="220" w:after="120"/>
      </w:pPr>
      <w:r>
        <w:rPr>
          <w:b/>
          <w:bCs/>
          <w:color w:val="2B4C7E"/>
          <w:sz w:val="25"/>
          <w:szCs w:val="25"/>
        </w:rPr>
        <w:t>Three 72-Hour Actions</w:t>
      </w:r>
    </w:p>
    <w:p w14:paraId="3F2BFEA1">
      <w:pPr>
        <w:spacing w:after="160" w:line="280" w:lineRule="auto"/>
        <w:jc w:val="both"/>
      </w:pPr>
      <w:r>
        <w:rPr>
          <w:b/>
          <w:bCs/>
          <w:sz w:val="20"/>
          <w:szCs w:val="20"/>
        </w:rPr>
        <w:t xml:space="preserve">Action 1 — Isolate. </w:t>
      </w:r>
      <w:r>
        <w:rPr>
          <w:sz w:val="20"/>
          <w:szCs w:val="20"/>
        </w:rPr>
        <w:t>SOC on-shift analyst isolates host 192.168.1.105 from the network within 1 hour of this report, before any further port-4444 beacon can complete (Pkts 79, 93). This is based directly on the confirmed C2 pattern in D1 Row 4/8. Isolating the host does not close the risk that credentials from Pkt 62 are already being used elsewhere — that requires a separate action.</w:t>
      </w:r>
    </w:p>
    <w:p w14:paraId="4A8CE6D7">
      <w:pPr>
        <w:spacing w:after="160" w:line="280" w:lineRule="auto"/>
        <w:jc w:val="both"/>
      </w:pPr>
      <w:r>
        <w:rPr>
          <w:b/>
          <w:bCs/>
          <w:sz w:val="20"/>
          <w:szCs w:val="20"/>
        </w:rPr>
        <w:t xml:space="preserve">Action 2 — Reset and reissue. </w:t>
      </w:r>
      <w:r>
        <w:rPr>
          <w:sz w:val="20"/>
          <w:szCs w:val="20"/>
        </w:rPr>
        <w:t>Identity/Access team forces a credential reset for the affected staff account within 4 hours, citing the confirmed POST submission at Pkt 62 and the subsequent dashboard access at Pkts 67–78 as evidence the credentials were both captured and used. This does not close the risk posed by the still-active C2 channel on the host itself — Action 1 covers that.</w:t>
      </w:r>
    </w:p>
    <w:p w14:paraId="00383D2E">
      <w:pPr>
        <w:spacing w:after="160" w:line="280" w:lineRule="auto"/>
        <w:jc w:val="both"/>
      </w:pPr>
      <w:r>
        <w:rPr>
          <w:b/>
          <w:bCs/>
          <w:sz w:val="20"/>
          <w:szCs w:val="20"/>
        </w:rPr>
        <w:t xml:space="preserve">Action 3 — Block and monitor. </w:t>
      </w:r>
      <w:r>
        <w:rPr>
          <w:sz w:val="20"/>
          <w:szCs w:val="20"/>
        </w:rPr>
        <w:t>Network/SOC team blocks outbound traffic to 45.33.32.156 across the environment within 2 hours, citing D1 Rows 1 and 4 (the phishing IP and the C2 destination are the same address), and adds detection rules for the gtbank-secure.net domain. This does not close the risk that the attacker has infrastructure on a different IP or domain we have not yet identified.</w:t>
      </w:r>
    </w:p>
    <w:p w14:paraId="44929823">
      <w:pPr>
        <w:pStyle w:val="3"/>
        <w:spacing w:before="220" w:after="120"/>
      </w:pPr>
      <w:r>
        <w:rPr>
          <w:b/>
          <w:bCs/>
          <w:color w:val="2B4C7E"/>
          <w:sz w:val="25"/>
          <w:szCs w:val="25"/>
        </w:rPr>
        <w:t>Systemic Recommendation</w:t>
      </w:r>
    </w:p>
    <w:p w14:paraId="3E1F364D">
      <w:pPr>
        <w:spacing w:after="160" w:line="280" w:lineRule="auto"/>
        <w:jc w:val="both"/>
      </w:pPr>
      <w:r>
        <w:rPr>
          <w:sz w:val="20"/>
          <w:szCs w:val="20"/>
        </w:rPr>
        <w:t xml:space="preserve">Beyond this incident, I'd recommend TC.Solutions add mandatory domain-lookalike awareness training and a DNS-filtering control for newly registered or typosquatted domains, rather than relying only on staff catching this by eye — this is a process gap, not a tooling gap. This ties directly to our own </w:t>
      </w:r>
      <w:r>
        <w:rPr>
          <w:b/>
          <w:bCs/>
          <w:sz w:val="20"/>
          <w:szCs w:val="20"/>
        </w:rPr>
        <w:t>CBN Risk-Based Cybersecurity Framework</w:t>
      </w:r>
      <w:r>
        <w:rPr>
          <w:sz w:val="20"/>
          <w:szCs w:val="20"/>
        </w:rPr>
        <w:t xml:space="preserve"> obligations from Week 1 D1: the framework's incident-classification requirements mean an event like this one needs to be logged and reported on a defined timeline, and a filtering control reduces how often we're forced to run that clock in the first place.</w:t>
      </w:r>
    </w:p>
    <w:p w14:paraId="45FF5155">
      <w:pPr>
        <w:pStyle w:val="3"/>
        <w:spacing w:before="220" w:after="120"/>
      </w:pPr>
      <w:r>
        <w:rPr>
          <w:b/>
          <w:bCs/>
          <w:color w:val="2B4C7E"/>
          <w:sz w:val="25"/>
          <w:szCs w:val="25"/>
        </w:rPr>
        <w:t>Evidence Appendix</w:t>
      </w:r>
    </w:p>
    <w:p w14:paraId="7DA7AE68">
      <w:pPr>
        <w:pStyle w:val="16"/>
        <w:numPr>
          <w:ilvl w:val="0"/>
          <w:numId w:val="1"/>
        </w:numPr>
        <w:spacing w:after="80"/>
      </w:pPr>
      <w:r>
        <w:rPr>
          <w:sz w:val="18"/>
          <w:szCs w:val="18"/>
        </w:rPr>
        <w:t>Pkt 1–2: legitimate DNS lookup, gtbank.com → 197.255.36.10 (baseline, for comparison)</w:t>
      </w:r>
    </w:p>
    <w:p w14:paraId="369FDE76">
      <w:pPr>
        <w:pStyle w:val="16"/>
        <w:numPr>
          <w:ilvl w:val="0"/>
          <w:numId w:val="1"/>
        </w:numPr>
        <w:spacing w:after="80"/>
      </w:pPr>
      <w:r>
        <w:rPr>
          <w:sz w:val="18"/>
          <w:szCs w:val="18"/>
        </w:rPr>
        <w:t>Pkt 3–4: DNS lookup, gtbank-secure.net → 45.33.32.156 (lookalike domain)</w:t>
      </w:r>
    </w:p>
    <w:p w14:paraId="736137CE">
      <w:pPr>
        <w:pStyle w:val="16"/>
        <w:numPr>
          <w:ilvl w:val="0"/>
          <w:numId w:val="1"/>
        </w:numPr>
        <w:spacing w:after="80"/>
      </w:pPr>
      <w:r>
        <w:rPr>
          <w:sz w:val="18"/>
          <w:szCs w:val="18"/>
        </w:rPr>
        <w:t>Pkt 5–6: DNS lookup, internal.fintechcorp.ng → 192.168.1.200 (unexplained, flagged for review)</w:t>
      </w:r>
    </w:p>
    <w:p w14:paraId="2396D469">
      <w:pPr>
        <w:pStyle w:val="16"/>
        <w:numPr>
          <w:ilvl w:val="0"/>
          <w:numId w:val="1"/>
        </w:numPr>
        <w:spacing w:after="80"/>
      </w:pPr>
      <w:r>
        <w:rPr>
          <w:sz w:val="18"/>
          <w:szCs w:val="18"/>
        </w:rPr>
        <w:t>Pkt 59: GET /login.php — 192.168.1.105 → 45.33.32.156:80</w:t>
      </w:r>
    </w:p>
    <w:p w14:paraId="3C5B5AA0">
      <w:pPr>
        <w:pStyle w:val="16"/>
        <w:numPr>
          <w:ilvl w:val="0"/>
          <w:numId w:val="1"/>
        </w:numPr>
        <w:spacing w:after="80"/>
      </w:pPr>
      <w:r>
        <w:rPr>
          <w:sz w:val="18"/>
          <w:szCs w:val="18"/>
        </w:rPr>
        <w:t>Pkt 62: POST /login.php (credentials submitted) — 192.168.1.105 → 45.33.32.156:80</w:t>
      </w:r>
    </w:p>
    <w:p w14:paraId="77554978">
      <w:pPr>
        <w:pStyle w:val="16"/>
        <w:numPr>
          <w:ilvl w:val="0"/>
          <w:numId w:val="1"/>
        </w:numPr>
        <w:spacing w:after="80"/>
      </w:pPr>
      <w:r>
        <w:rPr>
          <w:sz w:val="18"/>
          <w:szCs w:val="18"/>
        </w:rPr>
        <w:t>Pkt 67, 72, 77: GET /dashboard.php, /account.php, /transfer.php — 192.168.1.105 → 45.33.32.156:80</w:t>
      </w:r>
    </w:p>
    <w:p w14:paraId="358C36BD">
      <w:pPr>
        <w:pStyle w:val="16"/>
        <w:numPr>
          <w:ilvl w:val="0"/>
          <w:numId w:val="1"/>
        </w:numPr>
        <w:spacing w:after="80"/>
      </w:pPr>
      <w:r>
        <w:rPr>
          <w:sz w:val="18"/>
          <w:szCs w:val="18"/>
        </w:rPr>
        <w:t>Pkt 79, 81, 83, 85, 87, 89, 93: repeating beacon traffic — 192.168.1.105 → 45.33.32.156:4444</w:t>
      </w:r>
    </w:p>
    <w:p w14:paraId="23640A87">
      <w:pPr>
        <w:pStyle w:val="16"/>
        <w:numPr>
          <w:ilvl w:val="0"/>
          <w:numId w:val="1"/>
        </w:numPr>
        <w:spacing w:after="80"/>
      </w:pPr>
      <w:r>
        <w:rPr>
          <w:sz w:val="18"/>
          <w:szCs w:val="18"/>
        </w:rPr>
        <w:t>Pkt 107–111: internal API call with Bearer token, header contents not yet reviewed — 192.168.1.110 → 192.168.1.200:8080</w:t>
      </w:r>
    </w:p>
    <w:p w14:paraId="583D59EB">
      <w:pPr>
        <w:pStyle w:val="16"/>
        <w:numPr>
          <w:ilvl w:val="0"/>
          <w:numId w:val="1"/>
        </w:numPr>
        <w:spacing w:after="80"/>
      </w:pPr>
      <w:r>
        <w:rPr>
          <w:sz w:val="18"/>
          <w:szCs w:val="18"/>
        </w:rPr>
        <w:t>Pkt 112–117: ICMP sweep — 192.168.1.120 → 192.168.1.1, 192.168.1.200, 8.8.8.8</w:t>
      </w:r>
    </w:p>
    <w:p w14:paraId="4E52FA12">
      <w:pPr>
        <w:pStyle w:val="16"/>
        <w:numPr>
          <w:ilvl w:val="0"/>
          <w:numId w:val="1"/>
        </w:numPr>
        <w:spacing w:after="80"/>
      </w:pPr>
      <w:r>
        <w:rPr>
          <w:sz w:val="18"/>
          <w:szCs w:val="18"/>
        </w:rPr>
        <w:t>Pkt 118–122: malformed IPv4 frames, cause not yet determined</w:t>
      </w:r>
    </w:p>
    <w:p w14:paraId="6147E837">
      <w:pPr>
        <w:pStyle w:val="16"/>
        <w:numPr>
          <w:ilvl w:val="0"/>
          <w:numId w:val="1"/>
        </w:numPr>
        <w:spacing w:after="80"/>
      </w:pPr>
      <w:r>
        <w:rPr>
          <w:sz w:val="18"/>
          <w:szCs w:val="18"/>
        </w:rPr>
        <w:t>Framework cited: CBN Risk-Based Cybersecurity Framework and Guidelines for DMBs and PSBs (2024)</w:t>
      </w:r>
    </w:p>
    <w:p w14:paraId="4B8BEDAF">
      <w:r>
        <w:br w:type="page"/>
      </w:r>
    </w:p>
    <w:p w14:paraId="08DF95AF">
      <w:pPr>
        <w:pStyle w:val="2"/>
        <w:spacing w:before="300" w:after="160"/>
      </w:pPr>
      <w:r>
        <w:rPr>
          <w:b/>
          <w:bCs/>
          <w:color w:val="1A2B4C"/>
          <w:sz w:val="30"/>
          <w:szCs w:val="30"/>
        </w:rPr>
        <w:t>D3 — MITRE ATT&amp;CK Mapping</w:t>
      </w:r>
    </w:p>
    <w:p w14:paraId="73A24B66">
      <w:pPr>
        <w:spacing w:after="120"/>
      </w:pPr>
      <w:r>
        <w:rPr>
          <w:color w:val="444444"/>
          <w:sz w:val="16"/>
          <w:szCs w:val="16"/>
        </w:rPr>
        <w:t>Mapping table + narrative summary, technique IDs checked against ATT&amp;CK v15.</w:t>
      </w:r>
    </w:p>
    <w:p w14:paraId="2CF5116B">
      <w:pPr>
        <w:pStyle w:val="3"/>
        <w:spacing w:before="220" w:after="120"/>
      </w:pPr>
      <w:r>
        <w:rPr>
          <w:b/>
          <w:bCs/>
          <w:color w:val="2B4C7E"/>
          <w:sz w:val="25"/>
          <w:szCs w:val="25"/>
        </w:rPr>
        <w:t>ATT&amp;CK Mapping Table</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
        <w:gridCol w:w="1300"/>
        <w:gridCol w:w="2100"/>
        <w:gridCol w:w="900"/>
        <w:gridCol w:w="1600"/>
        <w:gridCol w:w="3300"/>
      </w:tblGrid>
      <w:tr w14:paraId="2178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dxa"/>
            <w:shd w:val="clear" w:color="auto" w:fill="1A2B4C"/>
            <w:tcMar>
              <w:top w:w="60" w:type="dxa"/>
              <w:left w:w="80" w:type="dxa"/>
              <w:bottom w:w="60" w:type="dxa"/>
              <w:right w:w="80" w:type="dxa"/>
            </w:tcMar>
            <w:vAlign w:val="top"/>
          </w:tcPr>
          <w:p w14:paraId="748F7288">
            <w:r>
              <w:rPr>
                <w:b/>
                <w:bCs/>
                <w:color w:val="FFFFFF"/>
                <w:sz w:val="15"/>
                <w:szCs w:val="15"/>
              </w:rPr>
              <w:t>#</w:t>
            </w:r>
          </w:p>
        </w:tc>
        <w:tc>
          <w:tcPr>
            <w:tcW w:w="1300" w:type="dxa"/>
            <w:shd w:val="clear" w:color="auto" w:fill="1A2B4C"/>
            <w:tcMar>
              <w:top w:w="60" w:type="dxa"/>
              <w:left w:w="80" w:type="dxa"/>
              <w:bottom w:w="60" w:type="dxa"/>
              <w:right w:w="80" w:type="dxa"/>
            </w:tcMar>
            <w:vAlign w:val="top"/>
          </w:tcPr>
          <w:p w14:paraId="453FC273">
            <w:r>
              <w:rPr>
                <w:b/>
                <w:bCs/>
                <w:color w:val="FFFFFF"/>
                <w:sz w:val="15"/>
                <w:szCs w:val="15"/>
              </w:rPr>
              <w:t>Tactic</w:t>
            </w:r>
          </w:p>
        </w:tc>
        <w:tc>
          <w:tcPr>
            <w:tcW w:w="2100" w:type="dxa"/>
            <w:shd w:val="clear" w:color="auto" w:fill="1A2B4C"/>
            <w:tcMar>
              <w:top w:w="60" w:type="dxa"/>
              <w:left w:w="80" w:type="dxa"/>
              <w:bottom w:w="60" w:type="dxa"/>
              <w:right w:w="80" w:type="dxa"/>
            </w:tcMar>
            <w:vAlign w:val="top"/>
          </w:tcPr>
          <w:p w14:paraId="417CB85F">
            <w:r>
              <w:rPr>
                <w:b/>
                <w:bCs/>
                <w:color w:val="FFFFFF"/>
                <w:sz w:val="15"/>
                <w:szCs w:val="15"/>
              </w:rPr>
              <w:t>Technique Name</w:t>
            </w:r>
          </w:p>
        </w:tc>
        <w:tc>
          <w:tcPr>
            <w:tcW w:w="900" w:type="dxa"/>
            <w:shd w:val="clear" w:color="auto" w:fill="1A2B4C"/>
            <w:tcMar>
              <w:top w:w="60" w:type="dxa"/>
              <w:left w:w="80" w:type="dxa"/>
              <w:bottom w:w="60" w:type="dxa"/>
              <w:right w:w="80" w:type="dxa"/>
            </w:tcMar>
            <w:vAlign w:val="top"/>
          </w:tcPr>
          <w:p w14:paraId="7D056BDB">
            <w:r>
              <w:rPr>
                <w:b/>
                <w:bCs/>
                <w:color w:val="FFFFFF"/>
                <w:sz w:val="15"/>
                <w:szCs w:val="15"/>
              </w:rPr>
              <w:t>ID</w:t>
            </w:r>
          </w:p>
        </w:tc>
        <w:tc>
          <w:tcPr>
            <w:tcW w:w="1600" w:type="dxa"/>
            <w:shd w:val="clear" w:color="auto" w:fill="1A2B4C"/>
            <w:tcMar>
              <w:top w:w="60" w:type="dxa"/>
              <w:left w:w="80" w:type="dxa"/>
              <w:bottom w:w="60" w:type="dxa"/>
              <w:right w:w="80" w:type="dxa"/>
            </w:tcMar>
            <w:vAlign w:val="top"/>
          </w:tcPr>
          <w:p w14:paraId="408253B5">
            <w:r>
              <w:rPr>
                <w:b/>
                <w:bCs/>
                <w:color w:val="FFFFFF"/>
                <w:sz w:val="15"/>
                <w:szCs w:val="15"/>
              </w:rPr>
              <w:t>Evidence (Pkt #)</w:t>
            </w:r>
          </w:p>
        </w:tc>
        <w:tc>
          <w:tcPr>
            <w:tcW w:w="3300" w:type="dxa"/>
            <w:shd w:val="clear" w:color="auto" w:fill="1A2B4C"/>
            <w:tcMar>
              <w:top w:w="60" w:type="dxa"/>
              <w:left w:w="80" w:type="dxa"/>
              <w:bottom w:w="60" w:type="dxa"/>
              <w:right w:w="80" w:type="dxa"/>
            </w:tcMar>
            <w:vAlign w:val="top"/>
          </w:tcPr>
          <w:p w14:paraId="542F4BFC">
            <w:r>
              <w:rPr>
                <w:b/>
                <w:bCs/>
                <w:color w:val="FFFFFF"/>
                <w:sz w:val="15"/>
                <w:szCs w:val="15"/>
              </w:rPr>
              <w:t>Analyst Note</w:t>
            </w:r>
          </w:p>
        </w:tc>
      </w:tr>
      <w:tr w14:paraId="7ECD7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Mar>
              <w:top w:w="60" w:type="dxa"/>
              <w:left w:w="80" w:type="dxa"/>
              <w:bottom w:w="60" w:type="dxa"/>
              <w:right w:w="80" w:type="dxa"/>
            </w:tcMar>
            <w:vAlign w:val="top"/>
          </w:tcPr>
          <w:p w14:paraId="4183D018">
            <w:r>
              <w:rPr>
                <w:sz w:val="15"/>
                <w:szCs w:val="15"/>
              </w:rPr>
              <w:t>1</w:t>
            </w:r>
          </w:p>
        </w:tc>
        <w:tc>
          <w:tcPr>
            <w:tcW w:w="1300" w:type="dxa"/>
            <w:tcMar>
              <w:top w:w="60" w:type="dxa"/>
              <w:left w:w="80" w:type="dxa"/>
              <w:bottom w:w="60" w:type="dxa"/>
              <w:right w:w="80" w:type="dxa"/>
            </w:tcMar>
            <w:vAlign w:val="top"/>
          </w:tcPr>
          <w:p w14:paraId="0E9DFE72">
            <w:r>
              <w:rPr>
                <w:sz w:val="15"/>
                <w:szCs w:val="15"/>
              </w:rPr>
              <w:t>Initial Access</w:t>
            </w:r>
          </w:p>
        </w:tc>
        <w:tc>
          <w:tcPr>
            <w:tcW w:w="2100" w:type="dxa"/>
            <w:tcMar>
              <w:top w:w="60" w:type="dxa"/>
              <w:left w:w="80" w:type="dxa"/>
              <w:bottom w:w="60" w:type="dxa"/>
              <w:right w:w="80" w:type="dxa"/>
            </w:tcMar>
            <w:vAlign w:val="top"/>
          </w:tcPr>
          <w:p w14:paraId="76ACA513">
            <w:r>
              <w:rPr>
                <w:sz w:val="15"/>
                <w:szCs w:val="15"/>
              </w:rPr>
              <w:t>Phishing: Spearphishing Link</w:t>
            </w:r>
          </w:p>
        </w:tc>
        <w:tc>
          <w:tcPr>
            <w:tcW w:w="900" w:type="dxa"/>
            <w:tcMar>
              <w:top w:w="60" w:type="dxa"/>
              <w:left w:w="80" w:type="dxa"/>
              <w:bottom w:w="60" w:type="dxa"/>
              <w:right w:w="80" w:type="dxa"/>
            </w:tcMar>
            <w:vAlign w:val="top"/>
          </w:tcPr>
          <w:p w14:paraId="4525DA98">
            <w:r>
              <w:rPr>
                <w:sz w:val="15"/>
                <w:szCs w:val="15"/>
              </w:rPr>
              <w:t>T1566.002</w:t>
            </w:r>
          </w:p>
        </w:tc>
        <w:tc>
          <w:tcPr>
            <w:tcW w:w="1600" w:type="dxa"/>
            <w:tcMar>
              <w:top w:w="60" w:type="dxa"/>
              <w:left w:w="80" w:type="dxa"/>
              <w:bottom w:w="60" w:type="dxa"/>
              <w:right w:w="80" w:type="dxa"/>
            </w:tcMar>
            <w:vAlign w:val="top"/>
          </w:tcPr>
          <w:p w14:paraId="46D3B566">
            <w:r>
              <w:rPr>
                <w:sz w:val="15"/>
                <w:szCs w:val="15"/>
              </w:rPr>
              <w:t>Pkt 3–4, Pkt 59</w:t>
            </w:r>
          </w:p>
        </w:tc>
        <w:tc>
          <w:tcPr>
            <w:tcW w:w="3300" w:type="dxa"/>
            <w:tcMar>
              <w:top w:w="60" w:type="dxa"/>
              <w:left w:w="80" w:type="dxa"/>
              <w:bottom w:w="60" w:type="dxa"/>
              <w:right w:w="80" w:type="dxa"/>
            </w:tcMar>
            <w:vAlign w:val="top"/>
          </w:tcPr>
          <w:p w14:paraId="10ABAEAE">
            <w:r>
              <w:rPr>
                <w:sz w:val="15"/>
                <w:szCs w:val="15"/>
              </w:rPr>
              <w:t>Lookalike domain gtbank-secure.net delivered a fake login page; host visited it and requested /login.php.</w:t>
            </w:r>
          </w:p>
        </w:tc>
      </w:tr>
      <w:tr w14:paraId="440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shd w:val="clear" w:color="auto" w:fill="EEF2F8"/>
            <w:tcMar>
              <w:top w:w="60" w:type="dxa"/>
              <w:left w:w="80" w:type="dxa"/>
              <w:bottom w:w="60" w:type="dxa"/>
              <w:right w:w="80" w:type="dxa"/>
            </w:tcMar>
            <w:vAlign w:val="top"/>
          </w:tcPr>
          <w:p w14:paraId="0A80E4B3">
            <w:r>
              <w:rPr>
                <w:sz w:val="15"/>
                <w:szCs w:val="15"/>
              </w:rPr>
              <w:t>2</w:t>
            </w:r>
          </w:p>
        </w:tc>
        <w:tc>
          <w:tcPr>
            <w:tcW w:w="1300" w:type="dxa"/>
            <w:shd w:val="clear" w:color="auto" w:fill="EEF2F8"/>
            <w:tcMar>
              <w:top w:w="60" w:type="dxa"/>
              <w:left w:w="80" w:type="dxa"/>
              <w:bottom w:w="60" w:type="dxa"/>
              <w:right w:w="80" w:type="dxa"/>
            </w:tcMar>
            <w:vAlign w:val="top"/>
          </w:tcPr>
          <w:p w14:paraId="50F695A0">
            <w:r>
              <w:rPr>
                <w:sz w:val="15"/>
                <w:szCs w:val="15"/>
              </w:rPr>
              <w:t>Command and Control</w:t>
            </w:r>
          </w:p>
        </w:tc>
        <w:tc>
          <w:tcPr>
            <w:tcW w:w="2100" w:type="dxa"/>
            <w:shd w:val="clear" w:color="auto" w:fill="EEF2F8"/>
            <w:tcMar>
              <w:top w:w="60" w:type="dxa"/>
              <w:left w:w="80" w:type="dxa"/>
              <w:bottom w:w="60" w:type="dxa"/>
              <w:right w:w="80" w:type="dxa"/>
            </w:tcMar>
            <w:vAlign w:val="top"/>
          </w:tcPr>
          <w:p w14:paraId="22D4122B">
            <w:r>
              <w:rPr>
                <w:sz w:val="15"/>
                <w:szCs w:val="15"/>
              </w:rPr>
              <w:t>Application Layer Protocol</w:t>
            </w:r>
          </w:p>
        </w:tc>
        <w:tc>
          <w:tcPr>
            <w:tcW w:w="900" w:type="dxa"/>
            <w:shd w:val="clear" w:color="auto" w:fill="EEF2F8"/>
            <w:tcMar>
              <w:top w:w="60" w:type="dxa"/>
              <w:left w:w="80" w:type="dxa"/>
              <w:bottom w:w="60" w:type="dxa"/>
              <w:right w:w="80" w:type="dxa"/>
            </w:tcMar>
            <w:vAlign w:val="top"/>
          </w:tcPr>
          <w:p w14:paraId="64F16F56">
            <w:r>
              <w:rPr>
                <w:sz w:val="15"/>
                <w:szCs w:val="15"/>
              </w:rPr>
              <w:t>T1071</w:t>
            </w:r>
          </w:p>
        </w:tc>
        <w:tc>
          <w:tcPr>
            <w:tcW w:w="1600" w:type="dxa"/>
            <w:shd w:val="clear" w:color="auto" w:fill="EEF2F8"/>
            <w:tcMar>
              <w:top w:w="60" w:type="dxa"/>
              <w:left w:w="80" w:type="dxa"/>
              <w:bottom w:w="60" w:type="dxa"/>
              <w:right w:w="80" w:type="dxa"/>
            </w:tcMar>
            <w:vAlign w:val="top"/>
          </w:tcPr>
          <w:p w14:paraId="60A140BE">
            <w:r>
              <w:rPr>
                <w:sz w:val="15"/>
                <w:szCs w:val="15"/>
              </w:rPr>
              <w:t>Pkt 79, 81, 83, 85, 87, 89, 93</w:t>
            </w:r>
          </w:p>
        </w:tc>
        <w:tc>
          <w:tcPr>
            <w:tcW w:w="3300" w:type="dxa"/>
            <w:shd w:val="clear" w:color="auto" w:fill="EEF2F8"/>
            <w:tcMar>
              <w:top w:w="60" w:type="dxa"/>
              <w:left w:w="80" w:type="dxa"/>
              <w:bottom w:w="60" w:type="dxa"/>
              <w:right w:w="80" w:type="dxa"/>
            </w:tcMar>
            <w:vAlign w:val="top"/>
          </w:tcPr>
          <w:p w14:paraId="3A75DDA9">
            <w:r>
              <w:rPr>
                <w:sz w:val="15"/>
                <w:szCs w:val="15"/>
              </w:rPr>
              <w:t>Repeating fixed-size payloads on TCP port 4444, the Metasploit/Meterpreter default listener port.</w:t>
            </w:r>
          </w:p>
        </w:tc>
      </w:tr>
      <w:tr w14:paraId="30716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Mar>
              <w:top w:w="60" w:type="dxa"/>
              <w:left w:w="80" w:type="dxa"/>
              <w:bottom w:w="60" w:type="dxa"/>
              <w:right w:w="80" w:type="dxa"/>
            </w:tcMar>
            <w:vAlign w:val="top"/>
          </w:tcPr>
          <w:p w14:paraId="3B4E97A7">
            <w:r>
              <w:rPr>
                <w:sz w:val="15"/>
                <w:szCs w:val="15"/>
              </w:rPr>
              <w:t>3</w:t>
            </w:r>
          </w:p>
        </w:tc>
        <w:tc>
          <w:tcPr>
            <w:tcW w:w="1300" w:type="dxa"/>
            <w:tcMar>
              <w:top w:w="60" w:type="dxa"/>
              <w:left w:w="80" w:type="dxa"/>
              <w:bottom w:w="60" w:type="dxa"/>
              <w:right w:w="80" w:type="dxa"/>
            </w:tcMar>
            <w:vAlign w:val="top"/>
          </w:tcPr>
          <w:p w14:paraId="14EDD427">
            <w:r>
              <w:rPr>
                <w:sz w:val="15"/>
                <w:szCs w:val="15"/>
              </w:rPr>
              <w:t>Credential Access / Initial Access</w:t>
            </w:r>
          </w:p>
        </w:tc>
        <w:tc>
          <w:tcPr>
            <w:tcW w:w="2100" w:type="dxa"/>
            <w:tcMar>
              <w:top w:w="60" w:type="dxa"/>
              <w:left w:w="80" w:type="dxa"/>
              <w:bottom w:w="60" w:type="dxa"/>
              <w:right w:w="80" w:type="dxa"/>
            </w:tcMar>
            <w:vAlign w:val="top"/>
          </w:tcPr>
          <w:p w14:paraId="53F6FA7A">
            <w:r>
              <w:rPr>
                <w:sz w:val="15"/>
                <w:szCs w:val="15"/>
              </w:rPr>
              <w:t>Valid Accounts</w:t>
            </w:r>
          </w:p>
        </w:tc>
        <w:tc>
          <w:tcPr>
            <w:tcW w:w="900" w:type="dxa"/>
            <w:tcMar>
              <w:top w:w="60" w:type="dxa"/>
              <w:left w:w="80" w:type="dxa"/>
              <w:bottom w:w="60" w:type="dxa"/>
              <w:right w:w="80" w:type="dxa"/>
            </w:tcMar>
            <w:vAlign w:val="top"/>
          </w:tcPr>
          <w:p w14:paraId="33676F81">
            <w:r>
              <w:rPr>
                <w:sz w:val="15"/>
                <w:szCs w:val="15"/>
              </w:rPr>
              <w:t>T1078</w:t>
            </w:r>
          </w:p>
        </w:tc>
        <w:tc>
          <w:tcPr>
            <w:tcW w:w="1600" w:type="dxa"/>
            <w:tcMar>
              <w:top w:w="60" w:type="dxa"/>
              <w:left w:w="80" w:type="dxa"/>
              <w:bottom w:w="60" w:type="dxa"/>
              <w:right w:w="80" w:type="dxa"/>
            </w:tcMar>
            <w:vAlign w:val="top"/>
          </w:tcPr>
          <w:p w14:paraId="50BBB57B">
            <w:r>
              <w:rPr>
                <w:sz w:val="15"/>
                <w:szCs w:val="15"/>
              </w:rPr>
              <w:t>Pkt 62, Pkt 67–78</w:t>
            </w:r>
          </w:p>
        </w:tc>
        <w:tc>
          <w:tcPr>
            <w:tcW w:w="3300" w:type="dxa"/>
            <w:tcMar>
              <w:top w:w="60" w:type="dxa"/>
              <w:left w:w="80" w:type="dxa"/>
              <w:bottom w:w="60" w:type="dxa"/>
              <w:right w:w="80" w:type="dxa"/>
            </w:tcMar>
            <w:vAlign w:val="top"/>
          </w:tcPr>
          <w:p w14:paraId="18BE718D">
            <w:r>
              <w:rPr>
                <w:sz w:val="15"/>
                <w:szCs w:val="15"/>
              </w:rPr>
              <w:t>Submitted credentials (Pkt 62) were accepted and used to reach further pages on the attacker's site.</w:t>
            </w:r>
          </w:p>
        </w:tc>
      </w:tr>
      <w:tr w14:paraId="02C7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shd w:val="clear" w:color="auto" w:fill="EEF2F8"/>
            <w:tcMar>
              <w:top w:w="60" w:type="dxa"/>
              <w:left w:w="80" w:type="dxa"/>
              <w:bottom w:w="60" w:type="dxa"/>
              <w:right w:w="80" w:type="dxa"/>
            </w:tcMar>
            <w:vAlign w:val="top"/>
          </w:tcPr>
          <w:p w14:paraId="00327314">
            <w:r>
              <w:rPr>
                <w:sz w:val="15"/>
                <w:szCs w:val="15"/>
              </w:rPr>
              <w:t>4</w:t>
            </w:r>
          </w:p>
        </w:tc>
        <w:tc>
          <w:tcPr>
            <w:tcW w:w="1300" w:type="dxa"/>
            <w:shd w:val="clear" w:color="auto" w:fill="EEF2F8"/>
            <w:tcMar>
              <w:top w:w="60" w:type="dxa"/>
              <w:left w:w="80" w:type="dxa"/>
              <w:bottom w:w="60" w:type="dxa"/>
              <w:right w:w="80" w:type="dxa"/>
            </w:tcMar>
            <w:vAlign w:val="top"/>
          </w:tcPr>
          <w:p w14:paraId="2028921B">
            <w:r>
              <w:rPr>
                <w:sz w:val="15"/>
                <w:szCs w:val="15"/>
              </w:rPr>
              <w:t>Discovery</w:t>
            </w:r>
          </w:p>
        </w:tc>
        <w:tc>
          <w:tcPr>
            <w:tcW w:w="2100" w:type="dxa"/>
            <w:shd w:val="clear" w:color="auto" w:fill="EEF2F8"/>
            <w:tcMar>
              <w:top w:w="60" w:type="dxa"/>
              <w:left w:w="80" w:type="dxa"/>
              <w:bottom w:w="60" w:type="dxa"/>
              <w:right w:w="80" w:type="dxa"/>
            </w:tcMar>
            <w:vAlign w:val="top"/>
          </w:tcPr>
          <w:p w14:paraId="154BBD3C">
            <w:r>
              <w:rPr>
                <w:sz w:val="15"/>
                <w:szCs w:val="15"/>
              </w:rPr>
              <w:t>Network Service Discovery</w:t>
            </w:r>
          </w:p>
        </w:tc>
        <w:tc>
          <w:tcPr>
            <w:tcW w:w="900" w:type="dxa"/>
            <w:shd w:val="clear" w:color="auto" w:fill="EEF2F8"/>
            <w:tcMar>
              <w:top w:w="60" w:type="dxa"/>
              <w:left w:w="80" w:type="dxa"/>
              <w:bottom w:w="60" w:type="dxa"/>
              <w:right w:w="80" w:type="dxa"/>
            </w:tcMar>
            <w:vAlign w:val="top"/>
          </w:tcPr>
          <w:p w14:paraId="0A6B7DB1">
            <w:r>
              <w:rPr>
                <w:sz w:val="15"/>
                <w:szCs w:val="15"/>
              </w:rPr>
              <w:t>T1046</w:t>
            </w:r>
          </w:p>
        </w:tc>
        <w:tc>
          <w:tcPr>
            <w:tcW w:w="1600" w:type="dxa"/>
            <w:shd w:val="clear" w:color="auto" w:fill="EEF2F8"/>
            <w:tcMar>
              <w:top w:w="60" w:type="dxa"/>
              <w:left w:w="80" w:type="dxa"/>
              <w:bottom w:w="60" w:type="dxa"/>
              <w:right w:w="80" w:type="dxa"/>
            </w:tcMar>
            <w:vAlign w:val="top"/>
          </w:tcPr>
          <w:p w14:paraId="7F7D1082">
            <w:r>
              <w:rPr>
                <w:sz w:val="15"/>
                <w:szCs w:val="15"/>
              </w:rPr>
              <w:t>Pkt 112–117</w:t>
            </w:r>
          </w:p>
        </w:tc>
        <w:tc>
          <w:tcPr>
            <w:tcW w:w="3300" w:type="dxa"/>
            <w:shd w:val="clear" w:color="auto" w:fill="EEF2F8"/>
            <w:tcMar>
              <w:top w:w="60" w:type="dxa"/>
              <w:left w:w="80" w:type="dxa"/>
              <w:bottom w:w="60" w:type="dxa"/>
              <w:right w:w="80" w:type="dxa"/>
            </w:tcMar>
            <w:vAlign w:val="top"/>
          </w:tcPr>
          <w:p w14:paraId="66A987FB">
            <w:r>
              <w:rPr>
                <w:sz w:val="15"/>
                <w:szCs w:val="15"/>
              </w:rPr>
              <w:t>ICMP sweep of the gateway and internal API server from 192.168.1.120, immediately after an internal API call — consistent with environment mapping, though I could not fully rule out routine use (see D1 Row 5).</w:t>
            </w:r>
          </w:p>
        </w:tc>
      </w:tr>
      <w:tr w14:paraId="0811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Mar>
              <w:top w:w="60" w:type="dxa"/>
              <w:left w:w="80" w:type="dxa"/>
              <w:bottom w:w="60" w:type="dxa"/>
              <w:right w:w="80" w:type="dxa"/>
            </w:tcMar>
            <w:vAlign w:val="top"/>
          </w:tcPr>
          <w:p w14:paraId="4BEB3ADF">
            <w:r>
              <w:rPr>
                <w:sz w:val="15"/>
                <w:szCs w:val="15"/>
              </w:rPr>
              <w:t>5</w:t>
            </w:r>
          </w:p>
        </w:tc>
        <w:tc>
          <w:tcPr>
            <w:tcW w:w="1300" w:type="dxa"/>
            <w:tcMar>
              <w:top w:w="60" w:type="dxa"/>
              <w:left w:w="80" w:type="dxa"/>
              <w:bottom w:w="60" w:type="dxa"/>
              <w:right w:w="80" w:type="dxa"/>
            </w:tcMar>
            <w:vAlign w:val="top"/>
          </w:tcPr>
          <w:p w14:paraId="4E9D3704">
            <w:r>
              <w:rPr>
                <w:sz w:val="15"/>
                <w:szCs w:val="15"/>
              </w:rPr>
              <w:t>Reconnaissance</w:t>
            </w:r>
          </w:p>
        </w:tc>
        <w:tc>
          <w:tcPr>
            <w:tcW w:w="2100" w:type="dxa"/>
            <w:tcMar>
              <w:top w:w="60" w:type="dxa"/>
              <w:left w:w="80" w:type="dxa"/>
              <w:bottom w:w="60" w:type="dxa"/>
              <w:right w:w="80" w:type="dxa"/>
            </w:tcMar>
            <w:vAlign w:val="top"/>
          </w:tcPr>
          <w:p w14:paraId="2ADA351F">
            <w:r>
              <w:rPr>
                <w:sz w:val="15"/>
                <w:szCs w:val="15"/>
              </w:rPr>
              <w:t>Gather Victim Network Information: DNS</w:t>
            </w:r>
          </w:p>
        </w:tc>
        <w:tc>
          <w:tcPr>
            <w:tcW w:w="900" w:type="dxa"/>
            <w:tcMar>
              <w:top w:w="60" w:type="dxa"/>
              <w:left w:w="80" w:type="dxa"/>
              <w:bottom w:w="60" w:type="dxa"/>
              <w:right w:w="80" w:type="dxa"/>
            </w:tcMar>
            <w:vAlign w:val="top"/>
          </w:tcPr>
          <w:p w14:paraId="7F11C875">
            <w:r>
              <w:rPr>
                <w:sz w:val="15"/>
                <w:szCs w:val="15"/>
              </w:rPr>
              <w:t>T1590.002</w:t>
            </w:r>
          </w:p>
        </w:tc>
        <w:tc>
          <w:tcPr>
            <w:tcW w:w="1600" w:type="dxa"/>
            <w:tcMar>
              <w:top w:w="60" w:type="dxa"/>
              <w:left w:w="80" w:type="dxa"/>
              <w:bottom w:w="60" w:type="dxa"/>
              <w:right w:w="80" w:type="dxa"/>
            </w:tcMar>
            <w:vAlign w:val="top"/>
          </w:tcPr>
          <w:p w14:paraId="7E8E582C">
            <w:r>
              <w:rPr>
                <w:sz w:val="15"/>
                <w:szCs w:val="15"/>
              </w:rPr>
              <w:t>Pkt 5–6</w:t>
            </w:r>
          </w:p>
        </w:tc>
        <w:tc>
          <w:tcPr>
            <w:tcW w:w="3300" w:type="dxa"/>
            <w:tcMar>
              <w:top w:w="60" w:type="dxa"/>
              <w:left w:w="80" w:type="dxa"/>
              <w:bottom w:w="60" w:type="dxa"/>
              <w:right w:w="80" w:type="dxa"/>
            </w:tcMar>
            <w:vAlign w:val="top"/>
          </w:tcPr>
          <w:p w14:paraId="7185CEDD">
            <w:r>
              <w:rPr>
                <w:sz w:val="15"/>
                <w:szCs w:val="15"/>
              </w:rPr>
              <w:t>Flagged host resolved the internal API server's hostname before any contact with the attacker IP — possible environment mapping ahead of the phishing traffic, not yet confirmed.</w:t>
            </w:r>
          </w:p>
        </w:tc>
      </w:tr>
      <w:tr w14:paraId="4126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shd w:val="clear" w:color="auto" w:fill="EEF2F8"/>
            <w:tcMar>
              <w:top w:w="60" w:type="dxa"/>
              <w:left w:w="80" w:type="dxa"/>
              <w:bottom w:w="60" w:type="dxa"/>
              <w:right w:w="80" w:type="dxa"/>
            </w:tcMar>
            <w:vAlign w:val="top"/>
          </w:tcPr>
          <w:p w14:paraId="1004CF1E">
            <w:r>
              <w:rPr>
                <w:sz w:val="15"/>
                <w:szCs w:val="15"/>
              </w:rPr>
              <w:t>6</w:t>
            </w:r>
          </w:p>
        </w:tc>
        <w:tc>
          <w:tcPr>
            <w:tcW w:w="1300" w:type="dxa"/>
            <w:shd w:val="clear" w:color="auto" w:fill="EEF2F8"/>
            <w:tcMar>
              <w:top w:w="60" w:type="dxa"/>
              <w:left w:w="80" w:type="dxa"/>
              <w:bottom w:w="60" w:type="dxa"/>
              <w:right w:w="80" w:type="dxa"/>
            </w:tcMar>
            <w:vAlign w:val="top"/>
          </w:tcPr>
          <w:p w14:paraId="3F07149E">
            <w:r>
              <w:rPr>
                <w:sz w:val="15"/>
                <w:szCs w:val="15"/>
              </w:rPr>
              <w:t>Command and Control / Exfiltration</w:t>
            </w:r>
          </w:p>
        </w:tc>
        <w:tc>
          <w:tcPr>
            <w:tcW w:w="2100" w:type="dxa"/>
            <w:shd w:val="clear" w:color="auto" w:fill="EEF2F8"/>
            <w:tcMar>
              <w:top w:w="60" w:type="dxa"/>
              <w:left w:w="80" w:type="dxa"/>
              <w:bottom w:w="60" w:type="dxa"/>
              <w:right w:w="80" w:type="dxa"/>
            </w:tcMar>
            <w:vAlign w:val="top"/>
          </w:tcPr>
          <w:p w14:paraId="1B47DE02">
            <w:r>
              <w:rPr>
                <w:sz w:val="15"/>
                <w:szCs w:val="15"/>
              </w:rPr>
              <w:t>Exfiltration Over C2 Channel</w:t>
            </w:r>
          </w:p>
        </w:tc>
        <w:tc>
          <w:tcPr>
            <w:tcW w:w="900" w:type="dxa"/>
            <w:shd w:val="clear" w:color="auto" w:fill="EEF2F8"/>
            <w:tcMar>
              <w:top w:w="60" w:type="dxa"/>
              <w:left w:w="80" w:type="dxa"/>
              <w:bottom w:w="60" w:type="dxa"/>
              <w:right w:w="80" w:type="dxa"/>
            </w:tcMar>
            <w:vAlign w:val="top"/>
          </w:tcPr>
          <w:p w14:paraId="55007E25">
            <w:r>
              <w:rPr>
                <w:sz w:val="15"/>
                <w:szCs w:val="15"/>
              </w:rPr>
              <w:t>T1041</w:t>
            </w:r>
          </w:p>
        </w:tc>
        <w:tc>
          <w:tcPr>
            <w:tcW w:w="1600" w:type="dxa"/>
            <w:shd w:val="clear" w:color="auto" w:fill="EEF2F8"/>
            <w:tcMar>
              <w:top w:w="60" w:type="dxa"/>
              <w:left w:w="80" w:type="dxa"/>
              <w:bottom w:w="60" w:type="dxa"/>
              <w:right w:w="80" w:type="dxa"/>
            </w:tcMar>
            <w:vAlign w:val="top"/>
          </w:tcPr>
          <w:p w14:paraId="3A810AE9">
            <w:r>
              <w:rPr>
                <w:sz w:val="15"/>
                <w:szCs w:val="15"/>
              </w:rPr>
              <w:t>Pkt 79–93</w:t>
            </w:r>
          </w:p>
        </w:tc>
        <w:tc>
          <w:tcPr>
            <w:tcW w:w="3300" w:type="dxa"/>
            <w:shd w:val="clear" w:color="auto" w:fill="EEF2F8"/>
            <w:tcMar>
              <w:top w:w="60" w:type="dxa"/>
              <w:left w:w="80" w:type="dxa"/>
              <w:bottom w:w="60" w:type="dxa"/>
              <w:right w:w="80" w:type="dxa"/>
            </w:tcMar>
            <w:vAlign w:val="top"/>
          </w:tcPr>
          <w:p w14:paraId="1A4E639E">
            <w:r>
              <w:rPr>
                <w:sz w:val="15"/>
                <w:szCs w:val="15"/>
              </w:rPr>
              <w:t>The same channel used for C2 beaconing is the most likely path for any data leaving the host; I have no direct packet showing large data leaving on this port, so this row is inferred from the open channel rather than observed.</w:t>
            </w:r>
          </w:p>
        </w:tc>
      </w:tr>
    </w:tbl>
    <w:p w14:paraId="141DA239">
      <w:pPr>
        <w:spacing w:before="200"/>
      </w:pPr>
    </w:p>
    <w:p w14:paraId="1B2F2F7D">
      <w:pPr>
        <w:pStyle w:val="3"/>
        <w:spacing w:before="220" w:after="120"/>
      </w:pPr>
      <w:r>
        <w:rPr>
          <w:b/>
          <w:bCs/>
          <w:color w:val="2B4C7E"/>
          <w:sz w:val="25"/>
          <w:szCs w:val="25"/>
        </w:rPr>
        <w:t>Narrative Summary</w:t>
      </w:r>
    </w:p>
    <w:p w14:paraId="2DC9450E">
      <w:pPr>
        <w:spacing w:after="160" w:line="280" w:lineRule="auto"/>
        <w:jc w:val="both"/>
      </w:pPr>
      <w:r>
        <w:rPr>
          <w:sz w:val="20"/>
          <w:szCs w:val="20"/>
        </w:rPr>
        <w:t xml:space="preserve">The chain, in order, looks like this. It likely began before this capture with </w:t>
      </w:r>
      <w:r>
        <w:rPr>
          <w:b/>
          <w:bCs/>
          <w:sz w:val="20"/>
          <w:szCs w:val="20"/>
        </w:rPr>
        <w:t>Reconnaissance</w:t>
      </w:r>
      <w:r>
        <w:rPr>
          <w:sz w:val="20"/>
          <w:szCs w:val="20"/>
        </w:rPr>
        <w:t xml:space="preserve"> — someone registered or acquired the lookalike domain gtbank-secure.net, which is outside what this capture can show. Inside the capture, the earliest suspicious sign is the flagged host resolving our own internal API hostname (</w:t>
      </w:r>
      <w:r>
        <w:rPr>
          <w:b/>
          <w:bCs/>
          <w:sz w:val="20"/>
          <w:szCs w:val="20"/>
        </w:rPr>
        <w:t>T1590.002</w:t>
      </w:r>
      <w:r>
        <w:rPr>
          <w:sz w:val="20"/>
          <w:szCs w:val="20"/>
        </w:rPr>
        <w:t xml:space="preserve">, Pkt 5–6) before anything else happens — possibly early environment mapping, though I want to be upfront that this is my weakest-evidenced step and could have an innocent explanation. </w:t>
      </w:r>
      <w:r>
        <w:rPr>
          <w:b/>
          <w:bCs/>
          <w:sz w:val="20"/>
          <w:szCs w:val="20"/>
        </w:rPr>
        <w:t>Delivery</w:t>
      </w:r>
      <w:r>
        <w:rPr>
          <w:sz w:val="20"/>
          <w:szCs w:val="20"/>
        </w:rPr>
        <w:t xml:space="preserve"> and </w:t>
      </w:r>
      <w:r>
        <w:rPr>
          <w:b/>
          <w:bCs/>
          <w:sz w:val="20"/>
          <w:szCs w:val="20"/>
        </w:rPr>
        <w:t>Exploitation</w:t>
      </w:r>
      <w:r>
        <w:rPr>
          <w:sz w:val="20"/>
          <w:szCs w:val="20"/>
        </w:rPr>
        <w:t xml:space="preserve"> happen together at Pkt 3–4 and Pkt 59–62: the host resolves the fake domain, requests the login page, and submits credentials (</w:t>
      </w:r>
      <w:r>
        <w:rPr>
          <w:b/>
          <w:bCs/>
          <w:sz w:val="20"/>
          <w:szCs w:val="20"/>
        </w:rPr>
        <w:t>T1566.002</w:t>
      </w:r>
      <w:r>
        <w:rPr>
          <w:sz w:val="20"/>
          <w:szCs w:val="20"/>
        </w:rPr>
        <w:t xml:space="preserve"> into </w:t>
      </w:r>
      <w:r>
        <w:rPr>
          <w:b/>
          <w:bCs/>
          <w:sz w:val="20"/>
          <w:szCs w:val="20"/>
        </w:rPr>
        <w:t>T1078</w:t>
      </w:r>
      <w:r>
        <w:rPr>
          <w:sz w:val="20"/>
          <w:szCs w:val="20"/>
        </w:rPr>
        <w:t xml:space="preserve">). </w:t>
      </w:r>
      <w:r>
        <w:rPr>
          <w:b/>
          <w:bCs/>
          <w:sz w:val="20"/>
          <w:szCs w:val="20"/>
        </w:rPr>
        <w:t>Installation</w:t>
      </w:r>
      <w:r>
        <w:rPr>
          <w:sz w:val="20"/>
          <w:szCs w:val="20"/>
        </w:rPr>
        <w:t xml:space="preserve"> is the one stage I cannot point to a specific packet for — something placed whatever is now listening and beaconing on the host, but that installation step itself is not visible in this capture. </w:t>
      </w:r>
      <w:r>
        <w:rPr>
          <w:b/>
          <w:bCs/>
          <w:sz w:val="20"/>
          <w:szCs w:val="20"/>
        </w:rPr>
        <w:t>Command &amp; Control</w:t>
      </w:r>
      <w:r>
        <w:rPr>
          <w:sz w:val="20"/>
          <w:szCs w:val="20"/>
        </w:rPr>
        <w:t xml:space="preserve"> is the clearest and most alarming stage: seven confirmed beacon check-ins to the same IP on port 4444 (</w:t>
      </w:r>
      <w:r>
        <w:rPr>
          <w:b/>
          <w:bCs/>
          <w:sz w:val="20"/>
          <w:szCs w:val="20"/>
        </w:rPr>
        <w:t>T1071</w:t>
      </w:r>
      <w:r>
        <w:rPr>
          <w:sz w:val="20"/>
          <w:szCs w:val="20"/>
        </w:rPr>
        <w:t xml:space="preserve">, Pkt 79–93), spaced roughly 10–15 seconds apart, still active at the end of the capture. Finally, </w:t>
      </w:r>
      <w:r>
        <w:rPr>
          <w:b/>
          <w:bCs/>
          <w:sz w:val="20"/>
          <w:szCs w:val="20"/>
        </w:rPr>
        <w:t>Actions on Objectives</w:t>
      </w:r>
      <w:r>
        <w:rPr>
          <w:sz w:val="20"/>
          <w:szCs w:val="20"/>
        </w:rPr>
        <w:t xml:space="preserve"> shows the attacker walking the victim through what look like account and transfer pages (Pkt 67, 72, 77) — consistent with a fintech-targeted credential harvest — and the open C2 channel means any further objective, including </w:t>
      </w:r>
      <w:r>
        <w:rPr>
          <w:b/>
          <w:bCs/>
          <w:sz w:val="20"/>
          <w:szCs w:val="20"/>
        </w:rPr>
        <w:t>Exfiltration</w:t>
      </w:r>
      <w:r>
        <w:rPr>
          <w:sz w:val="20"/>
          <w:szCs w:val="20"/>
        </w:rPr>
        <w:t xml:space="preserve"> (</w:t>
      </w:r>
      <w:r>
        <w:rPr>
          <w:b/>
          <w:bCs/>
          <w:sz w:val="20"/>
          <w:szCs w:val="20"/>
        </w:rPr>
        <w:t>T1041</w:t>
      </w:r>
      <w:r>
        <w:rPr>
          <w:sz w:val="20"/>
          <w:szCs w:val="20"/>
        </w:rPr>
        <w:t>), remains possible for as long as that host stays connected.</w:t>
      </w:r>
    </w:p>
    <w:p w14:paraId="392B5B6B">
      <w:r>
        <w:br w:type="page"/>
      </w:r>
    </w:p>
    <w:p w14:paraId="124316E4">
      <w:pPr>
        <w:pStyle w:val="2"/>
        <w:spacing w:before="300" w:after="160"/>
      </w:pPr>
      <w:r>
        <w:rPr>
          <w:b/>
          <w:bCs/>
          <w:color w:val="1A2B4C"/>
          <w:sz w:val="30"/>
          <w:szCs w:val="30"/>
        </w:rPr>
        <w:t>D4 — Judgment, Briefing &amp; Public Communication</w:t>
      </w:r>
    </w:p>
    <w:p w14:paraId="07C959FE">
      <w:pPr>
        <w:pStyle w:val="3"/>
        <w:spacing w:before="220" w:after="120"/>
      </w:pPr>
      <w:r>
        <w:rPr>
          <w:b/>
          <w:bCs/>
          <w:color w:val="2B4C7E"/>
          <w:sz w:val="25"/>
          <w:szCs w:val="25"/>
        </w:rPr>
        <w:t>Part A — Judgment Essay</w:t>
      </w:r>
    </w:p>
    <w:p w14:paraId="06468C7F">
      <w:pPr>
        <w:spacing w:after="160" w:line="280" w:lineRule="auto"/>
        <w:jc w:val="both"/>
      </w:pPr>
      <w:r>
        <w:rPr>
          <w:sz w:val="20"/>
          <w:szCs w:val="20"/>
        </w:rPr>
        <w:t>I would not log into the attacker's portal, and I'd say so to my colleague directly. What I'd actually do in the next two hours: first, isolate 192.168.1.105 from the network myself, since I already have that authority as the analyst on shift and the beaconing in Pkt 79–93 is still live — every minute it stays connected is a minute the attacker can act. Second, I'd document exactly what I have so far in the shift log: the credential POST at Pkt 62, the beacon pattern at Pkt 79–93, and the isolation action, timestamped. Third, since Nsikan is unreachable, I'd escalate to the CISO's office directly rather than wait until 17:00 — a live C2 channel on a fintech client's network is exactly the kind of thing that can't sit in a queue, even if it means interrupting a client meeting or leaving an urgent voicemail.</w:t>
      </w:r>
    </w:p>
    <w:p w14:paraId="72107BDD">
      <w:pPr>
        <w:spacing w:after="160" w:line="280" w:lineRule="auto"/>
        <w:jc w:val="both"/>
      </w:pPr>
      <w:r>
        <w:rPr>
          <w:sz w:val="20"/>
          <w:szCs w:val="20"/>
        </w:rPr>
        <w:t>What I would not do is log into the phishing portal with the harvested credentials, no matter how good the intelligence might sound. Those credentials belong to a real person, and using them — even to look at what the attacker collected — is accessing a computer system without proper authorisation. Under Nigeria's Cybercrimes Act, that is not a grey area just because our intentions are good; unauthorised access is unauthorised access regardless of who is doing it or why. I'd tell my colleague exactly that: it might feel like useful intelligence gathering, but it is also the one move in this whole incident that could turn us from the people responding to a crime into people who committed one.</w:t>
      </w:r>
    </w:p>
    <w:p w14:paraId="34D45142">
      <w:pPr>
        <w:spacing w:after="160" w:line="280" w:lineRule="auto"/>
        <w:jc w:val="both"/>
      </w:pPr>
      <w:r>
        <w:rPr>
          <w:sz w:val="20"/>
          <w:szCs w:val="20"/>
        </w:rPr>
        <w:t xml:space="preserve">The ISC2 canon that governs this is </w:t>
      </w:r>
      <w:r>
        <w:rPr>
          <w:b/>
          <w:bCs/>
          <w:sz w:val="20"/>
          <w:szCs w:val="20"/>
        </w:rPr>
        <w:t>Canon II — act honorably, honestly, justly, responsibly, and legally.</w:t>
      </w:r>
      <w:r>
        <w:rPr>
          <w:sz w:val="20"/>
          <w:szCs w:val="20"/>
        </w:rPr>
        <w:t xml:space="preserve"> It applies here in a very literal way, not a general one: the word “legally” is doing the work. My colleague's idea is well-intentioned, but it is not legally clean, and Canon II doesn't leave room for “well-intentioned but not legally clean” when better options — isolate the host, escalate, document — are available and don't carry that risk.</w:t>
      </w:r>
    </w:p>
    <w:p w14:paraId="4D9D4ABF">
      <w:pPr>
        <w:spacing w:after="160" w:line="280" w:lineRule="auto"/>
        <w:jc w:val="both"/>
      </w:pPr>
      <w:r>
        <w:rPr>
          <w:sz w:val="20"/>
          <w:szCs w:val="20"/>
        </w:rPr>
        <w:t>Shift handover note, written as I'd actually leave it: “192.168.1.105 isolated at [time] — confirmed credential phish via gtbank-secure.net (Pkt 3–4, 62), live C2 beacon to 45.33.32.156:4444 (Pkt 79–93). CISO escalated directly, Nsikan unreachable. Do NOT use harvested creds to access attacker portal — unauthorised access risk under Cybercrimes Act. Still need to check header on Pkt 110–111 (Bearer token) and confirm packet count on beacon (7 vs 8, see Pkt 91–92). — Hamzat.”</w:t>
      </w:r>
    </w:p>
    <w:p w14:paraId="77B1A869"/>
    <w:sectPr>
      <w:pgSz w:w="12240" w:h="15840"/>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compat>
    <w:compatSetting w:name="compatibilityMode" w:uri="http://schemas.microsoft.com/office/word" w:val="15"/>
  </w:compat>
  <w:rsids>
    <w:rsidRoot w:val="00000000"/>
    <w:rsid w:val="44846EF4"/>
    <w:rsid w:val="745C00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2033</Words>
  <Characters>10516</Characters>
  <TotalTime>30</TotalTime>
  <ScaleCrop>false</ScaleCrop>
  <LinksUpToDate>false</LinksUpToDate>
  <CharactersWithSpaces>12438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2026-07-14T10:19:00Z</dcterms:created>
  <dc:creator>Un-named</dc:creator>
  <cp:lastModifiedBy>Adeyemi</cp:lastModifiedBy>
  <dcterms:modified xsi:type="dcterms:W3CDTF">2026-07-14T17:49:27Z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eyJoZGlkIjoiNjJiZDc5NTRjYWMyNzA4YTIxYWVlOWExODhkMjBmYmYiLCJ1c2VySWQiOiIxNjY2NTA0NjY4MTkzIn0=</vt:lpwstr>
  </property>
  <property fmtid="{D5CDD505-2E9C-101B-9397-08002B2CF9AE}" pid="3" name="KSOProductBuildVer">
    <vt:lpwstr>1033-12.1.0.26880</vt:lpwstr>
  </property>
  <property fmtid="{D5CDD505-2E9C-101B-9397-08002B2CF9AE}" pid="4" name="ICV">
    <vt:lpwstr>F954D1D7BA414947B6C667015AB17A63_13</vt:lpwstr>
  </property>
</Properties>
</file>