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B957E">
      <w:pPr>
        <w:pStyle w:val="2"/>
        <w:spacing w:after="100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Vulnerability Assessment Note</w:t>
      </w:r>
    </w:p>
    <w:p w14:paraId="624E19F5">
      <w:pPr>
        <w:jc w:val="center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CVE-2026-90771 and CVE-2026-90770 — CVSS v4.0 and v3.1 Findings</w:t>
      </w:r>
    </w:p>
    <w:p w14:paraId="0F5BF18D">
      <w:pPr>
        <w:spacing w:after="300"/>
        <w:rPr>
          <w:rFonts w:hint="default" w:ascii="Times New Roman" w:hAnsi="Times New Roman" w:cs="Times New Roman"/>
          <w:color w:val="auto"/>
        </w:rPr>
      </w:pPr>
    </w:p>
    <w:p w14:paraId="60A452BE">
      <w:pPr>
        <w:pStyle w:val="3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CVE-2026-90771</w:t>
      </w:r>
    </w:p>
    <w:p w14:paraId="6E9CC1E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443605" cy="1937385"/>
            <wp:effectExtent l="0" t="0" r="4445" b="5715"/>
            <wp:docPr id="7" name="Picture 7" descr="Screenshot 2026-09-14 113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4 1131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F6C007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In joi before versions 17.13.8 and 18.2.9, the messages compilation function accepts proto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as an error code. An attacker can supply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proto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keys in custom messages to overwrite the returned object's prototype, breaking downstream code that relies on Object.prototype methods.</w:t>
      </w:r>
    </w:p>
    <w:p w14:paraId="6ED2694F">
      <w:pPr>
        <w:spacing w:after="1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 xml:space="preserve">CWE: 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CWE-1321 — Improperly Controlled Modification of Object Prototype Attributes</w:t>
      </w:r>
    </w:p>
    <w:p w14:paraId="7FCCA554">
      <w:pPr>
        <w:spacing w:after="100"/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drawing>
          <wp:inline distT="0" distB="0" distL="114300" distR="114300">
            <wp:extent cx="3642995" cy="2048510"/>
            <wp:effectExtent l="0" t="0" r="14605" b="8890"/>
            <wp:docPr id="1" name="Picture 1" descr="Screenshot 2026-09-14 11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4 1130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5DAF">
      <w:pPr>
        <w:spacing w:before="15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CVSS v4.0 Score: 6.3 (Medium)</w:t>
      </w:r>
    </w:p>
    <w:p w14:paraId="1D88C8CD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Vector: AV:N/AC:H/AT:P/PR:N/UI:N/VC:N/VI:L/VA:N/SC:N/SI:N/SA:N</w:t>
      </w:r>
    </w:p>
    <w:p w14:paraId="5FD95F91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Network-reachable, no privileges or user interaction required</w:t>
      </w:r>
    </w:p>
    <w:p w14:paraId="0598014B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High attack complexity; specific attack requirements present (AT:P)</w:t>
      </w:r>
    </w:p>
    <w:p w14:paraId="69569A1D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Impact limited to low integrity loss on the vulnerable system only</w:t>
      </w:r>
    </w:p>
    <w:p w14:paraId="6261C241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No confidentiality or availability impact; no subsequent-system impact</w:t>
      </w:r>
    </w:p>
    <w:p w14:paraId="5F0C0ED3">
      <w:pPr>
        <w:pStyle w:val="16"/>
        <w:numPr>
          <w:numId w:val="0"/>
        </w:numPr>
        <w:spacing w:after="80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drawing>
          <wp:inline distT="0" distB="0" distL="114300" distR="114300">
            <wp:extent cx="4081780" cy="1549400"/>
            <wp:effectExtent l="0" t="0" r="13970" b="12700"/>
            <wp:docPr id="5" name="Picture 5" descr="Screenshot 2026-09-14 11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4 1138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8DA0">
      <w:pPr>
        <w:spacing w:before="15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CVSS v3.1 Score: 3.7 (Low)</w:t>
      </w:r>
    </w:p>
    <w:p w14:paraId="2C572AD1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Vector: AV:N/AC:H/PR:N/UI:N/S:U/C:N/I:L/A:N</w:t>
      </w:r>
    </w:p>
    <w:p w14:paraId="45614FEB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Same overall shape as v4.0: network vector, high complexity</w:t>
      </w:r>
    </w:p>
    <w:p w14:paraId="4B2E56E4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Only low integrity impact; no confidentiality or availability impact</w:t>
      </w:r>
    </w:p>
    <w:p w14:paraId="0AF52F41">
      <w:pPr>
        <w:pStyle w:val="3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CVE-2026-90770</w:t>
      </w:r>
    </w:p>
    <w:p w14:paraId="4386533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811270" cy="2144395"/>
            <wp:effectExtent l="0" t="0" r="17780" b="8255"/>
            <wp:docPr id="8" name="Picture 8" descr="Screenshot 2026-09-14 11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14 1158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BCE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Findings recorded from the CVSS calculators for this CVE across both scoring versions.</w:t>
      </w:r>
    </w:p>
    <w:p w14:paraId="19AE4EC0">
      <w:pPr>
        <w:spacing w:before="150" w:after="80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CVSS v4.0 Score: 8.7 (High)</w:t>
      </w:r>
    </w:p>
    <w:p w14:paraId="7CAEEBD0">
      <w:pPr>
        <w:spacing w:before="150" w:after="80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3891280" cy="2188210"/>
            <wp:effectExtent l="0" t="0" r="13970" b="2540"/>
            <wp:docPr id="9" name="Picture 9" descr="Screenshot 2026-09-14 11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14 1140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3B20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Vector: AV:N/AC:L/AT:N/PR:L/UI:N/VC:H/VI:H/VA:H/SC:N/SI:N/SA:N</w:t>
      </w:r>
    </w:p>
    <w:p w14:paraId="43AABCC4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Network-reachable, low attack complexity, no attack requirements</w:t>
      </w:r>
    </w:p>
    <w:p w14:paraId="322E360F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Only low privileges needed; no user interaction required</w:t>
      </w:r>
    </w:p>
    <w:p w14:paraId="027535C9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Full High impact to confidentiality, integrity, and availability on the vulnerable system</w:t>
      </w:r>
    </w:p>
    <w:p w14:paraId="42D6518F">
      <w:pPr>
        <w:spacing w:before="150" w:after="80"/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</w:rPr>
        <w:t>CVSS v3.1 Score: 9.8 (Critical)</w:t>
      </w:r>
    </w:p>
    <w:p w14:paraId="3504A370">
      <w:pPr>
        <w:spacing w:before="150" w:after="80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3813810" cy="1542415"/>
            <wp:effectExtent l="0" t="0" r="15240" b="635"/>
            <wp:docPr id="11" name="Picture 11" descr="Screenshot 2026-09-14 11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14 1143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C34B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Vector: AV:N/AC:L/PR:N/UI:N/S:U/C:H/I:H/A:H</w:t>
      </w:r>
    </w:p>
    <w:p w14:paraId="43A2568E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Fully unauthenticated, low complexity, full CIA impact</w:t>
      </w:r>
    </w:p>
    <w:p w14:paraId="74855D2C">
      <w:pPr>
        <w:pStyle w:val="16"/>
        <w:numPr>
          <w:ilvl w:val="0"/>
          <w:numId w:val="1"/>
        </w:numPr>
        <w:spacing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Near the top of the v3.1 severity scale</w:t>
      </w:r>
    </w:p>
    <w:p w14:paraId="025CB700">
      <w:pPr>
        <w:pStyle w:val="3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Comparison — CVSS v4.0: CVE-2026-90771 vs CVE-2026-90770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2B42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auto"/>
          </w:tcPr>
          <w:p w14:paraId="4FEE2BA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Metric</w:t>
            </w:r>
          </w:p>
        </w:tc>
        <w:tc>
          <w:tcPr>
            <w:tcW w:w="3280" w:type="dxa"/>
            <w:shd w:val="clear" w:color="auto" w:fill="auto"/>
          </w:tcPr>
          <w:p w14:paraId="7CA06AD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CVE-2026-90771</w:t>
            </w:r>
          </w:p>
        </w:tc>
        <w:tc>
          <w:tcPr>
            <w:tcW w:w="3280" w:type="dxa"/>
            <w:shd w:val="clear" w:color="auto" w:fill="auto"/>
          </w:tcPr>
          <w:p w14:paraId="6D231A4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CVE-2026-90770</w:t>
            </w:r>
          </w:p>
        </w:tc>
      </w:tr>
      <w:tr w14:paraId="5955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21FC731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Score</w:t>
            </w:r>
          </w:p>
        </w:tc>
        <w:tc>
          <w:tcPr>
            <w:tcW w:w="3280" w:type="dxa"/>
            <w:shd w:val="clear" w:color="auto" w:fill="auto"/>
          </w:tcPr>
          <w:p w14:paraId="3D84436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6.3 (Medium)</w:t>
            </w:r>
          </w:p>
        </w:tc>
        <w:tc>
          <w:tcPr>
            <w:tcW w:w="3280" w:type="dxa"/>
            <w:shd w:val="clear" w:color="auto" w:fill="auto"/>
          </w:tcPr>
          <w:p w14:paraId="3866521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8.7 (High)</w:t>
            </w:r>
          </w:p>
        </w:tc>
      </w:tr>
      <w:tr w14:paraId="0E59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08E543F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Attack Complexity (AC)</w:t>
            </w:r>
          </w:p>
        </w:tc>
        <w:tc>
          <w:tcPr>
            <w:tcW w:w="3280" w:type="dxa"/>
            <w:shd w:val="clear" w:color="auto" w:fill="auto"/>
          </w:tcPr>
          <w:p w14:paraId="0C2D40C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High</w:t>
            </w:r>
          </w:p>
        </w:tc>
        <w:tc>
          <w:tcPr>
            <w:tcW w:w="3280" w:type="dxa"/>
            <w:shd w:val="clear" w:color="auto" w:fill="auto"/>
          </w:tcPr>
          <w:p w14:paraId="476DEA2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Low</w:t>
            </w:r>
          </w:p>
        </w:tc>
      </w:tr>
      <w:tr w14:paraId="4528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5F257B7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Attack Requirements (AT)</w:t>
            </w:r>
          </w:p>
        </w:tc>
        <w:tc>
          <w:tcPr>
            <w:tcW w:w="3280" w:type="dxa"/>
            <w:shd w:val="clear" w:color="auto" w:fill="auto"/>
          </w:tcPr>
          <w:p w14:paraId="6F90DB1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Present</w:t>
            </w:r>
          </w:p>
        </w:tc>
        <w:tc>
          <w:tcPr>
            <w:tcW w:w="3280" w:type="dxa"/>
            <w:shd w:val="clear" w:color="auto" w:fill="auto"/>
          </w:tcPr>
          <w:p w14:paraId="2ABEBC0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</w:t>
            </w:r>
          </w:p>
        </w:tc>
      </w:tr>
      <w:tr w14:paraId="20DD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1F6AB8E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Privileges Required (PR)</w:t>
            </w:r>
          </w:p>
        </w:tc>
        <w:tc>
          <w:tcPr>
            <w:tcW w:w="3280" w:type="dxa"/>
            <w:shd w:val="clear" w:color="auto" w:fill="auto"/>
          </w:tcPr>
          <w:p w14:paraId="5B4ECB2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</w:t>
            </w:r>
          </w:p>
        </w:tc>
        <w:tc>
          <w:tcPr>
            <w:tcW w:w="3280" w:type="dxa"/>
            <w:shd w:val="clear" w:color="auto" w:fill="auto"/>
          </w:tcPr>
          <w:p w14:paraId="50C8973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Low</w:t>
            </w:r>
          </w:p>
        </w:tc>
      </w:tr>
      <w:tr w14:paraId="23C9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32C2F78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Confidentiality / Integrity / Availability (Vuln. System)</w:t>
            </w:r>
          </w:p>
        </w:tc>
        <w:tc>
          <w:tcPr>
            <w:tcW w:w="3280" w:type="dxa"/>
            <w:shd w:val="clear" w:color="auto" w:fill="auto"/>
          </w:tcPr>
          <w:p w14:paraId="3EBD674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 / Low / None</w:t>
            </w:r>
          </w:p>
        </w:tc>
        <w:tc>
          <w:tcPr>
            <w:tcW w:w="3280" w:type="dxa"/>
            <w:shd w:val="clear" w:color="auto" w:fill="auto"/>
          </w:tcPr>
          <w:p w14:paraId="1878595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High / High / High</w:t>
            </w:r>
          </w:p>
        </w:tc>
      </w:tr>
    </w:tbl>
    <w:p w14:paraId="11E578B2">
      <w:pPr>
        <w:spacing w:before="200" w:after="2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90770 is far more severe under v4.0: it is trivially exploitable (low complexity, no special conditions) and causes full compromise of confidentiality, integrity, and availability. 90771 is much harder to exploit (high complexity, attack requirements present) and only causes a limited integrity issue — essentially a data-integrity/logic-corruption bug rather than a full compromise.</w:t>
      </w:r>
    </w:p>
    <w:p w14:paraId="06D9001F">
      <w:pPr>
        <w:pStyle w:val="3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Comparison — CVSS v3.1: CVE-2026-90771 vs CVE-2026-90770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4FE1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auto"/>
          </w:tcPr>
          <w:p w14:paraId="75DCFFE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Metric</w:t>
            </w:r>
          </w:p>
        </w:tc>
        <w:tc>
          <w:tcPr>
            <w:tcW w:w="3280" w:type="dxa"/>
            <w:shd w:val="clear" w:color="auto" w:fill="auto"/>
          </w:tcPr>
          <w:p w14:paraId="78467A1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CVE-2026-90771</w:t>
            </w:r>
          </w:p>
        </w:tc>
        <w:tc>
          <w:tcPr>
            <w:tcW w:w="3280" w:type="dxa"/>
            <w:shd w:val="clear" w:color="auto" w:fill="auto"/>
          </w:tcPr>
          <w:p w14:paraId="55D73B6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CVE-2026-90770</w:t>
            </w:r>
          </w:p>
        </w:tc>
      </w:tr>
      <w:tr w14:paraId="43C4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39A074D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Score</w:t>
            </w:r>
          </w:p>
        </w:tc>
        <w:tc>
          <w:tcPr>
            <w:tcW w:w="3280" w:type="dxa"/>
            <w:shd w:val="clear" w:color="auto" w:fill="auto"/>
          </w:tcPr>
          <w:p w14:paraId="4C1C27A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3.7 (Low)</w:t>
            </w:r>
          </w:p>
        </w:tc>
        <w:tc>
          <w:tcPr>
            <w:tcW w:w="3280" w:type="dxa"/>
            <w:shd w:val="clear" w:color="auto" w:fill="auto"/>
          </w:tcPr>
          <w:p w14:paraId="3F697E9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9.8 (Critical)</w:t>
            </w:r>
          </w:p>
        </w:tc>
      </w:tr>
      <w:tr w14:paraId="0D3C5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7C4826B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Attack Complexity (AC)</w:t>
            </w:r>
          </w:p>
        </w:tc>
        <w:tc>
          <w:tcPr>
            <w:tcW w:w="3280" w:type="dxa"/>
            <w:shd w:val="clear" w:color="auto" w:fill="auto"/>
          </w:tcPr>
          <w:p w14:paraId="59D6CE9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High</w:t>
            </w:r>
          </w:p>
        </w:tc>
        <w:tc>
          <w:tcPr>
            <w:tcW w:w="3280" w:type="dxa"/>
            <w:shd w:val="clear" w:color="auto" w:fill="auto"/>
          </w:tcPr>
          <w:p w14:paraId="654ABC0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Low</w:t>
            </w:r>
          </w:p>
        </w:tc>
      </w:tr>
      <w:tr w14:paraId="48AB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21525F4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Privileges Required (PR)</w:t>
            </w:r>
          </w:p>
        </w:tc>
        <w:tc>
          <w:tcPr>
            <w:tcW w:w="3280" w:type="dxa"/>
            <w:shd w:val="clear" w:color="auto" w:fill="auto"/>
          </w:tcPr>
          <w:p w14:paraId="58D5FDC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</w:t>
            </w:r>
          </w:p>
        </w:tc>
        <w:tc>
          <w:tcPr>
            <w:tcW w:w="3280" w:type="dxa"/>
            <w:shd w:val="clear" w:color="auto" w:fill="auto"/>
          </w:tcPr>
          <w:p w14:paraId="19F6202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</w:t>
            </w:r>
          </w:p>
        </w:tc>
      </w:tr>
      <w:tr w14:paraId="6287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shd w:val="clear" w:color="auto" w:fill="auto"/>
          </w:tcPr>
          <w:p w14:paraId="475507B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Confidentiality / Integrity / Availability</w:t>
            </w:r>
          </w:p>
        </w:tc>
        <w:tc>
          <w:tcPr>
            <w:tcW w:w="3280" w:type="dxa"/>
            <w:shd w:val="clear" w:color="auto" w:fill="auto"/>
          </w:tcPr>
          <w:p w14:paraId="131E9D2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None / Low / None</w:t>
            </w:r>
          </w:p>
        </w:tc>
        <w:tc>
          <w:tcPr>
            <w:tcW w:w="3280" w:type="dxa"/>
            <w:shd w:val="clear" w:color="auto" w:fill="auto"/>
          </w:tcPr>
          <w:p w14:paraId="3C140CE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High / High / High</w:t>
            </w:r>
          </w:p>
        </w:tc>
      </w:tr>
    </w:tbl>
    <w:p w14:paraId="2D9C909F">
      <w:pPr>
        <w:spacing w:before="200" w:after="30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The gap is even starker under v3.1: 90770 scores near the top of the scale (9.8, Critical), since v3.1 lacks the Attack Requirements and PR-granularity refinements of v4.0 — it is simply easy to exploit with full impact. 90771 stays Low, reflecting its narrow, integrity-only impact and high attack complexity.</w:t>
      </w:r>
    </w:p>
    <w:p w14:paraId="04231E5B">
      <w:pPr>
        <w:spacing w:before="200" w:after="300"/>
        <w:rPr>
          <w:rFonts w:hint="default" w:ascii="Times New Roman" w:hAnsi="Times New Roman" w:cs="Times New Roman"/>
          <w:color w:val="auto"/>
          <w:sz w:val="22"/>
          <w:szCs w:val="22"/>
        </w:rPr>
      </w:pPr>
    </w:p>
    <w:p w14:paraId="5585B40B">
      <w:pPr>
        <w:pStyle w:val="3"/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Conclusion</w:t>
      </w:r>
    </w:p>
    <w:p w14:paraId="39260AE6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CVE-2026-90770 should be prioritized well above CVE-2026-90771 for remediation under both scoring frameworks. 90770 is a low-effort, high-impact vulnerability warranting urgent patching, while 90771 is a constrained prototype-pollution issue in joi with a limited real-world blast radius.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A75916"/>
    <w:rsid w:val="49901EC0"/>
    <w:rsid w:val="62727A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431</Words>
  <Characters>2798</Characters>
  <TotalTime>6</TotalTime>
  <ScaleCrop>false</ScaleCrop>
  <LinksUpToDate>false</LinksUpToDate>
  <CharactersWithSpaces>3164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2026-09-14T10:49:00Z</dcterms:created>
  <dc:creator>Un-named</dc:creator>
  <cp:lastModifiedBy>Adeyemi</cp:lastModifiedBy>
  <dcterms:modified xsi:type="dcterms:W3CDTF">2026-09-14T11:12:42Z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eyJoZGlkIjoiNjJiZDc5NTRjYWMyNzA4YTIxYWVlOWExODhkMjBmYmYiLCJ1c2VySWQiOiIxNjY2NTA0NjY4MTkzIn0=</vt:lpwstr>
  </property>
  <property fmtid="{D5CDD505-2E9C-101B-9397-08002B2CF9AE}" pid="3" name="KSOProductBuildVer">
    <vt:lpwstr>1033-12.1.0.28485</vt:lpwstr>
  </property>
  <property fmtid="{D5CDD505-2E9C-101B-9397-08002B2CF9AE}" pid="4" name="ICV">
    <vt:lpwstr>C88FA101226941688C16CE68D1FC6D88_13</vt:lpwstr>
  </property>
</Properties>
</file>