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7D158F">
      <w:pPr>
        <w:spacing w:before="1600" w:line="360" w:lineRule="auto"/>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GLOBALTECH</w:t>
      </w:r>
    </w:p>
    <w:p w14:paraId="261BA5E0">
      <w:pPr>
        <w:spacing w:after="200"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Cybersecurity Internship </w:t>
      </w:r>
    </w:p>
    <w:p w14:paraId="16301990">
      <w:pPr>
        <w:spacing w:before="400" w:after="100" w:line="360" w:lineRule="auto"/>
        <w:jc w:val="center"/>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WEEK 5 — OPERATION GOVERNANCE</w:t>
      </w:r>
    </w:p>
    <w:p w14:paraId="1F55A656">
      <w:pPr>
        <w:spacing w:after="600" w:line="360" w:lineRule="auto"/>
        <w:jc w:val="center"/>
        <w:rPr>
          <w:rFonts w:hint="default" w:ascii="Times New Roman" w:hAnsi="Times New Roman" w:cs="Times New Roman"/>
          <w:i/>
          <w:iCs/>
          <w:color w:val="auto"/>
          <w:sz w:val="24"/>
          <w:szCs w:val="24"/>
        </w:rPr>
      </w:pPr>
      <w:r>
        <w:rPr>
          <w:rFonts w:hint="default" w:ascii="Times New Roman" w:hAnsi="Times New Roman" w:cs="Times New Roman"/>
          <w:i/>
          <w:iCs/>
          <w:color w:val="auto"/>
          <w:sz w:val="24"/>
          <w:szCs w:val="24"/>
        </w:rPr>
        <w:t>Governance, Risk &amp; Compliance — Cross-Case Analysis</w:t>
      </w:r>
    </w:p>
    <w:p w14:paraId="32033913">
      <w:pPr>
        <w:spacing w:after="60"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Cases: Week 2 — Operation Hollow Bank (TC.Solutions Fintech) · Week 4 — Operation Frozen Trail (Frozen Yoghurt Ltd)</w:t>
      </w:r>
    </w:p>
    <w:p w14:paraId="58FF043A">
      <w:pPr>
        <w:spacing w:after="600" w:line="360" w:lineRule="auto"/>
        <w:jc w:val="center"/>
        <w:rPr>
          <w:rFonts w:hint="default" w:ascii="Times New Roman" w:hAnsi="Times New Roman" w:cs="Times New Roman"/>
          <w:i/>
          <w:iCs/>
          <w:color w:val="auto"/>
          <w:sz w:val="24"/>
          <w:szCs w:val="24"/>
        </w:rPr>
      </w:pPr>
    </w:p>
    <w:p w14:paraId="13BB16C4">
      <w:pPr>
        <w:spacing w:after="600" w:line="360" w:lineRule="auto"/>
        <w:jc w:val="center"/>
        <w:rPr>
          <w:rFonts w:hint="default" w:ascii="Times New Roman" w:hAnsi="Times New Roman" w:cs="Times New Roman"/>
          <w:i/>
          <w:iCs/>
          <w:color w:val="auto"/>
          <w:sz w:val="24"/>
          <w:szCs w:val="24"/>
        </w:rPr>
      </w:pPr>
    </w:p>
    <w:p w14:paraId="606BEDAE">
      <w:pPr>
        <w:spacing w:after="600" w:line="360" w:lineRule="auto"/>
        <w:jc w:val="center"/>
        <w:rPr>
          <w:rFonts w:hint="default" w:ascii="Times New Roman" w:hAnsi="Times New Roman" w:cs="Times New Roman"/>
          <w:i/>
          <w:iCs/>
          <w:color w:val="auto"/>
          <w:sz w:val="24"/>
          <w:szCs w:val="24"/>
        </w:rPr>
      </w:pPr>
    </w:p>
    <w:p w14:paraId="0B1C4213">
      <w:pPr>
        <w:spacing w:after="600" w:line="360" w:lineRule="auto"/>
        <w:jc w:val="center"/>
        <w:rPr>
          <w:rFonts w:hint="default" w:ascii="Times New Roman" w:hAnsi="Times New Roman" w:cs="Times New Roman"/>
          <w:i/>
          <w:iCs/>
          <w:color w:val="auto"/>
          <w:sz w:val="24"/>
          <w:szCs w:val="24"/>
        </w:rPr>
      </w:pPr>
    </w:p>
    <w:p w14:paraId="1C5CB98C">
      <w:pPr>
        <w:spacing w:after="600" w:line="360" w:lineRule="auto"/>
        <w:jc w:val="center"/>
        <w:rPr>
          <w:rFonts w:hint="default" w:ascii="Times New Roman" w:hAnsi="Times New Roman" w:cs="Times New Roman"/>
          <w:i/>
          <w:iCs/>
          <w:color w:val="auto"/>
          <w:sz w:val="24"/>
          <w:szCs w:val="24"/>
        </w:rPr>
      </w:pPr>
    </w:p>
    <w:p w14:paraId="14EFE877">
      <w:pPr>
        <w:spacing w:before="800" w:after="60" w:line="360" w:lineRule="auto"/>
        <w:jc w:val="center"/>
        <w:rPr>
          <w:rFonts w:hint="default" w:ascii="Times New Roman" w:hAnsi="Times New Roman" w:cs="Times New Roman"/>
          <w:color w:val="auto"/>
          <w:sz w:val="24"/>
          <w:szCs w:val="24"/>
          <w:lang w:val="en-US"/>
        </w:rPr>
      </w:pPr>
      <w:r>
        <w:rPr>
          <w:rFonts w:hint="default" w:ascii="Times New Roman" w:hAnsi="Times New Roman" w:cs="Times New Roman"/>
          <w:color w:val="auto"/>
          <w:sz w:val="24"/>
          <w:szCs w:val="24"/>
        </w:rPr>
        <w:t xml:space="preserve">Prepared by: </w:t>
      </w:r>
      <w:r>
        <w:rPr>
          <w:rFonts w:hint="default" w:ascii="Times New Roman" w:hAnsi="Times New Roman" w:cs="Times New Roman"/>
          <w:b/>
          <w:bCs/>
          <w:i/>
          <w:iCs/>
          <w:color w:val="auto"/>
          <w:sz w:val="24"/>
          <w:szCs w:val="24"/>
        </w:rPr>
        <w:t xml:space="preserve">Hamzat </w:t>
      </w:r>
      <w:r>
        <w:rPr>
          <w:rFonts w:hint="default" w:ascii="Times New Roman" w:hAnsi="Times New Roman" w:cs="Times New Roman"/>
          <w:b/>
          <w:bCs/>
          <w:i/>
          <w:iCs/>
          <w:color w:val="auto"/>
          <w:sz w:val="24"/>
          <w:szCs w:val="24"/>
          <w:lang w:val="en-US"/>
        </w:rPr>
        <w:t>Adeyemi</w:t>
      </w:r>
    </w:p>
    <w:p w14:paraId="472CD741">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40D49737">
      <w:pPr>
        <w:spacing w:line="360" w:lineRule="auto"/>
        <w:rPr>
          <w:rFonts w:hint="default" w:ascii="Times New Roman" w:hAnsi="Times New Roman" w:cs="Times New Roman"/>
          <w:color w:val="auto"/>
          <w:sz w:val="24"/>
          <w:szCs w:val="24"/>
        </w:rPr>
        <w:sectPr>
          <w:pgSz w:w="12240" w:h="15840"/>
          <w:pgMar w:top="1440" w:right="1440" w:bottom="1440" w:left="1440" w:header="708" w:footer="708" w:gutter="0"/>
          <w:cols w:space="720" w:num="1"/>
          <w:docGrid w:linePitch="360" w:charSpace="0"/>
        </w:sectPr>
      </w:pPr>
    </w:p>
    <w:p w14:paraId="4AD1328E">
      <w:pPr>
        <w:spacing w:after="140" w:line="360" w:lineRule="auto"/>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R1 || DUAL CLIENT RISK REGISTER</w:t>
      </w:r>
    </w:p>
    <w:p w14:paraId="1AAD3B0C">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register records the risks identified from the Week 2 (TC.Solutions Fintech) and Week 4 (Frozen Yoghurt Ltd) investigations. Every row is traceable to a specific evidence item in the Evidence Source column. Risk Rating is derived from a Likelihood × Impact matrix: CRITICAL = H+H; HIGH = H+M or M+H; MEDIUM = M+M or H+L; LOW = L+L or M+L.</w:t>
      </w:r>
    </w:p>
    <w:p w14:paraId="21F0A1E6">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Section A — TC.Solutions Fintech (Nigeria) Risk Register</w:t>
      </w:r>
    </w:p>
    <w:p w14:paraId="0A1176AB">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Regulatory context: CBN Risk-Based Cybersecurity Framework, NDPA 2023, PCI DSS v4.0.</w:t>
      </w:r>
    </w:p>
    <w:tbl>
      <w:tblPr>
        <w:tblStyle w:val="9"/>
        <w:tblW w:w="14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7"/>
        <w:gridCol w:w="1953"/>
        <w:gridCol w:w="2040"/>
        <w:gridCol w:w="1347"/>
        <w:gridCol w:w="2221"/>
        <w:gridCol w:w="2359"/>
        <w:gridCol w:w="1466"/>
        <w:gridCol w:w="654"/>
        <w:gridCol w:w="1853"/>
      </w:tblGrid>
      <w:tr w14:paraId="72FEA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0" w:type="dxa"/>
            <w:shd w:val="clear" w:color="auto" w:fill="auto"/>
            <w:tcMar>
              <w:top w:w="60" w:type="dxa"/>
              <w:left w:w="80" w:type="dxa"/>
              <w:bottom w:w="60" w:type="dxa"/>
              <w:right w:w="80" w:type="dxa"/>
            </w:tcMar>
            <w:vAlign w:val="center"/>
          </w:tcPr>
          <w:p w14:paraId="25020D27">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shd w:val="clear"/>
              </w:rPr>
              <w:t>ID</w:t>
            </w:r>
          </w:p>
        </w:tc>
        <w:tc>
          <w:tcPr>
            <w:tcW w:w="2036" w:type="dxa"/>
            <w:shd w:val="clear" w:color="auto" w:fill="auto"/>
            <w:tcMar>
              <w:top w:w="60" w:type="dxa"/>
              <w:left w:w="80" w:type="dxa"/>
              <w:bottom w:w="60" w:type="dxa"/>
              <w:right w:w="80" w:type="dxa"/>
            </w:tcMar>
            <w:vAlign w:val="center"/>
          </w:tcPr>
          <w:p w14:paraId="02D93D4C">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Title &amp; Description</w:t>
            </w:r>
          </w:p>
        </w:tc>
        <w:tc>
          <w:tcPr>
            <w:tcW w:w="1960" w:type="dxa"/>
            <w:shd w:val="clear" w:color="auto" w:fill="auto"/>
            <w:tcMar>
              <w:top w:w="60" w:type="dxa"/>
              <w:left w:w="80" w:type="dxa"/>
              <w:bottom w:w="60" w:type="dxa"/>
              <w:right w:w="80" w:type="dxa"/>
            </w:tcMar>
            <w:vAlign w:val="center"/>
          </w:tcPr>
          <w:p w14:paraId="3340408C">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Asset(s) / Threat Source</w:t>
            </w:r>
          </w:p>
        </w:tc>
        <w:tc>
          <w:tcPr>
            <w:tcW w:w="1320" w:type="dxa"/>
            <w:shd w:val="clear" w:color="auto" w:fill="auto"/>
            <w:tcMar>
              <w:top w:w="60" w:type="dxa"/>
              <w:left w:w="80" w:type="dxa"/>
              <w:bottom w:w="60" w:type="dxa"/>
              <w:right w:w="80" w:type="dxa"/>
            </w:tcMar>
            <w:vAlign w:val="center"/>
          </w:tcPr>
          <w:p w14:paraId="170A870C">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 / Impact / Rating</w:t>
            </w:r>
          </w:p>
        </w:tc>
        <w:tc>
          <w:tcPr>
            <w:tcW w:w="2338" w:type="dxa"/>
            <w:shd w:val="clear" w:color="auto" w:fill="auto"/>
            <w:tcMar>
              <w:top w:w="60" w:type="dxa"/>
              <w:left w:w="80" w:type="dxa"/>
              <w:bottom w:w="60" w:type="dxa"/>
              <w:right w:w="80" w:type="dxa"/>
            </w:tcMar>
            <w:vAlign w:val="center"/>
          </w:tcPr>
          <w:p w14:paraId="4FE04CC6">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Current Controls / Control Gap</w:t>
            </w:r>
          </w:p>
        </w:tc>
        <w:tc>
          <w:tcPr>
            <w:tcW w:w="2489" w:type="dxa"/>
            <w:shd w:val="clear" w:color="auto" w:fill="auto"/>
            <w:tcMar>
              <w:top w:w="60" w:type="dxa"/>
              <w:left w:w="80" w:type="dxa"/>
              <w:bottom w:w="60" w:type="dxa"/>
              <w:right w:w="80" w:type="dxa"/>
            </w:tcMar>
            <w:vAlign w:val="center"/>
          </w:tcPr>
          <w:p w14:paraId="199797BF">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Recommended Treatment</w:t>
            </w:r>
          </w:p>
        </w:tc>
        <w:tc>
          <w:tcPr>
            <w:tcW w:w="1282" w:type="dxa"/>
            <w:shd w:val="clear" w:color="auto" w:fill="auto"/>
            <w:tcMar>
              <w:top w:w="60" w:type="dxa"/>
              <w:left w:w="80" w:type="dxa"/>
              <w:bottom w:w="60" w:type="dxa"/>
              <w:right w:w="80" w:type="dxa"/>
            </w:tcMar>
            <w:vAlign w:val="center"/>
          </w:tcPr>
          <w:p w14:paraId="12BA009A">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Owner (Role)</w:t>
            </w:r>
          </w:p>
        </w:tc>
        <w:tc>
          <w:tcPr>
            <w:tcW w:w="679" w:type="dxa"/>
            <w:shd w:val="clear" w:color="auto" w:fill="auto"/>
            <w:tcMar>
              <w:top w:w="60" w:type="dxa"/>
              <w:left w:w="80" w:type="dxa"/>
              <w:bottom w:w="60" w:type="dxa"/>
              <w:right w:w="80" w:type="dxa"/>
            </w:tcMar>
            <w:vAlign w:val="center"/>
          </w:tcPr>
          <w:p w14:paraId="170264BC">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w:t>
            </w:r>
          </w:p>
        </w:tc>
        <w:tc>
          <w:tcPr>
            <w:tcW w:w="1806" w:type="dxa"/>
            <w:shd w:val="clear" w:color="auto" w:fill="auto"/>
            <w:tcMar>
              <w:top w:w="60" w:type="dxa"/>
              <w:left w:w="80" w:type="dxa"/>
              <w:bottom w:w="60" w:type="dxa"/>
              <w:right w:w="80" w:type="dxa"/>
            </w:tcMar>
            <w:vAlign w:val="center"/>
          </w:tcPr>
          <w:p w14:paraId="289565FB">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Evidence Source</w:t>
            </w:r>
          </w:p>
        </w:tc>
      </w:tr>
      <w:tr w14:paraId="21716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10B14F4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TC-001</w:t>
            </w:r>
          </w:p>
        </w:tc>
        <w:tc>
          <w:tcPr>
            <w:tcW w:w="2036" w:type="dxa"/>
            <w:shd w:val="clear" w:color="auto" w:fill="auto"/>
            <w:tcMar>
              <w:top w:w="60" w:type="dxa"/>
              <w:left w:w="80" w:type="dxa"/>
              <w:bottom w:w="60" w:type="dxa"/>
              <w:right w:w="80" w:type="dxa"/>
            </w:tcMar>
            <w:vAlign w:val="top"/>
          </w:tcPr>
          <w:p w14:paraId="1B97D7D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Phishing susceptibility</w:t>
            </w:r>
          </w:p>
          <w:p w14:paraId="6AC9278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Employee clicked a phishing link impersonating a banking portal, initiating the compromise chain.</w:t>
            </w:r>
          </w:p>
        </w:tc>
        <w:tc>
          <w:tcPr>
            <w:tcW w:w="1960" w:type="dxa"/>
            <w:shd w:val="clear" w:color="auto" w:fill="auto"/>
            <w:tcMar>
              <w:top w:w="60" w:type="dxa"/>
              <w:left w:w="80" w:type="dxa"/>
              <w:bottom w:w="60" w:type="dxa"/>
              <w:right w:w="80" w:type="dxa"/>
            </w:tcMar>
            <w:vAlign w:val="top"/>
          </w:tcPr>
          <w:p w14:paraId="4145EF6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Employee email accounts; corporate network access</w:t>
            </w:r>
          </w:p>
          <w:p w14:paraId="72DF6ED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External attacker (phishing)</w:t>
            </w:r>
          </w:p>
        </w:tc>
        <w:tc>
          <w:tcPr>
            <w:tcW w:w="1320" w:type="dxa"/>
            <w:shd w:val="clear" w:color="auto" w:fill="auto"/>
            <w:tcMar>
              <w:top w:w="60" w:type="dxa"/>
              <w:left w:w="80" w:type="dxa"/>
              <w:bottom w:w="60" w:type="dxa"/>
              <w:right w:w="80" w:type="dxa"/>
            </w:tcMar>
            <w:vAlign w:val="top"/>
          </w:tcPr>
          <w:p w14:paraId="48B1974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H — click confirmed in capture</w:t>
            </w:r>
          </w:p>
          <w:p w14:paraId="54F3467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H — enabled initial access</w:t>
            </w:r>
          </w:p>
          <w:p w14:paraId="7385719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CRITICAL</w:t>
            </w:r>
          </w:p>
        </w:tc>
        <w:tc>
          <w:tcPr>
            <w:tcW w:w="2338" w:type="dxa"/>
            <w:shd w:val="clear" w:color="auto" w:fill="auto"/>
            <w:tcMar>
              <w:top w:w="60" w:type="dxa"/>
              <w:left w:w="80" w:type="dxa"/>
              <w:bottom w:w="60" w:type="dxa"/>
              <w:right w:w="80" w:type="dxa"/>
            </w:tcMar>
            <w:vAlign w:val="top"/>
          </w:tcPr>
          <w:p w14:paraId="1AC64EC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None — no email filtering in place</w:t>
            </w:r>
          </w:p>
          <w:p w14:paraId="302BAE6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No email security gateway; no phishing awareness training programme</w:t>
            </w:r>
          </w:p>
        </w:tc>
        <w:tc>
          <w:tcPr>
            <w:tcW w:w="2489" w:type="dxa"/>
            <w:shd w:val="clear" w:color="auto" w:fill="auto"/>
            <w:tcMar>
              <w:top w:w="60" w:type="dxa"/>
              <w:left w:w="80" w:type="dxa"/>
              <w:bottom w:w="60" w:type="dxa"/>
              <w:right w:w="80" w:type="dxa"/>
            </w:tcMar>
            <w:vAlign w:val="top"/>
          </w:tcPr>
          <w:p w14:paraId="4984B7D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an email security gateway with anti-phishing/anti-spoofing filtering; implement mandatory quarterly phishing-awareness training with simulated campaigns.</w:t>
            </w:r>
          </w:p>
        </w:tc>
        <w:tc>
          <w:tcPr>
            <w:tcW w:w="1282" w:type="dxa"/>
            <w:shd w:val="clear" w:color="auto" w:fill="auto"/>
            <w:tcMar>
              <w:top w:w="60" w:type="dxa"/>
              <w:left w:w="80" w:type="dxa"/>
              <w:bottom w:w="60" w:type="dxa"/>
              <w:right w:w="80" w:type="dxa"/>
            </w:tcMar>
            <w:vAlign w:val="top"/>
          </w:tcPr>
          <w:p w14:paraId="09D7120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 Security Manager</w:t>
            </w:r>
          </w:p>
        </w:tc>
        <w:tc>
          <w:tcPr>
            <w:tcW w:w="679" w:type="dxa"/>
            <w:shd w:val="clear" w:color="auto" w:fill="auto"/>
            <w:tcMar>
              <w:top w:w="60" w:type="dxa"/>
              <w:left w:w="80" w:type="dxa"/>
              <w:bottom w:w="60" w:type="dxa"/>
              <w:right w:w="80" w:type="dxa"/>
            </w:tcMar>
            <w:vAlign w:val="top"/>
          </w:tcPr>
          <w:p w14:paraId="5B65AF7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806" w:type="dxa"/>
            <w:shd w:val="clear" w:color="auto" w:fill="auto"/>
            <w:tcMar>
              <w:top w:w="60" w:type="dxa"/>
              <w:left w:w="80" w:type="dxa"/>
              <w:bottom w:w="60" w:type="dxa"/>
              <w:right w:w="80" w:type="dxa"/>
            </w:tcMar>
            <w:vAlign w:val="top"/>
          </w:tcPr>
          <w:p w14:paraId="7765A44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2 D1-Row 1 (DNS query to gtbank-secure.net)</w:t>
            </w:r>
          </w:p>
        </w:tc>
      </w:tr>
      <w:tr w14:paraId="6D3CC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7EACA55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TC-002</w:t>
            </w:r>
          </w:p>
        </w:tc>
        <w:tc>
          <w:tcPr>
            <w:tcW w:w="2036" w:type="dxa"/>
            <w:shd w:val="clear" w:color="auto" w:fill="auto"/>
            <w:tcMar>
              <w:top w:w="60" w:type="dxa"/>
              <w:left w:w="80" w:type="dxa"/>
              <w:bottom w:w="60" w:type="dxa"/>
              <w:right w:w="80" w:type="dxa"/>
            </w:tcMar>
            <w:vAlign w:val="top"/>
          </w:tcPr>
          <w:p w14:paraId="1F4F6B4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Credential transmission over unencrypted HTTP</w:t>
            </w:r>
          </w:p>
          <w:p w14:paraId="2D07A26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Login credentials were submitted over plain HTTP and captured in cleartext.</w:t>
            </w:r>
          </w:p>
        </w:tc>
        <w:tc>
          <w:tcPr>
            <w:tcW w:w="1960" w:type="dxa"/>
            <w:shd w:val="clear" w:color="auto" w:fill="auto"/>
            <w:tcMar>
              <w:top w:w="60" w:type="dxa"/>
              <w:left w:w="80" w:type="dxa"/>
              <w:bottom w:w="60" w:type="dxa"/>
              <w:right w:w="80" w:type="dxa"/>
            </w:tcMar>
            <w:vAlign w:val="top"/>
          </w:tcPr>
          <w:p w14:paraId="715C304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Authentication portal; employee/customer credentials</w:t>
            </w:r>
          </w:p>
          <w:p w14:paraId="5E32979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Network eavesdropper / on-path attacker</w:t>
            </w:r>
          </w:p>
        </w:tc>
        <w:tc>
          <w:tcPr>
            <w:tcW w:w="1320" w:type="dxa"/>
            <w:shd w:val="clear" w:color="auto" w:fill="auto"/>
            <w:tcMar>
              <w:top w:w="60" w:type="dxa"/>
              <w:left w:w="80" w:type="dxa"/>
              <w:bottom w:w="60" w:type="dxa"/>
              <w:right w:w="80" w:type="dxa"/>
            </w:tcMar>
            <w:vAlign w:val="top"/>
          </w:tcPr>
          <w:p w14:paraId="38E2E31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H — cleartext capture confirmed</w:t>
            </w:r>
          </w:p>
          <w:p w14:paraId="6C5B195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H — direct credential compromise</w:t>
            </w:r>
          </w:p>
          <w:p w14:paraId="5CEEC80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CRITICAL</w:t>
            </w:r>
          </w:p>
        </w:tc>
        <w:tc>
          <w:tcPr>
            <w:tcW w:w="2338" w:type="dxa"/>
            <w:shd w:val="clear" w:color="auto" w:fill="auto"/>
            <w:tcMar>
              <w:top w:w="60" w:type="dxa"/>
              <w:left w:w="80" w:type="dxa"/>
              <w:bottom w:w="60" w:type="dxa"/>
              <w:right w:w="80" w:type="dxa"/>
            </w:tcMar>
            <w:vAlign w:val="top"/>
          </w:tcPr>
          <w:p w14:paraId="56A5BEB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HTTP used for login form; no HTTPS enforcement</w:t>
            </w:r>
          </w:p>
          <w:p w14:paraId="6DD18A0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No TLS/HTTPS enforcement; no HSTS header</w:t>
            </w:r>
          </w:p>
        </w:tc>
        <w:tc>
          <w:tcPr>
            <w:tcW w:w="2489" w:type="dxa"/>
            <w:shd w:val="clear" w:color="auto" w:fill="auto"/>
            <w:tcMar>
              <w:top w:w="60" w:type="dxa"/>
              <w:left w:w="80" w:type="dxa"/>
              <w:bottom w:w="60" w:type="dxa"/>
              <w:right w:w="80" w:type="dxa"/>
            </w:tcMar>
            <w:vAlign w:val="top"/>
          </w:tcPr>
          <w:p w14:paraId="3EE946C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Enforce HTTPS site-wide with a valid TLS certificate; enable HSTS; redirect all HTTP traffic to HTTPS at the load balancer.</w:t>
            </w:r>
          </w:p>
        </w:tc>
        <w:tc>
          <w:tcPr>
            <w:tcW w:w="1282" w:type="dxa"/>
            <w:shd w:val="clear" w:color="auto" w:fill="auto"/>
            <w:tcMar>
              <w:top w:w="60" w:type="dxa"/>
              <w:left w:w="80" w:type="dxa"/>
              <w:bottom w:w="60" w:type="dxa"/>
              <w:right w:w="80" w:type="dxa"/>
            </w:tcMar>
            <w:vAlign w:val="top"/>
          </w:tcPr>
          <w:p w14:paraId="4447FDE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Infrastructure / DevOps Lead</w:t>
            </w:r>
          </w:p>
        </w:tc>
        <w:tc>
          <w:tcPr>
            <w:tcW w:w="679" w:type="dxa"/>
            <w:shd w:val="clear" w:color="auto" w:fill="auto"/>
            <w:tcMar>
              <w:top w:w="60" w:type="dxa"/>
              <w:left w:w="80" w:type="dxa"/>
              <w:bottom w:w="60" w:type="dxa"/>
              <w:right w:w="80" w:type="dxa"/>
            </w:tcMar>
            <w:vAlign w:val="top"/>
          </w:tcPr>
          <w:p w14:paraId="698C120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806" w:type="dxa"/>
            <w:shd w:val="clear" w:color="auto" w:fill="auto"/>
            <w:tcMar>
              <w:top w:w="60" w:type="dxa"/>
              <w:left w:w="80" w:type="dxa"/>
              <w:bottom w:w="60" w:type="dxa"/>
              <w:right w:w="80" w:type="dxa"/>
            </w:tcMar>
            <w:vAlign w:val="top"/>
          </w:tcPr>
          <w:p w14:paraId="5D73177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2 D1-Row 3 (Pkt 61, cleartext POST)</w:t>
            </w:r>
          </w:p>
        </w:tc>
      </w:tr>
      <w:tr w14:paraId="76C79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4C18A97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TC-003</w:t>
            </w:r>
          </w:p>
        </w:tc>
        <w:tc>
          <w:tcPr>
            <w:tcW w:w="2036" w:type="dxa"/>
            <w:shd w:val="clear" w:color="auto" w:fill="auto"/>
            <w:tcMar>
              <w:top w:w="60" w:type="dxa"/>
              <w:left w:w="80" w:type="dxa"/>
              <w:bottom w:w="60" w:type="dxa"/>
              <w:right w:w="80" w:type="dxa"/>
            </w:tcMar>
            <w:vAlign w:val="top"/>
          </w:tcPr>
          <w:p w14:paraId="2C846CF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C2 outbound traffic not blocked</w:t>
            </w:r>
          </w:p>
          <w:p w14:paraId="022FEA9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Compromised host beaconed out to an external C2 listener on port 4444 without being blocked or alerted on.</w:t>
            </w:r>
          </w:p>
        </w:tc>
        <w:tc>
          <w:tcPr>
            <w:tcW w:w="1960" w:type="dxa"/>
            <w:shd w:val="clear" w:color="auto" w:fill="auto"/>
            <w:tcMar>
              <w:top w:w="60" w:type="dxa"/>
              <w:left w:w="80" w:type="dxa"/>
              <w:bottom w:w="60" w:type="dxa"/>
              <w:right w:w="80" w:type="dxa"/>
            </w:tcMar>
            <w:vAlign w:val="top"/>
          </w:tcPr>
          <w:p w14:paraId="333160A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Internal compromised host; network egress path</w:t>
            </w:r>
          </w:p>
          <w:p w14:paraId="1225F84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External attacker (post-compromise C2)</w:t>
            </w:r>
          </w:p>
        </w:tc>
        <w:tc>
          <w:tcPr>
            <w:tcW w:w="1320" w:type="dxa"/>
            <w:shd w:val="clear" w:color="auto" w:fill="auto"/>
            <w:tcMar>
              <w:top w:w="60" w:type="dxa"/>
              <w:left w:w="80" w:type="dxa"/>
              <w:bottom w:w="60" w:type="dxa"/>
              <w:right w:w="80" w:type="dxa"/>
            </w:tcMar>
            <w:vAlign w:val="top"/>
          </w:tcPr>
          <w:p w14:paraId="07A1694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M — requires prior compromise</w:t>
            </w:r>
          </w:p>
          <w:p w14:paraId="2F9658E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H — enabled remote control / recon</w:t>
            </w:r>
          </w:p>
          <w:p w14:paraId="20EFCEA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HIGH</w:t>
            </w:r>
          </w:p>
        </w:tc>
        <w:tc>
          <w:tcPr>
            <w:tcW w:w="2338" w:type="dxa"/>
            <w:shd w:val="clear" w:color="auto" w:fill="auto"/>
            <w:tcMar>
              <w:top w:w="60" w:type="dxa"/>
              <w:left w:w="80" w:type="dxa"/>
              <w:bottom w:w="60" w:type="dxa"/>
              <w:right w:w="80" w:type="dxa"/>
            </w:tcMar>
            <w:vAlign w:val="top"/>
          </w:tcPr>
          <w:p w14:paraId="2227133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None — no egress filtering on port 4444</w:t>
            </w:r>
          </w:p>
          <w:p w14:paraId="38E8A20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No outbound port restrictions; no SIEM correlation rule for beacon-interval traffic</w:t>
            </w:r>
          </w:p>
        </w:tc>
        <w:tc>
          <w:tcPr>
            <w:tcW w:w="2489" w:type="dxa"/>
            <w:shd w:val="clear" w:color="auto" w:fill="auto"/>
            <w:tcMar>
              <w:top w:w="60" w:type="dxa"/>
              <w:left w:w="80" w:type="dxa"/>
              <w:bottom w:w="60" w:type="dxa"/>
              <w:right w:w="80" w:type="dxa"/>
            </w:tcMar>
            <w:vAlign w:val="top"/>
          </w:tcPr>
          <w:p w14:paraId="4FAFF6A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 default-deny egress filtering, allowing only business-justified outbound ports; build a SIEM use-case for periodic/beacon-pattern outbound connections.</w:t>
            </w:r>
          </w:p>
        </w:tc>
        <w:tc>
          <w:tcPr>
            <w:tcW w:w="1282" w:type="dxa"/>
            <w:shd w:val="clear" w:color="auto" w:fill="auto"/>
            <w:tcMar>
              <w:top w:w="60" w:type="dxa"/>
              <w:left w:w="80" w:type="dxa"/>
              <w:bottom w:w="60" w:type="dxa"/>
              <w:right w:w="80" w:type="dxa"/>
            </w:tcMar>
            <w:vAlign w:val="top"/>
          </w:tcPr>
          <w:p w14:paraId="238B727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SOC Manager</w:t>
            </w:r>
          </w:p>
        </w:tc>
        <w:tc>
          <w:tcPr>
            <w:tcW w:w="679" w:type="dxa"/>
            <w:shd w:val="clear" w:color="auto" w:fill="auto"/>
            <w:tcMar>
              <w:top w:w="60" w:type="dxa"/>
              <w:left w:w="80" w:type="dxa"/>
              <w:bottom w:w="60" w:type="dxa"/>
              <w:right w:w="80" w:type="dxa"/>
            </w:tcMar>
            <w:vAlign w:val="top"/>
          </w:tcPr>
          <w:p w14:paraId="0C21325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806" w:type="dxa"/>
            <w:shd w:val="clear" w:color="auto" w:fill="auto"/>
            <w:tcMar>
              <w:top w:w="60" w:type="dxa"/>
              <w:left w:w="80" w:type="dxa"/>
              <w:bottom w:w="60" w:type="dxa"/>
              <w:right w:w="80" w:type="dxa"/>
            </w:tcMar>
            <w:vAlign w:val="top"/>
          </w:tcPr>
          <w:p w14:paraId="1C93195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2 D1-Rows 4–5 (BEACON connections)</w:t>
            </w:r>
          </w:p>
        </w:tc>
      </w:tr>
      <w:tr w14:paraId="407BC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57E83D5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TC-004</w:t>
            </w:r>
          </w:p>
        </w:tc>
        <w:tc>
          <w:tcPr>
            <w:tcW w:w="2036" w:type="dxa"/>
            <w:shd w:val="clear" w:color="auto" w:fill="auto"/>
            <w:tcMar>
              <w:top w:w="60" w:type="dxa"/>
              <w:left w:w="80" w:type="dxa"/>
              <w:bottom w:w="60" w:type="dxa"/>
              <w:right w:w="80" w:type="dxa"/>
            </w:tcMar>
            <w:vAlign w:val="top"/>
          </w:tcPr>
          <w:p w14:paraId="3B386E9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multi-factor authentication</w:t>
            </w:r>
          </w:p>
          <w:p w14:paraId="11207D1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 user accounts relied on password-only authentication, allowing stolen credentials to be used directly.</w:t>
            </w:r>
          </w:p>
        </w:tc>
        <w:tc>
          <w:tcPr>
            <w:tcW w:w="1960" w:type="dxa"/>
            <w:shd w:val="clear" w:color="auto" w:fill="auto"/>
            <w:tcMar>
              <w:top w:w="60" w:type="dxa"/>
              <w:left w:w="80" w:type="dxa"/>
              <w:bottom w:w="60" w:type="dxa"/>
              <w:right w:w="80" w:type="dxa"/>
            </w:tcMar>
            <w:vAlign w:val="top"/>
          </w:tcPr>
          <w:p w14:paraId="3181D43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All employee/user accounts; internal systems</w:t>
            </w:r>
          </w:p>
          <w:p w14:paraId="13B28C4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External attacker using stolen credentials</w:t>
            </w:r>
          </w:p>
        </w:tc>
        <w:tc>
          <w:tcPr>
            <w:tcW w:w="1320" w:type="dxa"/>
            <w:shd w:val="clear" w:color="auto" w:fill="auto"/>
            <w:tcMar>
              <w:top w:w="60" w:type="dxa"/>
              <w:left w:w="80" w:type="dxa"/>
              <w:bottom w:w="60" w:type="dxa"/>
              <w:right w:w="80" w:type="dxa"/>
            </w:tcMar>
            <w:vAlign w:val="top"/>
          </w:tcPr>
          <w:p w14:paraId="11A1C81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H — stolen credentials were usable</w:t>
            </w:r>
          </w:p>
          <w:p w14:paraId="4F06D59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H — no secondary control to stop account takeover</w:t>
            </w:r>
          </w:p>
          <w:p w14:paraId="650CB2A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CRITICAL</w:t>
            </w:r>
          </w:p>
        </w:tc>
        <w:tc>
          <w:tcPr>
            <w:tcW w:w="2338" w:type="dxa"/>
            <w:shd w:val="clear" w:color="auto" w:fill="auto"/>
            <w:tcMar>
              <w:top w:w="60" w:type="dxa"/>
              <w:left w:w="80" w:type="dxa"/>
              <w:bottom w:w="60" w:type="dxa"/>
              <w:right w:w="80" w:type="dxa"/>
            </w:tcMar>
            <w:vAlign w:val="top"/>
          </w:tcPr>
          <w:p w14:paraId="26FE2E6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Password-only authentication</w:t>
            </w:r>
          </w:p>
          <w:p w14:paraId="2588A4F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MFA not enforced on any account tier</w:t>
            </w:r>
          </w:p>
        </w:tc>
        <w:tc>
          <w:tcPr>
            <w:tcW w:w="2489" w:type="dxa"/>
            <w:shd w:val="clear" w:color="auto" w:fill="auto"/>
            <w:tcMar>
              <w:top w:w="60" w:type="dxa"/>
              <w:left w:w="80" w:type="dxa"/>
              <w:bottom w:w="60" w:type="dxa"/>
              <w:right w:w="80" w:type="dxa"/>
            </w:tcMar>
            <w:vAlign w:val="top"/>
          </w:tcPr>
          <w:p w14:paraId="348D699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Mandate MFA (authenticator app or hardware key) for all accounts, prioritising privileged and administrative accounts within 30 days.</w:t>
            </w:r>
          </w:p>
        </w:tc>
        <w:tc>
          <w:tcPr>
            <w:tcW w:w="1282" w:type="dxa"/>
            <w:shd w:val="clear" w:color="auto" w:fill="auto"/>
            <w:tcMar>
              <w:top w:w="60" w:type="dxa"/>
              <w:left w:w="80" w:type="dxa"/>
              <w:bottom w:w="60" w:type="dxa"/>
              <w:right w:w="80" w:type="dxa"/>
            </w:tcMar>
            <w:vAlign w:val="top"/>
          </w:tcPr>
          <w:p w14:paraId="37AA12F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 Security Manager</w:t>
            </w:r>
          </w:p>
        </w:tc>
        <w:tc>
          <w:tcPr>
            <w:tcW w:w="679" w:type="dxa"/>
            <w:shd w:val="clear" w:color="auto" w:fill="auto"/>
            <w:tcMar>
              <w:top w:w="60" w:type="dxa"/>
              <w:left w:w="80" w:type="dxa"/>
              <w:bottom w:w="60" w:type="dxa"/>
              <w:right w:w="80" w:type="dxa"/>
            </w:tcMar>
            <w:vAlign w:val="top"/>
          </w:tcPr>
          <w:p w14:paraId="20697F4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806" w:type="dxa"/>
            <w:shd w:val="clear" w:color="auto" w:fill="auto"/>
            <w:tcMar>
              <w:top w:w="60" w:type="dxa"/>
              <w:left w:w="80" w:type="dxa"/>
              <w:bottom w:w="60" w:type="dxa"/>
              <w:right w:w="80" w:type="dxa"/>
            </w:tcMar>
            <w:vAlign w:val="top"/>
          </w:tcPr>
          <w:p w14:paraId="5C2E28F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2 D2 (systemic recommendation)</w:t>
            </w:r>
          </w:p>
        </w:tc>
      </w:tr>
      <w:tr w14:paraId="72C94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39F627F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TC-005</w:t>
            </w:r>
          </w:p>
        </w:tc>
        <w:tc>
          <w:tcPr>
            <w:tcW w:w="2036" w:type="dxa"/>
            <w:shd w:val="clear" w:color="auto" w:fill="auto"/>
            <w:tcMar>
              <w:top w:w="60" w:type="dxa"/>
              <w:left w:w="80" w:type="dxa"/>
              <w:bottom w:w="60" w:type="dxa"/>
              <w:right w:w="80" w:type="dxa"/>
            </w:tcMar>
            <w:vAlign w:val="top"/>
          </w:tcPr>
          <w:p w14:paraId="1C1878D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Internal API accessible via development token in production</w:t>
            </w:r>
          </w:p>
          <w:p w14:paraId="51BAF72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development-tier API token was valid against the production API, exposing internal endpoints.</w:t>
            </w:r>
          </w:p>
        </w:tc>
        <w:tc>
          <w:tcPr>
            <w:tcW w:w="1960" w:type="dxa"/>
            <w:shd w:val="clear" w:color="auto" w:fill="auto"/>
            <w:tcMar>
              <w:top w:w="60" w:type="dxa"/>
              <w:left w:w="80" w:type="dxa"/>
              <w:bottom w:w="60" w:type="dxa"/>
              <w:right w:w="80" w:type="dxa"/>
            </w:tcMar>
            <w:vAlign w:val="top"/>
          </w:tcPr>
          <w:p w14:paraId="43EC5AD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Internal API; customer and payment data</w:t>
            </w:r>
          </w:p>
          <w:p w14:paraId="0D92CC2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External or internal attacker holding the token</w:t>
            </w:r>
          </w:p>
        </w:tc>
        <w:tc>
          <w:tcPr>
            <w:tcW w:w="1320" w:type="dxa"/>
            <w:shd w:val="clear" w:color="auto" w:fill="auto"/>
            <w:tcMar>
              <w:top w:w="60" w:type="dxa"/>
              <w:left w:w="80" w:type="dxa"/>
              <w:bottom w:w="60" w:type="dxa"/>
              <w:right w:w="80" w:type="dxa"/>
            </w:tcMar>
            <w:vAlign w:val="top"/>
          </w:tcPr>
          <w:p w14:paraId="444C3E0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M — required token discovery</w:t>
            </w:r>
          </w:p>
          <w:p w14:paraId="009DB67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H — direct access to internal API surface</w:t>
            </w:r>
          </w:p>
          <w:p w14:paraId="718C324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HIGH</w:t>
            </w:r>
          </w:p>
        </w:tc>
        <w:tc>
          <w:tcPr>
            <w:tcW w:w="2338" w:type="dxa"/>
            <w:shd w:val="clear" w:color="auto" w:fill="auto"/>
            <w:tcMar>
              <w:top w:w="60" w:type="dxa"/>
              <w:left w:w="80" w:type="dxa"/>
              <w:bottom w:w="60" w:type="dxa"/>
              <w:right w:w="80" w:type="dxa"/>
            </w:tcMar>
            <w:vAlign w:val="top"/>
          </w:tcPr>
          <w:p w14:paraId="6ACDEA5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Dev token accepted by production environment</w:t>
            </w:r>
          </w:p>
          <w:p w14:paraId="2E22FB9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No separation between development and production credentials; no token expiry/rotation</w:t>
            </w:r>
          </w:p>
        </w:tc>
        <w:tc>
          <w:tcPr>
            <w:tcW w:w="2489" w:type="dxa"/>
            <w:shd w:val="clear" w:color="auto" w:fill="auto"/>
            <w:tcMar>
              <w:top w:w="60" w:type="dxa"/>
              <w:left w:w="80" w:type="dxa"/>
              <w:bottom w:w="60" w:type="dxa"/>
              <w:right w:w="80" w:type="dxa"/>
            </w:tcMar>
            <w:vAlign w:val="top"/>
          </w:tcPr>
          <w:p w14:paraId="66B2B86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Revoke all development tokens from production; issue short-lived, environment-scoped tokens with mandatory rotation and audit logging.</w:t>
            </w:r>
          </w:p>
        </w:tc>
        <w:tc>
          <w:tcPr>
            <w:tcW w:w="1282" w:type="dxa"/>
            <w:shd w:val="clear" w:color="auto" w:fill="auto"/>
            <w:tcMar>
              <w:top w:w="60" w:type="dxa"/>
              <w:left w:w="80" w:type="dxa"/>
              <w:bottom w:w="60" w:type="dxa"/>
              <w:right w:w="80" w:type="dxa"/>
            </w:tcMar>
            <w:vAlign w:val="top"/>
          </w:tcPr>
          <w:p w14:paraId="6FAFB34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Engineering Lead</w:t>
            </w:r>
          </w:p>
        </w:tc>
        <w:tc>
          <w:tcPr>
            <w:tcW w:w="679" w:type="dxa"/>
            <w:shd w:val="clear" w:color="auto" w:fill="auto"/>
            <w:tcMar>
              <w:top w:w="60" w:type="dxa"/>
              <w:left w:w="80" w:type="dxa"/>
              <w:bottom w:w="60" w:type="dxa"/>
              <w:right w:w="80" w:type="dxa"/>
            </w:tcMar>
            <w:vAlign w:val="top"/>
          </w:tcPr>
          <w:p w14:paraId="42F9A81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806" w:type="dxa"/>
            <w:shd w:val="clear" w:color="auto" w:fill="auto"/>
            <w:tcMar>
              <w:top w:w="60" w:type="dxa"/>
              <w:left w:w="80" w:type="dxa"/>
              <w:bottom w:w="60" w:type="dxa"/>
              <w:right w:w="80" w:type="dxa"/>
            </w:tcMar>
            <w:vAlign w:val="top"/>
          </w:tcPr>
          <w:p w14:paraId="08DB8B4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2 D1-Row 7 (Pkt 109, dev-token)</w:t>
            </w:r>
          </w:p>
        </w:tc>
      </w:tr>
      <w:tr w14:paraId="37677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6D46A7F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TC-006</w:t>
            </w:r>
          </w:p>
        </w:tc>
        <w:tc>
          <w:tcPr>
            <w:tcW w:w="2036" w:type="dxa"/>
            <w:shd w:val="clear" w:color="auto" w:fill="auto"/>
            <w:tcMar>
              <w:top w:w="60" w:type="dxa"/>
              <w:left w:w="80" w:type="dxa"/>
              <w:bottom w:w="60" w:type="dxa"/>
              <w:right w:w="80" w:type="dxa"/>
            </w:tcMar>
            <w:vAlign w:val="top"/>
          </w:tcPr>
          <w:p w14:paraId="5B3E261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Absence of network segmentation and targeted SOC alerting</w:t>
            </w:r>
          </w:p>
          <w:p w14:paraId="440F312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compromised host sat on a flat network with no isolation of payment-processing systems, and SOC had no alert tuned to this attack pattern.</w:t>
            </w:r>
          </w:p>
        </w:tc>
        <w:tc>
          <w:tcPr>
            <w:tcW w:w="1960" w:type="dxa"/>
            <w:shd w:val="clear" w:color="auto" w:fill="auto"/>
            <w:tcMar>
              <w:top w:w="60" w:type="dxa"/>
              <w:left w:w="80" w:type="dxa"/>
              <w:bottom w:w="60" w:type="dxa"/>
              <w:right w:w="80" w:type="dxa"/>
            </w:tcMar>
            <w:vAlign w:val="top"/>
          </w:tcPr>
          <w:p w14:paraId="158F828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Internal network segments; SOC detection coverage</w:t>
            </w:r>
          </w:p>
          <w:p w14:paraId="5796696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External attacker (lateral movement)</w:t>
            </w:r>
          </w:p>
        </w:tc>
        <w:tc>
          <w:tcPr>
            <w:tcW w:w="1320" w:type="dxa"/>
            <w:shd w:val="clear" w:color="auto" w:fill="auto"/>
            <w:tcMar>
              <w:top w:w="60" w:type="dxa"/>
              <w:left w:w="80" w:type="dxa"/>
              <w:bottom w:w="60" w:type="dxa"/>
              <w:right w:w="80" w:type="dxa"/>
            </w:tcMar>
            <w:vAlign w:val="top"/>
          </w:tcPr>
          <w:p w14:paraId="44343EC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M — dependent on initial compromise</w:t>
            </w:r>
          </w:p>
          <w:p w14:paraId="1FEBA89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M — increases blast radius and dwell time</w:t>
            </w:r>
          </w:p>
          <w:p w14:paraId="7298A42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MEDIUM</w:t>
            </w:r>
          </w:p>
        </w:tc>
        <w:tc>
          <w:tcPr>
            <w:tcW w:w="2338" w:type="dxa"/>
            <w:shd w:val="clear" w:color="auto" w:fill="auto"/>
            <w:tcMar>
              <w:top w:w="60" w:type="dxa"/>
              <w:left w:w="80" w:type="dxa"/>
              <w:bottom w:w="60" w:type="dxa"/>
              <w:right w:w="80" w:type="dxa"/>
            </w:tcMar>
            <w:vAlign w:val="top"/>
          </w:tcPr>
          <w:p w14:paraId="38DDF3B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Flat network architecture; generic monitoring only</w:t>
            </w:r>
          </w:p>
          <w:p w14:paraId="6286FA7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No VLAN/segment isolating payment systems from general corporate network; no SOC use-case for this beacon pattern</w:t>
            </w:r>
          </w:p>
        </w:tc>
        <w:tc>
          <w:tcPr>
            <w:tcW w:w="2489" w:type="dxa"/>
            <w:shd w:val="clear" w:color="auto" w:fill="auto"/>
            <w:tcMar>
              <w:top w:w="60" w:type="dxa"/>
              <w:left w:w="80" w:type="dxa"/>
              <w:bottom w:w="60" w:type="dxa"/>
              <w:right w:w="80" w:type="dxa"/>
            </w:tcMar>
            <w:vAlign w:val="top"/>
          </w:tcPr>
          <w:p w14:paraId="791D605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Segment the network by function, isolating payment-processing systems; build and tune a dedicated SOC alert for beacon-interval C2 traffic.</w:t>
            </w:r>
          </w:p>
        </w:tc>
        <w:tc>
          <w:tcPr>
            <w:tcW w:w="1282" w:type="dxa"/>
            <w:shd w:val="clear" w:color="auto" w:fill="auto"/>
            <w:tcMar>
              <w:top w:w="60" w:type="dxa"/>
              <w:left w:w="80" w:type="dxa"/>
              <w:bottom w:w="60" w:type="dxa"/>
              <w:right w:w="80" w:type="dxa"/>
            </w:tcMar>
            <w:vAlign w:val="top"/>
          </w:tcPr>
          <w:p w14:paraId="1D288A6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Network Manager / SOC Manager</w:t>
            </w:r>
          </w:p>
        </w:tc>
        <w:tc>
          <w:tcPr>
            <w:tcW w:w="679" w:type="dxa"/>
            <w:shd w:val="clear" w:color="auto" w:fill="auto"/>
            <w:tcMar>
              <w:top w:w="60" w:type="dxa"/>
              <w:left w:w="80" w:type="dxa"/>
              <w:bottom w:w="60" w:type="dxa"/>
              <w:right w:w="80" w:type="dxa"/>
            </w:tcMar>
            <w:vAlign w:val="top"/>
          </w:tcPr>
          <w:p w14:paraId="18665D1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w:t>
            </w:r>
          </w:p>
        </w:tc>
        <w:tc>
          <w:tcPr>
            <w:tcW w:w="1806" w:type="dxa"/>
            <w:shd w:val="clear" w:color="auto" w:fill="auto"/>
            <w:tcMar>
              <w:top w:w="60" w:type="dxa"/>
              <w:left w:w="80" w:type="dxa"/>
              <w:bottom w:w="60" w:type="dxa"/>
              <w:right w:w="80" w:type="dxa"/>
            </w:tcMar>
            <w:vAlign w:val="top"/>
          </w:tcPr>
          <w:p w14:paraId="1D3907E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2 D1-Rows 4–5; D3 ATT&amp;CK mapping (lateral-movement stage)</w:t>
            </w:r>
          </w:p>
        </w:tc>
      </w:tr>
    </w:tbl>
    <w:p w14:paraId="2D041AE6">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75E3538D">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Section B — Frozen Yoghurt Ltd (UK) Risk Register</w:t>
      </w:r>
    </w:p>
    <w:p w14:paraId="291B7A66">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i/>
          <w:iCs/>
          <w:color w:val="auto"/>
          <w:sz w:val="24"/>
          <w:szCs w:val="24"/>
        </w:rPr>
        <w:t>Regulatory context: UK GDPR (Data Protection Act 2018), NCSC Cyber Essentials, ICO notification obligation.</w:t>
      </w:r>
    </w:p>
    <w:tbl>
      <w:tblPr>
        <w:tblStyle w:val="9"/>
        <w:tblW w:w="14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7"/>
        <w:gridCol w:w="2021"/>
        <w:gridCol w:w="1945"/>
        <w:gridCol w:w="1407"/>
        <w:gridCol w:w="2305"/>
        <w:gridCol w:w="2460"/>
        <w:gridCol w:w="1277"/>
        <w:gridCol w:w="674"/>
        <w:gridCol w:w="1804"/>
      </w:tblGrid>
      <w:tr w14:paraId="3E472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30" w:type="dxa"/>
            <w:shd w:val="clear" w:color="auto" w:fill="auto"/>
            <w:tcMar>
              <w:top w:w="60" w:type="dxa"/>
              <w:left w:w="80" w:type="dxa"/>
              <w:bottom w:w="60" w:type="dxa"/>
              <w:right w:w="80" w:type="dxa"/>
            </w:tcMar>
            <w:vAlign w:val="center"/>
          </w:tcPr>
          <w:p w14:paraId="3344C492">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w:t>
            </w:r>
          </w:p>
        </w:tc>
        <w:tc>
          <w:tcPr>
            <w:tcW w:w="2036" w:type="dxa"/>
            <w:shd w:val="clear" w:color="auto" w:fill="auto"/>
            <w:tcMar>
              <w:top w:w="60" w:type="dxa"/>
              <w:left w:w="80" w:type="dxa"/>
              <w:bottom w:w="60" w:type="dxa"/>
              <w:right w:w="80" w:type="dxa"/>
            </w:tcMar>
            <w:vAlign w:val="center"/>
          </w:tcPr>
          <w:p w14:paraId="147EB623">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Risk Title &amp; Description</w:t>
            </w:r>
          </w:p>
        </w:tc>
        <w:tc>
          <w:tcPr>
            <w:tcW w:w="1960" w:type="dxa"/>
            <w:shd w:val="clear" w:color="auto" w:fill="auto"/>
            <w:tcMar>
              <w:top w:w="60" w:type="dxa"/>
              <w:left w:w="80" w:type="dxa"/>
              <w:bottom w:w="60" w:type="dxa"/>
              <w:right w:w="80" w:type="dxa"/>
            </w:tcMar>
            <w:vAlign w:val="center"/>
          </w:tcPr>
          <w:p w14:paraId="4BF3C802">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Asset(s) / Threat Source</w:t>
            </w:r>
          </w:p>
        </w:tc>
        <w:tc>
          <w:tcPr>
            <w:tcW w:w="1320" w:type="dxa"/>
            <w:shd w:val="clear" w:color="auto" w:fill="auto"/>
            <w:tcMar>
              <w:top w:w="60" w:type="dxa"/>
              <w:left w:w="80" w:type="dxa"/>
              <w:bottom w:w="60" w:type="dxa"/>
              <w:right w:w="80" w:type="dxa"/>
            </w:tcMar>
            <w:vAlign w:val="center"/>
          </w:tcPr>
          <w:p w14:paraId="7DFA0947">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Likelihood / Impact / Rating</w:t>
            </w:r>
          </w:p>
        </w:tc>
        <w:tc>
          <w:tcPr>
            <w:tcW w:w="2338" w:type="dxa"/>
            <w:shd w:val="clear" w:color="auto" w:fill="auto"/>
            <w:tcMar>
              <w:top w:w="60" w:type="dxa"/>
              <w:left w:w="80" w:type="dxa"/>
              <w:bottom w:w="60" w:type="dxa"/>
              <w:right w:w="80" w:type="dxa"/>
            </w:tcMar>
            <w:vAlign w:val="center"/>
          </w:tcPr>
          <w:p w14:paraId="7AFA29AE">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Current Controls / Control Gap</w:t>
            </w:r>
          </w:p>
        </w:tc>
        <w:tc>
          <w:tcPr>
            <w:tcW w:w="2489" w:type="dxa"/>
            <w:shd w:val="clear" w:color="auto" w:fill="auto"/>
            <w:tcMar>
              <w:top w:w="60" w:type="dxa"/>
              <w:left w:w="80" w:type="dxa"/>
              <w:bottom w:w="60" w:type="dxa"/>
              <w:right w:w="80" w:type="dxa"/>
            </w:tcMar>
            <w:vAlign w:val="center"/>
          </w:tcPr>
          <w:p w14:paraId="6560DF2E">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Recommended Treatment</w:t>
            </w:r>
          </w:p>
        </w:tc>
        <w:tc>
          <w:tcPr>
            <w:tcW w:w="1282" w:type="dxa"/>
            <w:shd w:val="clear" w:color="auto" w:fill="auto"/>
            <w:tcMar>
              <w:top w:w="60" w:type="dxa"/>
              <w:left w:w="80" w:type="dxa"/>
              <w:bottom w:w="60" w:type="dxa"/>
              <w:right w:w="80" w:type="dxa"/>
            </w:tcMar>
            <w:vAlign w:val="center"/>
          </w:tcPr>
          <w:p w14:paraId="5075EB29">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Owner (Role)</w:t>
            </w:r>
          </w:p>
        </w:tc>
        <w:tc>
          <w:tcPr>
            <w:tcW w:w="679" w:type="dxa"/>
            <w:shd w:val="clear" w:color="auto" w:fill="auto"/>
            <w:tcMar>
              <w:top w:w="60" w:type="dxa"/>
              <w:left w:w="80" w:type="dxa"/>
              <w:bottom w:w="60" w:type="dxa"/>
              <w:right w:w="80" w:type="dxa"/>
            </w:tcMar>
            <w:vAlign w:val="center"/>
          </w:tcPr>
          <w:p w14:paraId="2F9B5E0A">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Pri.</w:t>
            </w:r>
          </w:p>
        </w:tc>
        <w:tc>
          <w:tcPr>
            <w:tcW w:w="1806" w:type="dxa"/>
            <w:shd w:val="clear" w:color="auto" w:fill="auto"/>
            <w:tcMar>
              <w:top w:w="60" w:type="dxa"/>
              <w:left w:w="80" w:type="dxa"/>
              <w:bottom w:w="60" w:type="dxa"/>
              <w:right w:w="80" w:type="dxa"/>
            </w:tcMar>
            <w:vAlign w:val="center"/>
          </w:tcPr>
          <w:p w14:paraId="18174090">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Evidence Source</w:t>
            </w:r>
          </w:p>
        </w:tc>
      </w:tr>
      <w:tr w14:paraId="20AB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31FC91E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FY-001</w:t>
            </w:r>
          </w:p>
        </w:tc>
        <w:tc>
          <w:tcPr>
            <w:tcW w:w="2036" w:type="dxa"/>
            <w:shd w:val="clear" w:color="auto" w:fill="auto"/>
            <w:tcMar>
              <w:top w:w="60" w:type="dxa"/>
              <w:left w:w="80" w:type="dxa"/>
              <w:bottom w:w="60" w:type="dxa"/>
              <w:right w:w="80" w:type="dxa"/>
            </w:tcMar>
            <w:vAlign w:val="top"/>
          </w:tcPr>
          <w:p w14:paraId="1A8E166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TELNET service exposed on port 23</w:t>
            </w:r>
          </w:p>
          <w:p w14:paraId="7A00092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legacy, unencrypted TELNET service was reachable and used as the entry point for the breach.</w:t>
            </w:r>
          </w:p>
        </w:tc>
        <w:tc>
          <w:tcPr>
            <w:tcW w:w="1960" w:type="dxa"/>
            <w:shd w:val="clear" w:color="auto" w:fill="auto"/>
            <w:tcMar>
              <w:top w:w="60" w:type="dxa"/>
              <w:left w:w="80" w:type="dxa"/>
              <w:bottom w:w="60" w:type="dxa"/>
              <w:right w:w="80" w:type="dxa"/>
            </w:tcMar>
            <w:vAlign w:val="top"/>
          </w:tcPr>
          <w:p w14:paraId="7710053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Central server; remote administrative access</w:t>
            </w:r>
          </w:p>
          <w:p w14:paraId="33EF98B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External attacker (brute force via TELNET)</w:t>
            </w:r>
          </w:p>
        </w:tc>
        <w:tc>
          <w:tcPr>
            <w:tcW w:w="1320" w:type="dxa"/>
            <w:shd w:val="clear" w:color="auto" w:fill="auto"/>
            <w:tcMar>
              <w:top w:w="60" w:type="dxa"/>
              <w:left w:w="80" w:type="dxa"/>
              <w:bottom w:w="60" w:type="dxa"/>
              <w:right w:w="80" w:type="dxa"/>
            </w:tcMar>
            <w:vAlign w:val="top"/>
          </w:tcPr>
          <w:p w14:paraId="11F0BA5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H — actively targeted and breached</w:t>
            </w:r>
          </w:p>
          <w:p w14:paraId="595DC02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H — direct route to credential compromise</w:t>
            </w:r>
          </w:p>
          <w:p w14:paraId="5128DDB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CRITICAL</w:t>
            </w:r>
          </w:p>
        </w:tc>
        <w:tc>
          <w:tcPr>
            <w:tcW w:w="2338" w:type="dxa"/>
            <w:shd w:val="clear" w:color="auto" w:fill="auto"/>
            <w:tcMar>
              <w:top w:w="60" w:type="dxa"/>
              <w:left w:w="80" w:type="dxa"/>
              <w:bottom w:w="60" w:type="dxa"/>
              <w:right w:w="80" w:type="dxa"/>
            </w:tcMar>
            <w:vAlign w:val="top"/>
          </w:tcPr>
          <w:p w14:paraId="0A0C0F8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TELNET enabled with no encryption</w:t>
            </w:r>
          </w:p>
          <w:p w14:paraId="0FB2429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Legacy cleartext protocol in active use; no SSH-only access policy</w:t>
            </w:r>
          </w:p>
        </w:tc>
        <w:tc>
          <w:tcPr>
            <w:tcW w:w="2489" w:type="dxa"/>
            <w:shd w:val="clear" w:color="auto" w:fill="auto"/>
            <w:tcMar>
              <w:top w:w="60" w:type="dxa"/>
              <w:left w:w="80" w:type="dxa"/>
              <w:bottom w:w="60" w:type="dxa"/>
              <w:right w:w="80" w:type="dxa"/>
            </w:tcMar>
            <w:vAlign w:val="top"/>
          </w:tcPr>
          <w:p w14:paraId="3D33A1E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Disable TELNET immediately; migrate all remote administration to SSH with public-key authentication; close port 23 at the firewall.</w:t>
            </w:r>
          </w:p>
        </w:tc>
        <w:tc>
          <w:tcPr>
            <w:tcW w:w="1282" w:type="dxa"/>
            <w:shd w:val="clear" w:color="auto" w:fill="auto"/>
            <w:tcMar>
              <w:top w:w="60" w:type="dxa"/>
              <w:left w:w="80" w:type="dxa"/>
              <w:bottom w:w="60" w:type="dxa"/>
              <w:right w:w="80" w:type="dxa"/>
            </w:tcMar>
            <w:vAlign w:val="top"/>
          </w:tcPr>
          <w:p w14:paraId="6205B04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 Support Lead</w:t>
            </w:r>
          </w:p>
        </w:tc>
        <w:tc>
          <w:tcPr>
            <w:tcW w:w="679" w:type="dxa"/>
            <w:shd w:val="clear" w:color="auto" w:fill="auto"/>
            <w:tcMar>
              <w:top w:w="60" w:type="dxa"/>
              <w:left w:w="80" w:type="dxa"/>
              <w:bottom w:w="60" w:type="dxa"/>
              <w:right w:w="80" w:type="dxa"/>
            </w:tcMar>
            <w:vAlign w:val="top"/>
          </w:tcPr>
          <w:p w14:paraId="3A90507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806" w:type="dxa"/>
            <w:shd w:val="clear" w:color="auto" w:fill="auto"/>
            <w:tcMar>
              <w:top w:w="60" w:type="dxa"/>
              <w:left w:w="80" w:type="dxa"/>
              <w:bottom w:w="60" w:type="dxa"/>
              <w:right w:w="80" w:type="dxa"/>
            </w:tcMar>
            <w:vAlign w:val="top"/>
          </w:tcPr>
          <w:p w14:paraId="3DA5D99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D1-Row 1 (suricatalogs.log 15:56:43)</w:t>
            </w:r>
          </w:p>
        </w:tc>
      </w:tr>
      <w:tr w14:paraId="1ACC9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374F82D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FY-002</w:t>
            </w:r>
          </w:p>
        </w:tc>
        <w:tc>
          <w:tcPr>
            <w:tcW w:w="2036" w:type="dxa"/>
            <w:shd w:val="clear" w:color="auto" w:fill="auto"/>
            <w:tcMar>
              <w:top w:w="60" w:type="dxa"/>
              <w:left w:w="80" w:type="dxa"/>
              <w:bottom w:w="60" w:type="dxa"/>
              <w:right w:w="80" w:type="dxa"/>
            </w:tcMar>
            <w:vAlign w:val="top"/>
          </w:tcPr>
          <w:p w14:paraId="6DAA69A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account lockout policy</w:t>
            </w:r>
          </w:p>
          <w:p w14:paraId="624423B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server accepted unlimited parallel login attempts, allowing a brute-force attack to succeed unimpeded.</w:t>
            </w:r>
          </w:p>
        </w:tc>
        <w:tc>
          <w:tcPr>
            <w:tcW w:w="1960" w:type="dxa"/>
            <w:shd w:val="clear" w:color="auto" w:fill="auto"/>
            <w:tcMar>
              <w:top w:w="60" w:type="dxa"/>
              <w:left w:w="80" w:type="dxa"/>
              <w:bottom w:w="60" w:type="dxa"/>
              <w:right w:w="80" w:type="dxa"/>
            </w:tcMar>
            <w:vAlign w:val="top"/>
          </w:tcPr>
          <w:p w14:paraId="3460A27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Server login accounts</w:t>
            </w:r>
          </w:p>
          <w:p w14:paraId="00B043A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External attacker (automated brute force)</w:t>
            </w:r>
          </w:p>
        </w:tc>
        <w:tc>
          <w:tcPr>
            <w:tcW w:w="1320" w:type="dxa"/>
            <w:shd w:val="clear" w:color="auto" w:fill="auto"/>
            <w:tcMar>
              <w:top w:w="60" w:type="dxa"/>
              <w:left w:w="80" w:type="dxa"/>
              <w:bottom w:w="60" w:type="dxa"/>
              <w:right w:w="80" w:type="dxa"/>
            </w:tcMar>
            <w:vAlign w:val="top"/>
          </w:tcPr>
          <w:p w14:paraId="50EAEB9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H — brute force succeeded in the incident</w:t>
            </w:r>
          </w:p>
          <w:p w14:paraId="068854E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H — enabled the confirmed breach</w:t>
            </w:r>
          </w:p>
          <w:p w14:paraId="31722AD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CRITICAL</w:t>
            </w:r>
          </w:p>
        </w:tc>
        <w:tc>
          <w:tcPr>
            <w:tcW w:w="2338" w:type="dxa"/>
            <w:shd w:val="clear" w:color="auto" w:fill="auto"/>
            <w:tcMar>
              <w:top w:w="60" w:type="dxa"/>
              <w:left w:w="80" w:type="dxa"/>
              <w:bottom w:w="60" w:type="dxa"/>
              <w:right w:w="80" w:type="dxa"/>
            </w:tcMar>
            <w:vAlign w:val="top"/>
          </w:tcPr>
          <w:p w14:paraId="257C564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None — unlimited login attempts permitted</w:t>
            </w:r>
          </w:p>
          <w:p w14:paraId="768873E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No lockout, rate-limiting, or throttling after failed attempts</w:t>
            </w:r>
          </w:p>
        </w:tc>
        <w:tc>
          <w:tcPr>
            <w:tcW w:w="2489" w:type="dxa"/>
            <w:shd w:val="clear" w:color="auto" w:fill="auto"/>
            <w:tcMar>
              <w:top w:w="60" w:type="dxa"/>
              <w:left w:w="80" w:type="dxa"/>
              <w:bottom w:w="60" w:type="dxa"/>
              <w:right w:w="80" w:type="dxa"/>
            </w:tcMar>
            <w:vAlign w:val="top"/>
          </w:tcPr>
          <w:p w14:paraId="058DE3C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 account lockout after 5 failed attempts with exponential backoff; deploy fail2ban or an equivalent intrusion-prevention tool.</w:t>
            </w:r>
          </w:p>
        </w:tc>
        <w:tc>
          <w:tcPr>
            <w:tcW w:w="1282" w:type="dxa"/>
            <w:shd w:val="clear" w:color="auto" w:fill="auto"/>
            <w:tcMar>
              <w:top w:w="60" w:type="dxa"/>
              <w:left w:w="80" w:type="dxa"/>
              <w:bottom w:w="60" w:type="dxa"/>
              <w:right w:w="80" w:type="dxa"/>
            </w:tcMar>
            <w:vAlign w:val="top"/>
          </w:tcPr>
          <w:p w14:paraId="22A6430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 Support Lead</w:t>
            </w:r>
          </w:p>
        </w:tc>
        <w:tc>
          <w:tcPr>
            <w:tcW w:w="679" w:type="dxa"/>
            <w:shd w:val="clear" w:color="auto" w:fill="auto"/>
            <w:tcMar>
              <w:top w:w="60" w:type="dxa"/>
              <w:left w:w="80" w:type="dxa"/>
              <w:bottom w:w="60" w:type="dxa"/>
              <w:right w:w="80" w:type="dxa"/>
            </w:tcMar>
            <w:vAlign w:val="top"/>
          </w:tcPr>
          <w:p w14:paraId="0A216D0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806" w:type="dxa"/>
            <w:shd w:val="clear" w:color="auto" w:fill="auto"/>
            <w:tcMar>
              <w:top w:w="60" w:type="dxa"/>
              <w:left w:w="80" w:type="dxa"/>
              <w:bottom w:w="60" w:type="dxa"/>
              <w:right w:w="80" w:type="dxa"/>
            </w:tcMar>
            <w:vAlign w:val="top"/>
          </w:tcPr>
          <w:p w14:paraId="1B10E09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D1-Row 4 (24 failed SSH passwords across 4 sessions)</w:t>
            </w:r>
          </w:p>
        </w:tc>
      </w:tr>
      <w:tr w14:paraId="1F794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2358664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FY-003</w:t>
            </w:r>
          </w:p>
        </w:tc>
        <w:tc>
          <w:tcPr>
            <w:tcW w:w="2036" w:type="dxa"/>
            <w:shd w:val="clear" w:color="auto" w:fill="auto"/>
            <w:tcMar>
              <w:top w:w="60" w:type="dxa"/>
              <w:left w:w="80" w:type="dxa"/>
              <w:bottom w:w="60" w:type="dxa"/>
              <w:right w:w="80" w:type="dxa"/>
            </w:tcMar>
            <w:vAlign w:val="top"/>
          </w:tcPr>
          <w:p w14:paraId="7E11169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Customer personal data unencrypted at rest</w:t>
            </w:r>
          </w:p>
          <w:p w14:paraId="5DE2B03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Customer personal data was stored on the server without encryption, increasing the severity of the exfiltration.</w:t>
            </w:r>
          </w:p>
        </w:tc>
        <w:tc>
          <w:tcPr>
            <w:tcW w:w="1960" w:type="dxa"/>
            <w:shd w:val="clear" w:color="auto" w:fill="auto"/>
            <w:tcMar>
              <w:top w:w="60" w:type="dxa"/>
              <w:left w:w="80" w:type="dxa"/>
              <w:bottom w:w="60" w:type="dxa"/>
              <w:right w:w="80" w:type="dxa"/>
            </w:tcMar>
            <w:vAlign w:val="top"/>
          </w:tcPr>
          <w:p w14:paraId="1A95EE0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Customer database</w:t>
            </w:r>
          </w:p>
          <w:p w14:paraId="232427F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Attacker with server access (data exfiltration)</w:t>
            </w:r>
          </w:p>
        </w:tc>
        <w:tc>
          <w:tcPr>
            <w:tcW w:w="1320" w:type="dxa"/>
            <w:shd w:val="clear" w:color="auto" w:fill="auto"/>
            <w:tcMar>
              <w:top w:w="60" w:type="dxa"/>
              <w:left w:w="80" w:type="dxa"/>
              <w:bottom w:w="60" w:type="dxa"/>
              <w:right w:w="80" w:type="dxa"/>
            </w:tcMar>
            <w:vAlign w:val="top"/>
          </w:tcPr>
          <w:p w14:paraId="32EBD71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M — dependent on server compromise, which occurred</w:t>
            </w:r>
          </w:p>
          <w:p w14:paraId="4FDB9CB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H — personal data exposure under UK GDPR</w:t>
            </w:r>
          </w:p>
          <w:p w14:paraId="32DBCE1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HIGH</w:t>
            </w:r>
          </w:p>
        </w:tc>
        <w:tc>
          <w:tcPr>
            <w:tcW w:w="2338" w:type="dxa"/>
            <w:shd w:val="clear" w:color="auto" w:fill="auto"/>
            <w:tcMar>
              <w:top w:w="60" w:type="dxa"/>
              <w:left w:w="80" w:type="dxa"/>
              <w:bottom w:w="60" w:type="dxa"/>
              <w:right w:w="80" w:type="dxa"/>
            </w:tcMar>
            <w:vAlign w:val="top"/>
          </w:tcPr>
          <w:p w14:paraId="6802C63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None — plaintext storage</w:t>
            </w:r>
          </w:p>
          <w:p w14:paraId="595A5D2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No encryption-at-rest for personal data; no data classification process</w:t>
            </w:r>
          </w:p>
        </w:tc>
        <w:tc>
          <w:tcPr>
            <w:tcW w:w="2489" w:type="dxa"/>
            <w:shd w:val="clear" w:color="auto" w:fill="auto"/>
            <w:tcMar>
              <w:top w:w="60" w:type="dxa"/>
              <w:left w:w="80" w:type="dxa"/>
              <w:bottom w:w="60" w:type="dxa"/>
              <w:right w:w="80" w:type="dxa"/>
            </w:tcMar>
            <w:vAlign w:val="top"/>
          </w:tcPr>
          <w:p w14:paraId="7BB2C04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Encrypt the customer database at rest (AES-256) with managed key rotation; classify and inventory personal data per UK GDPR Article 32.</w:t>
            </w:r>
          </w:p>
        </w:tc>
        <w:tc>
          <w:tcPr>
            <w:tcW w:w="1282" w:type="dxa"/>
            <w:shd w:val="clear" w:color="auto" w:fill="auto"/>
            <w:tcMar>
              <w:top w:w="60" w:type="dxa"/>
              <w:left w:w="80" w:type="dxa"/>
              <w:bottom w:w="60" w:type="dxa"/>
              <w:right w:w="80" w:type="dxa"/>
            </w:tcMar>
            <w:vAlign w:val="top"/>
          </w:tcPr>
          <w:p w14:paraId="623BC28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Data Protection Lead / IT Support Lead</w:t>
            </w:r>
          </w:p>
        </w:tc>
        <w:tc>
          <w:tcPr>
            <w:tcW w:w="679" w:type="dxa"/>
            <w:shd w:val="clear" w:color="auto" w:fill="auto"/>
            <w:tcMar>
              <w:top w:w="60" w:type="dxa"/>
              <w:left w:w="80" w:type="dxa"/>
              <w:bottom w:w="60" w:type="dxa"/>
              <w:right w:w="80" w:type="dxa"/>
            </w:tcMar>
            <w:vAlign w:val="top"/>
          </w:tcPr>
          <w:p w14:paraId="671704E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806" w:type="dxa"/>
            <w:shd w:val="clear" w:color="auto" w:fill="auto"/>
            <w:tcMar>
              <w:top w:w="60" w:type="dxa"/>
              <w:left w:w="80" w:type="dxa"/>
              <w:bottom w:w="60" w:type="dxa"/>
              <w:right w:w="80" w:type="dxa"/>
            </w:tcMar>
            <w:vAlign w:val="top"/>
          </w:tcPr>
          <w:p w14:paraId="77B9D2F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D2 (UK GDPR data exposure finding)</w:t>
            </w:r>
          </w:p>
        </w:tc>
      </w:tr>
      <w:tr w14:paraId="2570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52A032A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FY-004</w:t>
            </w:r>
          </w:p>
        </w:tc>
        <w:tc>
          <w:tcPr>
            <w:tcW w:w="2036" w:type="dxa"/>
            <w:shd w:val="clear" w:color="auto" w:fill="auto"/>
            <w:tcMar>
              <w:top w:w="60" w:type="dxa"/>
              <w:left w:w="80" w:type="dxa"/>
              <w:bottom w:w="60" w:type="dxa"/>
              <w:right w:w="80" w:type="dxa"/>
            </w:tcMar>
            <w:vAlign w:val="top"/>
          </w:tcPr>
          <w:p w14:paraId="0128944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network firewall</w:t>
            </w:r>
          </w:p>
          <w:p w14:paraId="25A2CDD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server was directly reachable from the external network with no perimeter control restricting inbound access.</w:t>
            </w:r>
          </w:p>
        </w:tc>
        <w:tc>
          <w:tcPr>
            <w:tcW w:w="1960" w:type="dxa"/>
            <w:shd w:val="clear" w:color="auto" w:fill="auto"/>
            <w:tcMar>
              <w:top w:w="60" w:type="dxa"/>
              <w:left w:w="80" w:type="dxa"/>
              <w:bottom w:w="60" w:type="dxa"/>
              <w:right w:w="80" w:type="dxa"/>
            </w:tcMar>
            <w:vAlign w:val="top"/>
          </w:tcPr>
          <w:p w14:paraId="0F1094E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Central server; full network perimeter</w:t>
            </w:r>
          </w:p>
          <w:p w14:paraId="0673106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External attacker (direct access)</w:t>
            </w:r>
          </w:p>
        </w:tc>
        <w:tc>
          <w:tcPr>
            <w:tcW w:w="1320" w:type="dxa"/>
            <w:shd w:val="clear" w:color="auto" w:fill="auto"/>
            <w:tcMar>
              <w:top w:w="60" w:type="dxa"/>
              <w:left w:w="80" w:type="dxa"/>
              <w:bottom w:w="60" w:type="dxa"/>
              <w:right w:w="80" w:type="dxa"/>
            </w:tcMar>
            <w:vAlign w:val="top"/>
          </w:tcPr>
          <w:p w14:paraId="1CE12FB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H — all attacker IPs reached the server directly</w:t>
            </w:r>
          </w:p>
          <w:p w14:paraId="478F46F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H — removed the primary line of defence</w:t>
            </w:r>
          </w:p>
          <w:p w14:paraId="5BB64E9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CRITICAL</w:t>
            </w:r>
          </w:p>
        </w:tc>
        <w:tc>
          <w:tcPr>
            <w:tcW w:w="2338" w:type="dxa"/>
            <w:shd w:val="clear" w:color="auto" w:fill="auto"/>
            <w:tcMar>
              <w:top w:w="60" w:type="dxa"/>
              <w:left w:w="80" w:type="dxa"/>
              <w:bottom w:w="60" w:type="dxa"/>
              <w:right w:w="80" w:type="dxa"/>
            </w:tcMar>
            <w:vAlign w:val="top"/>
          </w:tcPr>
          <w:p w14:paraId="12FA8B5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None — server directly exposed</w:t>
            </w:r>
          </w:p>
          <w:p w14:paraId="2CEA70C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No perimeter firewall or access-control list restricting inbound connections</w:t>
            </w:r>
          </w:p>
        </w:tc>
        <w:tc>
          <w:tcPr>
            <w:tcW w:w="2489" w:type="dxa"/>
            <w:shd w:val="clear" w:color="auto" w:fill="auto"/>
            <w:tcMar>
              <w:top w:w="60" w:type="dxa"/>
              <w:left w:w="80" w:type="dxa"/>
              <w:bottom w:w="60" w:type="dxa"/>
              <w:right w:w="80" w:type="dxa"/>
            </w:tcMar>
            <w:vAlign w:val="top"/>
          </w:tcPr>
          <w:p w14:paraId="0529698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a perimeter firewall restricting inbound access to required services and known IP ranges only; require VPN for remote administration.</w:t>
            </w:r>
          </w:p>
        </w:tc>
        <w:tc>
          <w:tcPr>
            <w:tcW w:w="1282" w:type="dxa"/>
            <w:shd w:val="clear" w:color="auto" w:fill="auto"/>
            <w:tcMar>
              <w:top w:w="60" w:type="dxa"/>
              <w:left w:w="80" w:type="dxa"/>
              <w:bottom w:w="60" w:type="dxa"/>
              <w:right w:w="80" w:type="dxa"/>
            </w:tcMar>
            <w:vAlign w:val="top"/>
          </w:tcPr>
          <w:p w14:paraId="0824D0E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 Support Lead</w:t>
            </w:r>
          </w:p>
        </w:tc>
        <w:tc>
          <w:tcPr>
            <w:tcW w:w="679" w:type="dxa"/>
            <w:shd w:val="clear" w:color="auto" w:fill="auto"/>
            <w:tcMar>
              <w:top w:w="60" w:type="dxa"/>
              <w:left w:w="80" w:type="dxa"/>
              <w:bottom w:w="60" w:type="dxa"/>
              <w:right w:w="80" w:type="dxa"/>
            </w:tcMar>
            <w:vAlign w:val="top"/>
          </w:tcPr>
          <w:p w14:paraId="3C2FC79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806" w:type="dxa"/>
            <w:shd w:val="clear" w:color="auto" w:fill="auto"/>
            <w:tcMar>
              <w:top w:w="60" w:type="dxa"/>
              <w:left w:w="80" w:type="dxa"/>
              <w:bottom w:w="60" w:type="dxa"/>
              <w:right w:w="80" w:type="dxa"/>
            </w:tcMar>
            <w:vAlign w:val="top"/>
          </w:tcPr>
          <w:p w14:paraId="3B4312C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D1 (attacker IPs on 192.168.56.x subnet)</w:t>
            </w:r>
          </w:p>
        </w:tc>
      </w:tr>
      <w:tr w14:paraId="6F2FC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5EFFD36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FY-005</w:t>
            </w:r>
          </w:p>
        </w:tc>
        <w:tc>
          <w:tcPr>
            <w:tcW w:w="2036" w:type="dxa"/>
            <w:shd w:val="clear" w:color="auto" w:fill="auto"/>
            <w:tcMar>
              <w:top w:w="60" w:type="dxa"/>
              <w:left w:w="80" w:type="dxa"/>
              <w:bottom w:w="60" w:type="dxa"/>
              <w:right w:w="80" w:type="dxa"/>
            </w:tcMar>
            <w:vAlign w:val="top"/>
          </w:tcPr>
          <w:p w14:paraId="6952650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persistent IDS monitoring</w:t>
            </w:r>
          </w:p>
          <w:p w14:paraId="24E65C8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Suricata was only started reactively during the incident, so reconnaissance on Day 1 went completely undetected.</w:t>
            </w:r>
          </w:p>
        </w:tc>
        <w:tc>
          <w:tcPr>
            <w:tcW w:w="1960" w:type="dxa"/>
            <w:shd w:val="clear" w:color="auto" w:fill="auto"/>
            <w:tcMar>
              <w:top w:w="60" w:type="dxa"/>
              <w:left w:w="80" w:type="dxa"/>
              <w:bottom w:w="60" w:type="dxa"/>
              <w:right w:w="80" w:type="dxa"/>
            </w:tcMar>
            <w:vAlign w:val="top"/>
          </w:tcPr>
          <w:p w14:paraId="3739088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Central server; network traffic visibility</w:t>
            </w:r>
          </w:p>
          <w:p w14:paraId="5BE9785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Detection gap enabling all threat sources</w:t>
            </w:r>
          </w:p>
        </w:tc>
        <w:tc>
          <w:tcPr>
            <w:tcW w:w="1320" w:type="dxa"/>
            <w:shd w:val="clear" w:color="auto" w:fill="auto"/>
            <w:tcMar>
              <w:top w:w="60" w:type="dxa"/>
              <w:left w:w="80" w:type="dxa"/>
              <w:bottom w:w="60" w:type="dxa"/>
              <w:right w:w="80" w:type="dxa"/>
            </w:tcMar>
            <w:vAlign w:val="top"/>
          </w:tcPr>
          <w:p w14:paraId="4D8426A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H — recon already went undetected once</w:t>
            </w:r>
          </w:p>
          <w:p w14:paraId="5CD7484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M — delays detection and response for any future incident</w:t>
            </w:r>
          </w:p>
          <w:p w14:paraId="7161AAB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HIGH</w:t>
            </w:r>
          </w:p>
        </w:tc>
        <w:tc>
          <w:tcPr>
            <w:tcW w:w="2338" w:type="dxa"/>
            <w:shd w:val="clear" w:color="auto" w:fill="auto"/>
            <w:tcMar>
              <w:top w:w="60" w:type="dxa"/>
              <w:left w:w="80" w:type="dxa"/>
              <w:bottom w:w="60" w:type="dxa"/>
              <w:right w:w="80" w:type="dxa"/>
            </w:tcMar>
            <w:vAlign w:val="top"/>
          </w:tcPr>
          <w:p w14:paraId="0FFC769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Suricata deployed only during/after the incident</w:t>
            </w:r>
          </w:p>
          <w:p w14:paraId="71A2904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No continuous IDS baseline or always-on alerting</w:t>
            </w:r>
          </w:p>
        </w:tc>
        <w:tc>
          <w:tcPr>
            <w:tcW w:w="2489" w:type="dxa"/>
            <w:shd w:val="clear" w:color="auto" w:fill="auto"/>
            <w:tcMar>
              <w:top w:w="60" w:type="dxa"/>
              <w:left w:w="80" w:type="dxa"/>
              <w:bottom w:w="60" w:type="dxa"/>
              <w:right w:w="80" w:type="dxa"/>
            </w:tcMar>
            <w:vAlign w:val="top"/>
          </w:tcPr>
          <w:p w14:paraId="36A6F47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Suricata (or equivalent) as an always-on managed service with alert routing to IT Support; establish a normal-traffic baseline.</w:t>
            </w:r>
          </w:p>
        </w:tc>
        <w:tc>
          <w:tcPr>
            <w:tcW w:w="1282" w:type="dxa"/>
            <w:shd w:val="clear" w:color="auto" w:fill="auto"/>
            <w:tcMar>
              <w:top w:w="60" w:type="dxa"/>
              <w:left w:w="80" w:type="dxa"/>
              <w:bottom w:w="60" w:type="dxa"/>
              <w:right w:w="80" w:type="dxa"/>
            </w:tcMar>
            <w:vAlign w:val="top"/>
          </w:tcPr>
          <w:p w14:paraId="6C89CC3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 Support Lead</w:t>
            </w:r>
          </w:p>
        </w:tc>
        <w:tc>
          <w:tcPr>
            <w:tcW w:w="679" w:type="dxa"/>
            <w:shd w:val="clear" w:color="auto" w:fill="auto"/>
            <w:tcMar>
              <w:top w:w="60" w:type="dxa"/>
              <w:left w:w="80" w:type="dxa"/>
              <w:bottom w:w="60" w:type="dxa"/>
              <w:right w:w="80" w:type="dxa"/>
            </w:tcMar>
            <w:vAlign w:val="top"/>
          </w:tcPr>
          <w:p w14:paraId="70DDF72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806" w:type="dxa"/>
            <w:shd w:val="clear" w:color="auto" w:fill="auto"/>
            <w:tcMar>
              <w:top w:w="60" w:type="dxa"/>
              <w:left w:w="80" w:type="dxa"/>
              <w:bottom w:w="60" w:type="dxa"/>
              <w:right w:w="80" w:type="dxa"/>
            </w:tcMar>
            <w:vAlign w:val="top"/>
          </w:tcPr>
          <w:p w14:paraId="5D26477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D3 (T1046 reconnaissance undetected on Day 1)</w:t>
            </w:r>
          </w:p>
        </w:tc>
      </w:tr>
      <w:tr w14:paraId="77C6F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30" w:type="dxa"/>
            <w:shd w:val="clear" w:color="auto" w:fill="auto"/>
            <w:tcMar>
              <w:top w:w="60" w:type="dxa"/>
              <w:left w:w="80" w:type="dxa"/>
              <w:bottom w:w="60" w:type="dxa"/>
              <w:right w:w="80" w:type="dxa"/>
            </w:tcMar>
            <w:vAlign w:val="top"/>
          </w:tcPr>
          <w:p w14:paraId="7005AD1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FY-006</w:t>
            </w:r>
          </w:p>
        </w:tc>
        <w:tc>
          <w:tcPr>
            <w:tcW w:w="2036" w:type="dxa"/>
            <w:shd w:val="clear" w:color="auto" w:fill="auto"/>
            <w:tcMar>
              <w:top w:w="60" w:type="dxa"/>
              <w:left w:w="80" w:type="dxa"/>
              <w:bottom w:w="60" w:type="dxa"/>
              <w:right w:w="80" w:type="dxa"/>
            </w:tcMar>
            <w:vAlign w:val="top"/>
          </w:tcPr>
          <w:p w14:paraId="4428C2E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Weak password policy</w:t>
            </w:r>
          </w:p>
          <w:p w14:paraId="0241EB1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Accounts used weak, low-complexity passwords, which is why 24 brute-force attempts were sufficient to succeed.</w:t>
            </w:r>
          </w:p>
        </w:tc>
        <w:tc>
          <w:tcPr>
            <w:tcW w:w="1960" w:type="dxa"/>
            <w:shd w:val="clear" w:color="auto" w:fill="auto"/>
            <w:tcMar>
              <w:top w:w="60" w:type="dxa"/>
              <w:left w:w="80" w:type="dxa"/>
              <w:bottom w:w="60" w:type="dxa"/>
              <w:right w:w="80" w:type="dxa"/>
            </w:tcMar>
            <w:vAlign w:val="top"/>
          </w:tcPr>
          <w:p w14:paraId="70A5109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Asset: Server login credentials</w:t>
            </w:r>
          </w:p>
          <w:p w14:paraId="4CABFFB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Threat: External attacker (credential guessing)</w:t>
            </w:r>
          </w:p>
        </w:tc>
        <w:tc>
          <w:tcPr>
            <w:tcW w:w="1320" w:type="dxa"/>
            <w:shd w:val="clear" w:color="auto" w:fill="auto"/>
            <w:tcMar>
              <w:top w:w="60" w:type="dxa"/>
              <w:left w:w="80" w:type="dxa"/>
              <w:bottom w:w="60" w:type="dxa"/>
              <w:right w:w="80" w:type="dxa"/>
            </w:tcMar>
            <w:vAlign w:val="top"/>
          </w:tcPr>
          <w:p w14:paraId="6E72ACE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 H — brute force succeeded within 24 attempts</w:t>
            </w:r>
          </w:p>
          <w:p w14:paraId="68DD0E8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H — directly enabled the confirmed breach</w:t>
            </w:r>
          </w:p>
          <w:p w14:paraId="4DA5DF9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Rating: CRITICAL</w:t>
            </w:r>
          </w:p>
        </w:tc>
        <w:tc>
          <w:tcPr>
            <w:tcW w:w="2338" w:type="dxa"/>
            <w:shd w:val="clear" w:color="auto" w:fill="auto"/>
            <w:tcMar>
              <w:top w:w="60" w:type="dxa"/>
              <w:left w:w="80" w:type="dxa"/>
              <w:bottom w:w="60" w:type="dxa"/>
              <w:right w:w="80" w:type="dxa"/>
            </w:tcMar>
            <w:vAlign w:val="top"/>
          </w:tcPr>
          <w:p w14:paraId="7682DD1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Controls: No enforced password complexity or length requirement</w:t>
            </w:r>
          </w:p>
          <w:p w14:paraId="2F1F377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Gap: No password policy; no periodic rotation; no key-based auth alternative</w:t>
            </w:r>
          </w:p>
        </w:tc>
        <w:tc>
          <w:tcPr>
            <w:tcW w:w="2489" w:type="dxa"/>
            <w:shd w:val="clear" w:color="auto" w:fill="auto"/>
            <w:tcMar>
              <w:top w:w="60" w:type="dxa"/>
              <w:left w:w="80" w:type="dxa"/>
              <w:bottom w:w="60" w:type="dxa"/>
              <w:right w:w="80" w:type="dxa"/>
            </w:tcMar>
            <w:vAlign w:val="top"/>
          </w:tcPr>
          <w:p w14:paraId="4D06911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Enforce a strong password policy (minimum 14 characters, complexity required); migrate to key-based authentication and deprecate password-only login where feasible.</w:t>
            </w:r>
          </w:p>
        </w:tc>
        <w:tc>
          <w:tcPr>
            <w:tcW w:w="1282" w:type="dxa"/>
            <w:shd w:val="clear" w:color="auto" w:fill="auto"/>
            <w:tcMar>
              <w:top w:w="60" w:type="dxa"/>
              <w:left w:w="80" w:type="dxa"/>
              <w:bottom w:w="60" w:type="dxa"/>
              <w:right w:w="80" w:type="dxa"/>
            </w:tcMar>
            <w:vAlign w:val="top"/>
          </w:tcPr>
          <w:p w14:paraId="47059C3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IT Support Lead</w:t>
            </w:r>
          </w:p>
        </w:tc>
        <w:tc>
          <w:tcPr>
            <w:tcW w:w="679" w:type="dxa"/>
            <w:shd w:val="clear" w:color="auto" w:fill="auto"/>
            <w:tcMar>
              <w:top w:w="60" w:type="dxa"/>
              <w:left w:w="80" w:type="dxa"/>
              <w:bottom w:w="60" w:type="dxa"/>
              <w:right w:w="80" w:type="dxa"/>
            </w:tcMar>
            <w:vAlign w:val="top"/>
          </w:tcPr>
          <w:p w14:paraId="14D80E6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w:t>
            </w:r>
          </w:p>
        </w:tc>
        <w:tc>
          <w:tcPr>
            <w:tcW w:w="1806" w:type="dxa"/>
            <w:shd w:val="clear" w:color="auto" w:fill="auto"/>
            <w:tcMar>
              <w:top w:w="60" w:type="dxa"/>
              <w:left w:w="80" w:type="dxa"/>
              <w:bottom w:w="60" w:type="dxa"/>
              <w:right w:w="80" w:type="dxa"/>
            </w:tcMar>
            <w:vAlign w:val="top"/>
          </w:tcPr>
          <w:p w14:paraId="6370F93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D1-Row 4 (successful brute force after repeated failed attempts)</w:t>
            </w:r>
          </w:p>
        </w:tc>
      </w:tr>
    </w:tbl>
    <w:p w14:paraId="40FDE053">
      <w:pPr>
        <w:spacing w:line="360" w:lineRule="auto"/>
        <w:rPr>
          <w:rFonts w:hint="default" w:ascii="Times New Roman" w:hAnsi="Times New Roman" w:cs="Times New Roman"/>
          <w:color w:val="auto"/>
          <w:sz w:val="24"/>
          <w:szCs w:val="24"/>
        </w:rPr>
        <w:sectPr>
          <w:pgSz w:w="15840" w:h="12240"/>
          <w:pgMar w:top="900" w:right="700" w:bottom="900" w:left="700" w:header="708" w:footer="708" w:gutter="0"/>
          <w:cols w:space="720" w:num="1"/>
          <w:docGrid w:linePitch="360" w:charSpace="0"/>
        </w:sectPr>
      </w:pPr>
    </w:p>
    <w:p w14:paraId="5E69580E">
      <w:pPr>
        <w:spacing w:after="140" w:line="360" w:lineRule="auto"/>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R2 || INCIDENT RESPONSE POLICY</w:t>
      </w:r>
    </w:p>
    <w:p w14:paraId="534C90B9">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Client: Frozen Yoghurt Ltd (United Kingdom)</w:t>
      </w:r>
    </w:p>
    <w:p w14:paraId="1D01A3AF">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1. Policy Statement</w:t>
      </w:r>
    </w:p>
    <w:p w14:paraId="07D0BF5B">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The purpose of this policy is to provide the necessary procedures by which Frozen Yoghurt Ltd can respond to any incidents of information security. This involves the detection, containment, and recovery from any incidents that might occur to the systems of the company and the customer data that resides on such systems. This policy applies to all directors, employees, and contractors who have access to company systems. The purpose of this policy is due to the recent security incident which involved the gaining of unauthorized access to a company server by an external party.</w:t>
      </w:r>
    </w:p>
    <w:p w14:paraId="54281E3D">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2. Scope</w:t>
      </w:r>
    </w:p>
    <w:p w14:paraId="5F05F1AE">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policy applies to: The central server and all the services that operate on the central server. The customer database and all personal information maintained by the company. Remote access to company computers by employees. Remote access provided to third parties or managed service providers to company infrastructure</w:t>
      </w:r>
      <w:r>
        <w:rPr>
          <w:rFonts w:hint="default" w:ascii="Times New Roman" w:hAnsi="Times New Roman" w:cs="Times New Roman"/>
          <w:color w:val="auto"/>
          <w:sz w:val="24"/>
          <w:szCs w:val="24"/>
        </w:rPr>
        <w:t>.</w:t>
      </w:r>
    </w:p>
    <w:p w14:paraId="0795127D">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3. Incident Classification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200"/>
        <w:gridCol w:w="7160"/>
      </w:tblGrid>
      <w:tr w14:paraId="19EFC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shd w:val="clear" w:color="auto" w:fill="auto"/>
            <w:tcMar>
              <w:top w:w="60" w:type="dxa"/>
              <w:left w:w="80" w:type="dxa"/>
              <w:bottom w:w="60" w:type="dxa"/>
              <w:right w:w="80" w:type="dxa"/>
            </w:tcMar>
            <w:vAlign w:val="top"/>
          </w:tcPr>
          <w:p w14:paraId="6D675EE4">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Critical</w:t>
            </w:r>
          </w:p>
        </w:tc>
        <w:tc>
          <w:tcPr>
            <w:tcW w:w="7160" w:type="dxa"/>
            <w:shd w:val="clear" w:color="auto" w:fill="auto"/>
            <w:tcMar>
              <w:top w:w="60" w:type="dxa"/>
              <w:left w:w="80" w:type="dxa"/>
              <w:bottom w:w="60" w:type="dxa"/>
              <w:right w:w="80" w:type="dxa"/>
            </w:tcMar>
            <w:vAlign w:val="top"/>
          </w:tcPr>
          <w:p w14:paraId="22752F8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Successful unauthorised authentication to the central server from an unrecognised external IP address (e.g. via TELNET or SSH); confirmed data exfiltration; ransomware or destructive activity.</w:t>
            </w:r>
          </w:p>
        </w:tc>
      </w:tr>
      <w:tr w14:paraId="71569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shd w:val="clear" w:color="auto" w:fill="auto"/>
            <w:tcMar>
              <w:top w:w="60" w:type="dxa"/>
              <w:left w:w="80" w:type="dxa"/>
              <w:bottom w:w="60" w:type="dxa"/>
              <w:right w:w="80" w:type="dxa"/>
            </w:tcMar>
            <w:vAlign w:val="top"/>
          </w:tcPr>
          <w:p w14:paraId="3D0ABB0A">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High</w:t>
            </w:r>
          </w:p>
        </w:tc>
        <w:tc>
          <w:tcPr>
            <w:tcW w:w="7160" w:type="dxa"/>
            <w:shd w:val="clear" w:color="auto" w:fill="auto"/>
            <w:tcMar>
              <w:top w:w="60" w:type="dxa"/>
              <w:left w:w="80" w:type="dxa"/>
              <w:bottom w:w="60" w:type="dxa"/>
              <w:right w:w="80" w:type="dxa"/>
            </w:tcMar>
            <w:vAlign w:val="top"/>
          </w:tcPr>
          <w:p w14:paraId="728C965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Sustained brute-force attempts against server login accounts (10+ failed attempts within an hour); detection of an unrecognised process or outbound connection from the server; loss of monitoring coverage.</w:t>
            </w:r>
          </w:p>
        </w:tc>
      </w:tr>
      <w:tr w14:paraId="15035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c>
          <w:tcPr>
            <w:tcW w:w="2200" w:type="dxa"/>
            <w:shd w:val="clear" w:color="auto" w:fill="auto"/>
            <w:tcMar>
              <w:top w:w="60" w:type="dxa"/>
              <w:left w:w="80" w:type="dxa"/>
              <w:bottom w:w="60" w:type="dxa"/>
              <w:right w:w="80" w:type="dxa"/>
            </w:tcMar>
            <w:vAlign w:val="top"/>
          </w:tcPr>
          <w:p w14:paraId="2A3A52EC">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Medium</w:t>
            </w:r>
          </w:p>
        </w:tc>
        <w:tc>
          <w:tcPr>
            <w:tcW w:w="7160" w:type="dxa"/>
            <w:shd w:val="clear" w:color="auto" w:fill="auto"/>
            <w:tcMar>
              <w:top w:w="60" w:type="dxa"/>
              <w:left w:w="80" w:type="dxa"/>
              <w:bottom w:w="60" w:type="dxa"/>
              <w:right w:w="80" w:type="dxa"/>
            </w:tcMar>
            <w:vAlign w:val="top"/>
          </w:tcPr>
          <w:p w14:paraId="26040F7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 single unrecognised login attempt that failed; a vulnerability disclosed in software the company runs with no evidence of exploitation; a phishing email reported by staff with no click confirmed.</w:t>
            </w:r>
          </w:p>
        </w:tc>
      </w:tr>
    </w:tbl>
    <w:p w14:paraId="031FDF81">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4. Response Phases (aligned to NIST SP 800-61 Rev 2)</w:t>
      </w:r>
    </w:p>
    <w:p w14:paraId="31A58924">
      <w:pPr>
        <w:pStyle w:val="4"/>
        <w:spacing w:before="180" w:after="8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Preparation</w:t>
      </w:r>
    </w:p>
    <w:p w14:paraId="5757B2E7">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Role: IT Support Lead. Responsibilities: keep IDS (Suricata) and the firewall operational at all times, create an updated list of assets and accounts, and conduct an annual response exercise. Timeline: ongoing. Gaps closed: this phase addresses the gaps identified by the investigation: no persistent IDS and no firewall</w:t>
      </w:r>
      <w:r>
        <w:rPr>
          <w:rFonts w:hint="default" w:ascii="Times New Roman" w:hAnsi="Times New Roman" w:cs="Times New Roman"/>
          <w:color w:val="auto"/>
          <w:sz w:val="24"/>
          <w:szCs w:val="24"/>
        </w:rPr>
        <w:t>.</w:t>
      </w:r>
    </w:p>
    <w:p w14:paraId="12FC0DED">
      <w:pPr>
        <w:pStyle w:val="4"/>
        <w:spacing w:before="180" w:after="8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Identification</w:t>
      </w:r>
    </w:p>
    <w:p w14:paraId="5C5FEFD7">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Role: Responsible, escalating to external GRC/SOC if required. Steps involved: Triage the IDS firewall alert/user alert, ascertain whether any unauthorised access took place and capture the first time when this was noted. Target time: Triage the alert within 1 hour of alerting. Gap: The initial reconnaissance activities done on Day 1 could not be detected due to lack of continuous monitoring – that’s where it was supposed to be captured</w:t>
      </w:r>
      <w:r>
        <w:rPr>
          <w:rFonts w:hint="default" w:ascii="Times New Roman" w:hAnsi="Times New Roman" w:cs="Times New Roman"/>
          <w:color w:val="auto"/>
          <w:sz w:val="24"/>
          <w:szCs w:val="24"/>
        </w:rPr>
        <w:t>.</w:t>
      </w:r>
    </w:p>
    <w:p w14:paraId="14F16B02">
      <w:pPr>
        <w:pStyle w:val="4"/>
        <w:spacing w:before="180" w:after="8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Containment</w:t>
      </w:r>
    </w:p>
    <w:p w14:paraId="62D4957B">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Responsible role: IT Support Lead. Actions: disable the compromised account(s), block the attacking IP range at the firewall, and disable TELNET/insecure remote-access services if still enabled. Time target: within 1 hour of confirmation. Gap addressed: TELNET being enabled with no lockout policy is what allowed the brute force to succeed; disabling it is the single highest-value containment action.</w:t>
      </w:r>
    </w:p>
    <w:p w14:paraId="34B327CF">
      <w:pPr>
        <w:pStyle w:val="4"/>
        <w:spacing w:before="180" w:after="8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Eradication</w:t>
      </w:r>
    </w:p>
    <w:p w14:paraId="0FAAA684">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Responsible role: IT Support Lead, with external technical support if required. Actions: remove any unauthorised accounts or persistence mechanisms, patch or reconfigure the exploited service, and force a password reset across all accounts. Time target: within 24 hours of containment. Gap addressed: the absence of a password complexity policy allowed the breach; eradication must include enforcing the new policy, not just resetting credentials to an equally weak standard.</w:t>
      </w:r>
    </w:p>
    <w:p w14:paraId="32B3FB19">
      <w:pPr>
        <w:pStyle w:val="4"/>
        <w:spacing w:before="180" w:after="8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Recovery</w:t>
      </w:r>
    </w:p>
    <w:p w14:paraId="62608E40">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Responsible role: IT Support Lead. Actions: restore services from a verified clean backup, re-enable monitoring, and validate that TELNET remains disabled and SSH key-based access is in place before returning the server to production. Time target: within 48 hours of eradication. Gap addressed: without a documented recovery runbook, restoration during the actual incident was ad hoc — this phase formalises it.</w:t>
      </w:r>
    </w:p>
    <w:p w14:paraId="073A768D">
      <w:pPr>
        <w:pStyle w:val="4"/>
        <w:spacing w:before="180" w:after="8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Lessons Learned</w:t>
      </w:r>
    </w:p>
    <w:p w14:paraId="2DFA9F17">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Responsible role: IT Support Lead and company directors. Actions: hold a post-incident review within 10 working days, document root cause and control gaps, and update this policy and the risk register accordingly. Time target: review completed and actions assigned within 10 working days. Gap addressed: this is the mechanism that converts a one-off fix into a permanent governance improvement, per the risk register at R1.</w:t>
      </w:r>
    </w:p>
    <w:p w14:paraId="0994C6D9">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5. Notification Requirements</w:t>
      </w:r>
    </w:p>
    <w:p w14:paraId="0CC2F8ED">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Where an incident involves personal data, Frozen Yoghurt Ltd must notify the Information Commissioner's Office (ICO) without undue delay and, where feasible, within 72 hours of becoming aware of the breach, in line with UK GDPR Article 33. Internally, the IT Support Lead must notify company directors immediately upon confirming a Critical or High incident. Where the breach is likely to result in a high risk to individuals, affected customers must also be notified without undue delay under UK GDPR Article 34. NCSC's incident management guidance should be followed for any technical liaison with external responders.</w:t>
      </w:r>
    </w:p>
    <w:p w14:paraId="40796B7B">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6. Evidence Preservation</w:t>
      </w:r>
    </w:p>
    <w:p w14:paraId="30C4DD18">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All evidence must be preserved before any remediation that would alter it. This includes: full packet captures and Suricata/IDS logs covering the incident window; server command and login history (the earlier incident had no bash history captured — this must not recur); a timestamped record of all containment and eradication actions taken; and copies of any files accessed or exfiltrated, where recoverable. Evidence must be stored in a write-once location separate from the affected server and retained for a minimum of 12 months.</w:t>
      </w:r>
    </w:p>
    <w:p w14:paraId="70819285">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7. Policy Review</w:t>
      </w:r>
    </w:p>
    <w:p w14:paraId="639FD13E">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policy is reviewed annually by the IT Support Lead and company directors, or immediately following any Critical or High incident, any material change to the company's systems, or any relevant change in UK data-protection law or NCSC guidance.</w:t>
      </w:r>
    </w:p>
    <w:p w14:paraId="0C475174">
      <w:pPr>
        <w:spacing w:line="360" w:lineRule="auto"/>
        <w:rPr>
          <w:rFonts w:hint="default" w:ascii="Times New Roman" w:hAnsi="Times New Roman" w:cs="Times New Roman"/>
          <w:color w:val="auto"/>
          <w:sz w:val="24"/>
          <w:szCs w:val="24"/>
        </w:rPr>
        <w:sectPr>
          <w:pgSz w:w="12240" w:h="15840"/>
          <w:pgMar w:top="1440" w:right="1440" w:bottom="1440" w:left="1440" w:header="708" w:footer="708" w:gutter="0"/>
          <w:cols w:space="720" w:num="1"/>
          <w:docGrid w:linePitch="360" w:charSpace="0"/>
        </w:sectPr>
      </w:pPr>
    </w:p>
    <w:p w14:paraId="716DAD1D">
      <w:pPr>
        <w:pStyle w:val="3"/>
        <w:spacing w:before="240" w:after="120" w:line="360" w:lineRule="auto"/>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R3 || COMPLIANCE GAP ANALYSIS</w:t>
      </w:r>
      <w:bookmarkStart w:id="0" w:name="_GoBack"/>
      <w:bookmarkEnd w:id="0"/>
    </w:p>
    <w:p w14:paraId="6D072DA4">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A — Framework Mapping: TC.Solutions Fintech</w:t>
      </w:r>
    </w:p>
    <w:tbl>
      <w:tblPr>
        <w:tblStyle w:val="9"/>
        <w:tblW w:w="14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68"/>
        <w:gridCol w:w="1868"/>
        <w:gridCol w:w="1293"/>
        <w:gridCol w:w="1365"/>
        <w:gridCol w:w="3017"/>
        <w:gridCol w:w="2586"/>
        <w:gridCol w:w="2443"/>
      </w:tblGrid>
      <w:tr w14:paraId="5B939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68" w:type="dxa"/>
            <w:shd w:val="clear" w:color="auto" w:fill="auto"/>
            <w:tcMar>
              <w:top w:w="60" w:type="dxa"/>
              <w:left w:w="80" w:type="dxa"/>
              <w:bottom w:w="60" w:type="dxa"/>
              <w:right w:w="80" w:type="dxa"/>
            </w:tcMar>
            <w:vAlign w:val="center"/>
          </w:tcPr>
          <w:p w14:paraId="4A22B6C5">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Framework</w:t>
            </w:r>
          </w:p>
        </w:tc>
        <w:tc>
          <w:tcPr>
            <w:tcW w:w="1868" w:type="dxa"/>
            <w:shd w:val="clear" w:color="auto" w:fill="auto"/>
            <w:tcMar>
              <w:top w:w="60" w:type="dxa"/>
              <w:left w:w="80" w:type="dxa"/>
              <w:bottom w:w="60" w:type="dxa"/>
              <w:right w:w="80" w:type="dxa"/>
            </w:tcMar>
            <w:vAlign w:val="center"/>
          </w:tcPr>
          <w:p w14:paraId="3C7813B4">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Control Area / Function</w:t>
            </w:r>
          </w:p>
        </w:tc>
        <w:tc>
          <w:tcPr>
            <w:tcW w:w="1293" w:type="dxa"/>
            <w:shd w:val="clear" w:color="auto" w:fill="auto"/>
            <w:tcMar>
              <w:top w:w="60" w:type="dxa"/>
              <w:left w:w="80" w:type="dxa"/>
              <w:bottom w:w="60" w:type="dxa"/>
              <w:right w:w="80" w:type="dxa"/>
            </w:tcMar>
            <w:vAlign w:val="center"/>
          </w:tcPr>
          <w:p w14:paraId="75FAE17E">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Control Ref.</w:t>
            </w:r>
          </w:p>
        </w:tc>
        <w:tc>
          <w:tcPr>
            <w:tcW w:w="1365" w:type="dxa"/>
            <w:shd w:val="clear" w:color="auto" w:fill="auto"/>
            <w:tcMar>
              <w:top w:w="60" w:type="dxa"/>
              <w:left w:w="80" w:type="dxa"/>
              <w:bottom w:w="60" w:type="dxa"/>
              <w:right w:w="80" w:type="dxa"/>
            </w:tcMar>
            <w:vAlign w:val="center"/>
          </w:tcPr>
          <w:p w14:paraId="52B5626E">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Status</w:t>
            </w:r>
          </w:p>
        </w:tc>
        <w:tc>
          <w:tcPr>
            <w:tcW w:w="3017" w:type="dxa"/>
            <w:shd w:val="clear" w:color="auto" w:fill="auto"/>
            <w:tcMar>
              <w:top w:w="60" w:type="dxa"/>
              <w:left w:w="80" w:type="dxa"/>
              <w:bottom w:w="60" w:type="dxa"/>
              <w:right w:w="80" w:type="dxa"/>
            </w:tcMar>
            <w:vAlign w:val="center"/>
          </w:tcPr>
          <w:p w14:paraId="3A568F55">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Evidence / Finding</w:t>
            </w:r>
          </w:p>
        </w:tc>
        <w:tc>
          <w:tcPr>
            <w:tcW w:w="2586" w:type="dxa"/>
            <w:shd w:val="clear" w:color="auto" w:fill="auto"/>
            <w:tcMar>
              <w:top w:w="60" w:type="dxa"/>
              <w:left w:w="80" w:type="dxa"/>
              <w:bottom w:w="60" w:type="dxa"/>
              <w:right w:w="80" w:type="dxa"/>
            </w:tcMar>
            <w:vAlign w:val="center"/>
          </w:tcPr>
          <w:p w14:paraId="10440BD8">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Gap Description</w:t>
            </w:r>
          </w:p>
        </w:tc>
        <w:tc>
          <w:tcPr>
            <w:tcW w:w="2443" w:type="dxa"/>
            <w:shd w:val="clear" w:color="auto" w:fill="auto"/>
            <w:tcMar>
              <w:top w:w="60" w:type="dxa"/>
              <w:left w:w="80" w:type="dxa"/>
              <w:bottom w:w="60" w:type="dxa"/>
              <w:right w:w="80" w:type="dxa"/>
            </w:tcMar>
            <w:vAlign w:val="center"/>
          </w:tcPr>
          <w:p w14:paraId="0808571E">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Recommended Action</w:t>
            </w:r>
          </w:p>
        </w:tc>
      </w:tr>
      <w:tr w14:paraId="63659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48573DF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CSF 2.0</w:t>
            </w:r>
          </w:p>
        </w:tc>
        <w:tc>
          <w:tcPr>
            <w:tcW w:w="1868" w:type="dxa"/>
            <w:shd w:val="clear" w:color="auto" w:fill="auto"/>
            <w:tcMar>
              <w:top w:w="60" w:type="dxa"/>
              <w:left w:w="80" w:type="dxa"/>
              <w:bottom w:w="60" w:type="dxa"/>
              <w:right w:w="80" w:type="dxa"/>
            </w:tcMar>
            <w:vAlign w:val="top"/>
          </w:tcPr>
          <w:p w14:paraId="1066715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Protect — PR.AC (Access Control)</w:t>
            </w:r>
          </w:p>
        </w:tc>
        <w:tc>
          <w:tcPr>
            <w:tcW w:w="1293" w:type="dxa"/>
            <w:shd w:val="clear" w:color="auto" w:fill="auto"/>
            <w:tcMar>
              <w:top w:w="60" w:type="dxa"/>
              <w:left w:w="80" w:type="dxa"/>
              <w:bottom w:w="60" w:type="dxa"/>
              <w:right w:w="80" w:type="dxa"/>
            </w:tcMar>
            <w:vAlign w:val="top"/>
          </w:tcPr>
          <w:p w14:paraId="7883D48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PR.AC-01/07</w:t>
            </w:r>
          </w:p>
        </w:tc>
        <w:tc>
          <w:tcPr>
            <w:tcW w:w="1365" w:type="dxa"/>
            <w:shd w:val="clear" w:color="auto" w:fill="auto"/>
            <w:tcMar>
              <w:top w:w="60" w:type="dxa"/>
              <w:left w:w="80" w:type="dxa"/>
              <w:bottom w:w="60" w:type="dxa"/>
              <w:right w:w="80" w:type="dxa"/>
            </w:tcMar>
            <w:vAlign w:val="top"/>
          </w:tcPr>
          <w:p w14:paraId="2FBAB4E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40CCA84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2 D2: no MFA in place on any account</w:t>
            </w:r>
          </w:p>
        </w:tc>
        <w:tc>
          <w:tcPr>
            <w:tcW w:w="2586" w:type="dxa"/>
            <w:shd w:val="clear" w:color="auto" w:fill="auto"/>
            <w:tcMar>
              <w:top w:w="60" w:type="dxa"/>
              <w:left w:w="80" w:type="dxa"/>
              <w:bottom w:w="60" w:type="dxa"/>
              <w:right w:w="80" w:type="dxa"/>
            </w:tcMar>
            <w:vAlign w:val="top"/>
          </w:tcPr>
          <w:p w14:paraId="5FBD275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MFA; no least-privilege review process</w:t>
            </w:r>
          </w:p>
        </w:tc>
        <w:tc>
          <w:tcPr>
            <w:tcW w:w="2443" w:type="dxa"/>
            <w:shd w:val="clear" w:color="auto" w:fill="auto"/>
            <w:tcMar>
              <w:top w:w="60" w:type="dxa"/>
              <w:left w:w="80" w:type="dxa"/>
              <w:bottom w:w="60" w:type="dxa"/>
              <w:right w:w="80" w:type="dxa"/>
            </w:tcMar>
            <w:vAlign w:val="top"/>
          </w:tcPr>
          <w:p w14:paraId="37A013C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Mandate MFA org-wide; conduct quarterly access review</w:t>
            </w:r>
          </w:p>
        </w:tc>
      </w:tr>
      <w:tr w14:paraId="4D54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6CD23AE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CSF 2.0</w:t>
            </w:r>
          </w:p>
        </w:tc>
        <w:tc>
          <w:tcPr>
            <w:tcW w:w="1868" w:type="dxa"/>
            <w:shd w:val="clear" w:color="auto" w:fill="auto"/>
            <w:tcMar>
              <w:top w:w="60" w:type="dxa"/>
              <w:left w:w="80" w:type="dxa"/>
              <w:bottom w:w="60" w:type="dxa"/>
              <w:right w:w="80" w:type="dxa"/>
            </w:tcMar>
            <w:vAlign w:val="top"/>
          </w:tcPr>
          <w:p w14:paraId="0B21703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Protect — PR.DS (Data Security)</w:t>
            </w:r>
          </w:p>
        </w:tc>
        <w:tc>
          <w:tcPr>
            <w:tcW w:w="1293" w:type="dxa"/>
            <w:shd w:val="clear" w:color="auto" w:fill="auto"/>
            <w:tcMar>
              <w:top w:w="60" w:type="dxa"/>
              <w:left w:w="80" w:type="dxa"/>
              <w:bottom w:w="60" w:type="dxa"/>
              <w:right w:w="80" w:type="dxa"/>
            </w:tcMar>
            <w:vAlign w:val="top"/>
          </w:tcPr>
          <w:p w14:paraId="69B37F4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PR.DS-02</w:t>
            </w:r>
          </w:p>
        </w:tc>
        <w:tc>
          <w:tcPr>
            <w:tcW w:w="1365" w:type="dxa"/>
            <w:shd w:val="clear" w:color="auto" w:fill="auto"/>
            <w:tcMar>
              <w:top w:w="60" w:type="dxa"/>
              <w:left w:w="80" w:type="dxa"/>
              <w:bottom w:w="60" w:type="dxa"/>
              <w:right w:w="80" w:type="dxa"/>
            </w:tcMar>
            <w:vAlign w:val="top"/>
          </w:tcPr>
          <w:p w14:paraId="1EFA4D7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2C2F213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2 D1-Row 3: cleartext HTTP POST of credentials</w:t>
            </w:r>
          </w:p>
        </w:tc>
        <w:tc>
          <w:tcPr>
            <w:tcW w:w="2586" w:type="dxa"/>
            <w:shd w:val="clear" w:color="auto" w:fill="auto"/>
            <w:tcMar>
              <w:top w:w="60" w:type="dxa"/>
              <w:left w:w="80" w:type="dxa"/>
              <w:bottom w:w="60" w:type="dxa"/>
              <w:right w:w="80" w:type="dxa"/>
            </w:tcMar>
            <w:vAlign w:val="top"/>
          </w:tcPr>
          <w:p w14:paraId="5B67847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encryption of data in transit for authentication</w:t>
            </w:r>
          </w:p>
        </w:tc>
        <w:tc>
          <w:tcPr>
            <w:tcW w:w="2443" w:type="dxa"/>
            <w:shd w:val="clear" w:color="auto" w:fill="auto"/>
            <w:tcMar>
              <w:top w:w="60" w:type="dxa"/>
              <w:left w:w="80" w:type="dxa"/>
              <w:bottom w:w="60" w:type="dxa"/>
              <w:right w:w="80" w:type="dxa"/>
            </w:tcMar>
            <w:vAlign w:val="top"/>
          </w:tcPr>
          <w:p w14:paraId="54EB13A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Enforce HTTPS/TLS with HSTS across all endpoints</w:t>
            </w:r>
          </w:p>
        </w:tc>
      </w:tr>
      <w:tr w14:paraId="429CE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66C356F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CSF 2.0</w:t>
            </w:r>
          </w:p>
        </w:tc>
        <w:tc>
          <w:tcPr>
            <w:tcW w:w="1868" w:type="dxa"/>
            <w:shd w:val="clear" w:color="auto" w:fill="auto"/>
            <w:tcMar>
              <w:top w:w="60" w:type="dxa"/>
              <w:left w:w="80" w:type="dxa"/>
              <w:bottom w:w="60" w:type="dxa"/>
              <w:right w:w="80" w:type="dxa"/>
            </w:tcMar>
            <w:vAlign w:val="top"/>
          </w:tcPr>
          <w:p w14:paraId="314F159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Detect — DE.CM (Continuous Monitoring)</w:t>
            </w:r>
          </w:p>
        </w:tc>
        <w:tc>
          <w:tcPr>
            <w:tcW w:w="1293" w:type="dxa"/>
            <w:shd w:val="clear" w:color="auto" w:fill="auto"/>
            <w:tcMar>
              <w:top w:w="60" w:type="dxa"/>
              <w:left w:w="80" w:type="dxa"/>
              <w:bottom w:w="60" w:type="dxa"/>
              <w:right w:w="80" w:type="dxa"/>
            </w:tcMar>
            <w:vAlign w:val="top"/>
          </w:tcPr>
          <w:p w14:paraId="3C76FF5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DE.CM-01</w:t>
            </w:r>
          </w:p>
        </w:tc>
        <w:tc>
          <w:tcPr>
            <w:tcW w:w="1365" w:type="dxa"/>
            <w:shd w:val="clear" w:color="auto" w:fill="auto"/>
            <w:tcMar>
              <w:top w:w="60" w:type="dxa"/>
              <w:left w:w="80" w:type="dxa"/>
              <w:bottom w:w="60" w:type="dxa"/>
              <w:right w:w="80" w:type="dxa"/>
            </w:tcMar>
            <w:vAlign w:val="top"/>
          </w:tcPr>
          <w:p w14:paraId="648DEBA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2350FC3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2: no SIEM correlation rule existed for port 4444 traffic</w:t>
            </w:r>
          </w:p>
        </w:tc>
        <w:tc>
          <w:tcPr>
            <w:tcW w:w="2586" w:type="dxa"/>
            <w:shd w:val="clear" w:color="auto" w:fill="auto"/>
            <w:tcMar>
              <w:top w:w="60" w:type="dxa"/>
              <w:left w:w="80" w:type="dxa"/>
              <w:bottom w:w="60" w:type="dxa"/>
              <w:right w:w="80" w:type="dxa"/>
            </w:tcMar>
            <w:vAlign w:val="top"/>
          </w:tcPr>
          <w:p w14:paraId="62D604D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continuous monitoring rule for anomalous outbound traffic</w:t>
            </w:r>
          </w:p>
        </w:tc>
        <w:tc>
          <w:tcPr>
            <w:tcW w:w="2443" w:type="dxa"/>
            <w:shd w:val="clear" w:color="auto" w:fill="auto"/>
            <w:tcMar>
              <w:top w:w="60" w:type="dxa"/>
              <w:left w:w="80" w:type="dxa"/>
              <w:bottom w:w="60" w:type="dxa"/>
              <w:right w:w="80" w:type="dxa"/>
            </w:tcMar>
            <w:vAlign w:val="top"/>
          </w:tcPr>
          <w:p w14:paraId="1E87C31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Build SIEM use-case for beacon-pattern egress; enable egress logging</w:t>
            </w:r>
          </w:p>
        </w:tc>
      </w:tr>
      <w:tr w14:paraId="5A1F9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021E6CF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CSF 2.0</w:t>
            </w:r>
          </w:p>
        </w:tc>
        <w:tc>
          <w:tcPr>
            <w:tcW w:w="1868" w:type="dxa"/>
            <w:shd w:val="clear" w:color="auto" w:fill="auto"/>
            <w:tcMar>
              <w:top w:w="60" w:type="dxa"/>
              <w:left w:w="80" w:type="dxa"/>
              <w:bottom w:w="60" w:type="dxa"/>
              <w:right w:w="80" w:type="dxa"/>
            </w:tcMar>
            <w:vAlign w:val="top"/>
          </w:tcPr>
          <w:p w14:paraId="771671A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Respond — RS.RP (Response Planning)</w:t>
            </w:r>
          </w:p>
        </w:tc>
        <w:tc>
          <w:tcPr>
            <w:tcW w:w="1293" w:type="dxa"/>
            <w:shd w:val="clear" w:color="auto" w:fill="auto"/>
            <w:tcMar>
              <w:top w:w="60" w:type="dxa"/>
              <w:left w:w="80" w:type="dxa"/>
              <w:bottom w:w="60" w:type="dxa"/>
              <w:right w:w="80" w:type="dxa"/>
            </w:tcMar>
            <w:vAlign w:val="top"/>
          </w:tcPr>
          <w:p w14:paraId="7D20149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RS.RP-01</w:t>
            </w:r>
          </w:p>
        </w:tc>
        <w:tc>
          <w:tcPr>
            <w:tcW w:w="1365" w:type="dxa"/>
            <w:shd w:val="clear" w:color="auto" w:fill="auto"/>
            <w:tcMar>
              <w:top w:w="60" w:type="dxa"/>
              <w:left w:w="80" w:type="dxa"/>
              <w:bottom w:w="60" w:type="dxa"/>
              <w:right w:w="80" w:type="dxa"/>
            </w:tcMar>
            <w:vAlign w:val="top"/>
          </w:tcPr>
          <w:p w14:paraId="345CCAC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7978478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2 D2: systemic recommendation notes absence of IR policy</w:t>
            </w:r>
          </w:p>
        </w:tc>
        <w:tc>
          <w:tcPr>
            <w:tcW w:w="2586" w:type="dxa"/>
            <w:shd w:val="clear" w:color="auto" w:fill="auto"/>
            <w:tcMar>
              <w:top w:w="60" w:type="dxa"/>
              <w:left w:w="80" w:type="dxa"/>
              <w:bottom w:w="60" w:type="dxa"/>
              <w:right w:w="80" w:type="dxa"/>
            </w:tcMar>
            <w:vAlign w:val="top"/>
          </w:tcPr>
          <w:p w14:paraId="4A2E32E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documented, tested incident response plan</w:t>
            </w:r>
          </w:p>
        </w:tc>
        <w:tc>
          <w:tcPr>
            <w:tcW w:w="2443" w:type="dxa"/>
            <w:shd w:val="clear" w:color="auto" w:fill="auto"/>
            <w:tcMar>
              <w:top w:w="60" w:type="dxa"/>
              <w:left w:w="80" w:type="dxa"/>
              <w:bottom w:w="60" w:type="dxa"/>
              <w:right w:w="80" w:type="dxa"/>
            </w:tcMar>
            <w:vAlign w:val="top"/>
          </w:tcPr>
          <w:p w14:paraId="2F92F9F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Adopt the R2 Incident Response Policy; run a tabletop exercise within 60 days</w:t>
            </w:r>
          </w:p>
        </w:tc>
      </w:tr>
      <w:tr w14:paraId="1F4E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59CE23C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CSF 2.0</w:t>
            </w:r>
          </w:p>
        </w:tc>
        <w:tc>
          <w:tcPr>
            <w:tcW w:w="1868" w:type="dxa"/>
            <w:shd w:val="clear" w:color="auto" w:fill="auto"/>
            <w:tcMar>
              <w:top w:w="60" w:type="dxa"/>
              <w:left w:w="80" w:type="dxa"/>
              <w:bottom w:w="60" w:type="dxa"/>
              <w:right w:w="80" w:type="dxa"/>
            </w:tcMar>
            <w:vAlign w:val="top"/>
          </w:tcPr>
          <w:p w14:paraId="749273E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Recover — RC.RP (Recovery Planning)</w:t>
            </w:r>
          </w:p>
        </w:tc>
        <w:tc>
          <w:tcPr>
            <w:tcW w:w="1293" w:type="dxa"/>
            <w:shd w:val="clear" w:color="auto" w:fill="auto"/>
            <w:tcMar>
              <w:top w:w="60" w:type="dxa"/>
              <w:left w:w="80" w:type="dxa"/>
              <w:bottom w:w="60" w:type="dxa"/>
              <w:right w:w="80" w:type="dxa"/>
            </w:tcMar>
            <w:vAlign w:val="top"/>
          </w:tcPr>
          <w:p w14:paraId="15E85F6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RC.RP-01</w:t>
            </w:r>
          </w:p>
        </w:tc>
        <w:tc>
          <w:tcPr>
            <w:tcW w:w="1365" w:type="dxa"/>
            <w:shd w:val="clear" w:color="auto" w:fill="auto"/>
            <w:tcMar>
              <w:top w:w="60" w:type="dxa"/>
              <w:left w:w="80" w:type="dxa"/>
              <w:bottom w:w="60" w:type="dxa"/>
              <w:right w:w="80" w:type="dxa"/>
            </w:tcMar>
            <w:vAlign w:val="top"/>
          </w:tcPr>
          <w:p w14:paraId="4B0DC2F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Partial</w:t>
            </w:r>
          </w:p>
        </w:tc>
        <w:tc>
          <w:tcPr>
            <w:tcW w:w="3017" w:type="dxa"/>
            <w:shd w:val="clear" w:color="auto" w:fill="auto"/>
            <w:tcMar>
              <w:top w:w="60" w:type="dxa"/>
              <w:left w:w="80" w:type="dxa"/>
              <w:bottom w:w="60" w:type="dxa"/>
              <w:right w:w="80" w:type="dxa"/>
            </w:tcMar>
            <w:vAlign w:val="top"/>
          </w:tcPr>
          <w:p w14:paraId="6F8EAE1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 hoc system restoration occurred; no documented recovery runbook</w:t>
            </w:r>
          </w:p>
        </w:tc>
        <w:tc>
          <w:tcPr>
            <w:tcW w:w="2586" w:type="dxa"/>
            <w:shd w:val="clear" w:color="auto" w:fill="auto"/>
            <w:tcMar>
              <w:top w:w="60" w:type="dxa"/>
              <w:left w:w="80" w:type="dxa"/>
              <w:bottom w:w="60" w:type="dxa"/>
              <w:right w:w="80" w:type="dxa"/>
            </w:tcMar>
            <w:vAlign w:val="top"/>
          </w:tcPr>
          <w:p w14:paraId="0D72C59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formal business continuity / recovery plan</w:t>
            </w:r>
          </w:p>
        </w:tc>
        <w:tc>
          <w:tcPr>
            <w:tcW w:w="2443" w:type="dxa"/>
            <w:shd w:val="clear" w:color="auto" w:fill="auto"/>
            <w:tcMar>
              <w:top w:w="60" w:type="dxa"/>
              <w:left w:w="80" w:type="dxa"/>
              <w:bottom w:w="60" w:type="dxa"/>
              <w:right w:w="80" w:type="dxa"/>
            </w:tcMar>
            <w:vAlign w:val="top"/>
          </w:tcPr>
          <w:p w14:paraId="1ED32C8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Document a recovery runbook with defined RTO/RPO for payment systems</w:t>
            </w:r>
          </w:p>
        </w:tc>
      </w:tr>
      <w:tr w14:paraId="0DA1D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37BD04C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CBN RBCSF</w:t>
            </w:r>
          </w:p>
        </w:tc>
        <w:tc>
          <w:tcPr>
            <w:tcW w:w="1868" w:type="dxa"/>
            <w:shd w:val="clear" w:color="auto" w:fill="auto"/>
            <w:tcMar>
              <w:top w:w="60" w:type="dxa"/>
              <w:left w:w="80" w:type="dxa"/>
              <w:bottom w:w="60" w:type="dxa"/>
              <w:right w:w="80" w:type="dxa"/>
            </w:tcMar>
            <w:vAlign w:val="top"/>
          </w:tcPr>
          <w:p w14:paraId="247007F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Governance &amp; Risk Management</w:t>
            </w:r>
          </w:p>
        </w:tc>
        <w:tc>
          <w:tcPr>
            <w:tcW w:w="1293" w:type="dxa"/>
            <w:shd w:val="clear" w:color="auto" w:fill="auto"/>
            <w:tcMar>
              <w:top w:w="60" w:type="dxa"/>
              <w:left w:w="80" w:type="dxa"/>
              <w:bottom w:w="60" w:type="dxa"/>
              <w:right w:w="80" w:type="dxa"/>
            </w:tcMar>
            <w:vAlign w:val="top"/>
          </w:tcPr>
          <w:p w14:paraId="424516C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RBCSF Pillar 1</w:t>
            </w:r>
          </w:p>
        </w:tc>
        <w:tc>
          <w:tcPr>
            <w:tcW w:w="1365" w:type="dxa"/>
            <w:shd w:val="clear" w:color="auto" w:fill="auto"/>
            <w:tcMar>
              <w:top w:w="60" w:type="dxa"/>
              <w:left w:w="80" w:type="dxa"/>
              <w:bottom w:w="60" w:type="dxa"/>
              <w:right w:w="80" w:type="dxa"/>
            </w:tcMar>
            <w:vAlign w:val="top"/>
          </w:tcPr>
          <w:p w14:paraId="243A013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5AE959C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evidence of a documented cyber-risk governance structure prior to breach</w:t>
            </w:r>
          </w:p>
        </w:tc>
        <w:tc>
          <w:tcPr>
            <w:tcW w:w="2586" w:type="dxa"/>
            <w:shd w:val="clear" w:color="auto" w:fill="auto"/>
            <w:tcMar>
              <w:top w:w="60" w:type="dxa"/>
              <w:left w:w="80" w:type="dxa"/>
              <w:bottom w:w="60" w:type="dxa"/>
              <w:right w:w="80" w:type="dxa"/>
            </w:tcMar>
            <w:vAlign w:val="top"/>
          </w:tcPr>
          <w:p w14:paraId="2186CCD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designated cyber-risk owner or board-level reporting line</w:t>
            </w:r>
          </w:p>
        </w:tc>
        <w:tc>
          <w:tcPr>
            <w:tcW w:w="2443" w:type="dxa"/>
            <w:shd w:val="clear" w:color="auto" w:fill="auto"/>
            <w:tcMar>
              <w:top w:w="60" w:type="dxa"/>
              <w:left w:w="80" w:type="dxa"/>
              <w:bottom w:w="60" w:type="dxa"/>
              <w:right w:w="80" w:type="dxa"/>
            </w:tcMar>
            <w:vAlign w:val="top"/>
          </w:tcPr>
          <w:p w14:paraId="41B690E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Appoint a cyber-risk owner and establish quarterly board reporting</w:t>
            </w:r>
          </w:p>
        </w:tc>
      </w:tr>
      <w:tr w14:paraId="7DCEE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55C17FC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CBN RBCSF</w:t>
            </w:r>
          </w:p>
        </w:tc>
        <w:tc>
          <w:tcPr>
            <w:tcW w:w="1868" w:type="dxa"/>
            <w:shd w:val="clear" w:color="auto" w:fill="auto"/>
            <w:tcMar>
              <w:top w:w="60" w:type="dxa"/>
              <w:left w:w="80" w:type="dxa"/>
              <w:bottom w:w="60" w:type="dxa"/>
              <w:right w:w="80" w:type="dxa"/>
            </w:tcMar>
            <w:vAlign w:val="top"/>
          </w:tcPr>
          <w:p w14:paraId="4A6290B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Access Control &amp; Identity Management</w:t>
            </w:r>
          </w:p>
        </w:tc>
        <w:tc>
          <w:tcPr>
            <w:tcW w:w="1293" w:type="dxa"/>
            <w:shd w:val="clear" w:color="auto" w:fill="auto"/>
            <w:tcMar>
              <w:top w:w="60" w:type="dxa"/>
              <w:left w:w="80" w:type="dxa"/>
              <w:bottom w:w="60" w:type="dxa"/>
              <w:right w:w="80" w:type="dxa"/>
            </w:tcMar>
            <w:vAlign w:val="top"/>
          </w:tcPr>
          <w:p w14:paraId="1E737AC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RBCSF Pillar 4</w:t>
            </w:r>
          </w:p>
        </w:tc>
        <w:tc>
          <w:tcPr>
            <w:tcW w:w="1365" w:type="dxa"/>
            <w:shd w:val="clear" w:color="auto" w:fill="auto"/>
            <w:tcMar>
              <w:top w:w="60" w:type="dxa"/>
              <w:left w:w="80" w:type="dxa"/>
              <w:bottom w:w="60" w:type="dxa"/>
              <w:right w:w="80" w:type="dxa"/>
            </w:tcMar>
            <w:vAlign w:val="top"/>
          </w:tcPr>
          <w:p w14:paraId="79882CF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6A30C72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2 D2 (no MFA); Week 2 D1-Row 7 (dev token in production)</w:t>
            </w:r>
          </w:p>
        </w:tc>
        <w:tc>
          <w:tcPr>
            <w:tcW w:w="2586" w:type="dxa"/>
            <w:shd w:val="clear" w:color="auto" w:fill="auto"/>
            <w:tcMar>
              <w:top w:w="60" w:type="dxa"/>
              <w:left w:w="80" w:type="dxa"/>
              <w:bottom w:w="60" w:type="dxa"/>
              <w:right w:w="80" w:type="dxa"/>
            </w:tcMar>
            <w:vAlign w:val="top"/>
          </w:tcPr>
          <w:p w14:paraId="4CC6FE8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formal identity/access-management control set</w:t>
            </w:r>
          </w:p>
        </w:tc>
        <w:tc>
          <w:tcPr>
            <w:tcW w:w="2443" w:type="dxa"/>
            <w:shd w:val="clear" w:color="auto" w:fill="auto"/>
            <w:tcMar>
              <w:top w:w="60" w:type="dxa"/>
              <w:left w:w="80" w:type="dxa"/>
              <w:bottom w:w="60" w:type="dxa"/>
              <w:right w:w="80" w:type="dxa"/>
            </w:tcMar>
            <w:vAlign w:val="top"/>
          </w:tcPr>
          <w:p w14:paraId="6335B63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 IAM programme covering MFA, token lifecycle, and privileged access</w:t>
            </w:r>
          </w:p>
        </w:tc>
      </w:tr>
    </w:tbl>
    <w:p w14:paraId="63B042F7">
      <w:pPr>
        <w:spacing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br w:type="page"/>
      </w:r>
    </w:p>
    <w:p w14:paraId="504CD1A2">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A — Framework Mapping: Frozen Yoghurt Ltd</w:t>
      </w:r>
    </w:p>
    <w:tbl>
      <w:tblPr>
        <w:tblStyle w:val="9"/>
        <w:tblW w:w="144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41"/>
        <w:gridCol w:w="1848"/>
        <w:gridCol w:w="1507"/>
        <w:gridCol w:w="1355"/>
        <w:gridCol w:w="2950"/>
        <w:gridCol w:w="2537"/>
        <w:gridCol w:w="2402"/>
      </w:tblGrid>
      <w:tr w14:paraId="1A87C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68" w:type="dxa"/>
            <w:shd w:val="clear" w:color="auto" w:fill="auto"/>
            <w:tcMar>
              <w:top w:w="60" w:type="dxa"/>
              <w:left w:w="80" w:type="dxa"/>
              <w:bottom w:w="60" w:type="dxa"/>
              <w:right w:w="80" w:type="dxa"/>
            </w:tcMar>
            <w:vAlign w:val="center"/>
          </w:tcPr>
          <w:p w14:paraId="4049A21B">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Framework</w:t>
            </w:r>
          </w:p>
        </w:tc>
        <w:tc>
          <w:tcPr>
            <w:tcW w:w="1868" w:type="dxa"/>
            <w:shd w:val="clear" w:color="auto" w:fill="auto"/>
            <w:tcMar>
              <w:top w:w="60" w:type="dxa"/>
              <w:left w:w="80" w:type="dxa"/>
              <w:bottom w:w="60" w:type="dxa"/>
              <w:right w:w="80" w:type="dxa"/>
            </w:tcMar>
            <w:vAlign w:val="center"/>
          </w:tcPr>
          <w:p w14:paraId="05D5938B">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Control Area / Function</w:t>
            </w:r>
          </w:p>
        </w:tc>
        <w:tc>
          <w:tcPr>
            <w:tcW w:w="1293" w:type="dxa"/>
            <w:shd w:val="clear" w:color="auto" w:fill="auto"/>
            <w:tcMar>
              <w:top w:w="60" w:type="dxa"/>
              <w:left w:w="80" w:type="dxa"/>
              <w:bottom w:w="60" w:type="dxa"/>
              <w:right w:w="80" w:type="dxa"/>
            </w:tcMar>
            <w:vAlign w:val="center"/>
          </w:tcPr>
          <w:p w14:paraId="1CCE1FB0">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Control Ref.</w:t>
            </w:r>
          </w:p>
        </w:tc>
        <w:tc>
          <w:tcPr>
            <w:tcW w:w="1365" w:type="dxa"/>
            <w:shd w:val="clear" w:color="auto" w:fill="auto"/>
            <w:tcMar>
              <w:top w:w="60" w:type="dxa"/>
              <w:left w:w="80" w:type="dxa"/>
              <w:bottom w:w="60" w:type="dxa"/>
              <w:right w:w="80" w:type="dxa"/>
            </w:tcMar>
            <w:vAlign w:val="center"/>
          </w:tcPr>
          <w:p w14:paraId="0184FAC0">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Status</w:t>
            </w:r>
          </w:p>
        </w:tc>
        <w:tc>
          <w:tcPr>
            <w:tcW w:w="3017" w:type="dxa"/>
            <w:shd w:val="clear" w:color="auto" w:fill="auto"/>
            <w:tcMar>
              <w:top w:w="60" w:type="dxa"/>
              <w:left w:w="80" w:type="dxa"/>
              <w:bottom w:w="60" w:type="dxa"/>
              <w:right w:w="80" w:type="dxa"/>
            </w:tcMar>
            <w:vAlign w:val="center"/>
          </w:tcPr>
          <w:p w14:paraId="0EB80D95">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Evidence / Finding</w:t>
            </w:r>
          </w:p>
        </w:tc>
        <w:tc>
          <w:tcPr>
            <w:tcW w:w="2586" w:type="dxa"/>
            <w:shd w:val="clear" w:color="auto" w:fill="auto"/>
            <w:tcMar>
              <w:top w:w="60" w:type="dxa"/>
              <w:left w:w="80" w:type="dxa"/>
              <w:bottom w:w="60" w:type="dxa"/>
              <w:right w:w="80" w:type="dxa"/>
            </w:tcMar>
            <w:vAlign w:val="center"/>
          </w:tcPr>
          <w:p w14:paraId="6EEE41B4">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Gap Description</w:t>
            </w:r>
          </w:p>
        </w:tc>
        <w:tc>
          <w:tcPr>
            <w:tcW w:w="2443" w:type="dxa"/>
            <w:shd w:val="clear" w:color="auto" w:fill="auto"/>
            <w:tcMar>
              <w:top w:w="60" w:type="dxa"/>
              <w:left w:w="80" w:type="dxa"/>
              <w:bottom w:w="60" w:type="dxa"/>
              <w:right w:w="80" w:type="dxa"/>
            </w:tcMar>
            <w:vAlign w:val="center"/>
          </w:tcPr>
          <w:p w14:paraId="4615CB61">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Recommended Action</w:t>
            </w:r>
          </w:p>
        </w:tc>
      </w:tr>
      <w:tr w14:paraId="763FF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48F3111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CSF 2.0</w:t>
            </w:r>
          </w:p>
        </w:tc>
        <w:tc>
          <w:tcPr>
            <w:tcW w:w="1868" w:type="dxa"/>
            <w:shd w:val="clear" w:color="auto" w:fill="auto"/>
            <w:tcMar>
              <w:top w:w="60" w:type="dxa"/>
              <w:left w:w="80" w:type="dxa"/>
              <w:bottom w:w="60" w:type="dxa"/>
              <w:right w:w="80" w:type="dxa"/>
            </w:tcMar>
            <w:vAlign w:val="top"/>
          </w:tcPr>
          <w:p w14:paraId="2C4CE0E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Protect — PR.AC (Access Control)</w:t>
            </w:r>
          </w:p>
        </w:tc>
        <w:tc>
          <w:tcPr>
            <w:tcW w:w="1293" w:type="dxa"/>
            <w:shd w:val="clear" w:color="auto" w:fill="auto"/>
            <w:tcMar>
              <w:top w:w="60" w:type="dxa"/>
              <w:left w:w="80" w:type="dxa"/>
              <w:bottom w:w="60" w:type="dxa"/>
              <w:right w:w="80" w:type="dxa"/>
            </w:tcMar>
            <w:vAlign w:val="top"/>
          </w:tcPr>
          <w:p w14:paraId="2E73457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PR.AC-07</w:t>
            </w:r>
          </w:p>
        </w:tc>
        <w:tc>
          <w:tcPr>
            <w:tcW w:w="1365" w:type="dxa"/>
            <w:shd w:val="clear" w:color="auto" w:fill="auto"/>
            <w:tcMar>
              <w:top w:w="60" w:type="dxa"/>
              <w:left w:w="80" w:type="dxa"/>
              <w:bottom w:w="60" w:type="dxa"/>
              <w:right w:w="80" w:type="dxa"/>
            </w:tcMar>
            <w:vAlign w:val="top"/>
          </w:tcPr>
          <w:p w14:paraId="110B801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75D379F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D1-Row 4: 24 failed SSH passwords across 4 sessions with no lockout</w:t>
            </w:r>
          </w:p>
        </w:tc>
        <w:tc>
          <w:tcPr>
            <w:tcW w:w="2586" w:type="dxa"/>
            <w:shd w:val="clear" w:color="auto" w:fill="auto"/>
            <w:tcMar>
              <w:top w:w="60" w:type="dxa"/>
              <w:left w:w="80" w:type="dxa"/>
              <w:bottom w:w="60" w:type="dxa"/>
              <w:right w:w="80" w:type="dxa"/>
            </w:tcMar>
            <w:vAlign w:val="top"/>
          </w:tcPr>
          <w:p w14:paraId="47BC73C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account lockout / rate limiting</w:t>
            </w:r>
          </w:p>
        </w:tc>
        <w:tc>
          <w:tcPr>
            <w:tcW w:w="2443" w:type="dxa"/>
            <w:shd w:val="clear" w:color="auto" w:fill="auto"/>
            <w:tcMar>
              <w:top w:w="60" w:type="dxa"/>
              <w:left w:w="80" w:type="dxa"/>
              <w:bottom w:w="60" w:type="dxa"/>
              <w:right w:w="80" w:type="dxa"/>
            </w:tcMar>
            <w:vAlign w:val="top"/>
          </w:tcPr>
          <w:p w14:paraId="6EE1FC3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Implement lockout policy and fail2ban-style throttling</w:t>
            </w:r>
          </w:p>
        </w:tc>
      </w:tr>
      <w:tr w14:paraId="57AE9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7A512F6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CSF 2.0</w:t>
            </w:r>
          </w:p>
        </w:tc>
        <w:tc>
          <w:tcPr>
            <w:tcW w:w="1868" w:type="dxa"/>
            <w:shd w:val="clear" w:color="auto" w:fill="auto"/>
            <w:tcMar>
              <w:top w:w="60" w:type="dxa"/>
              <w:left w:w="80" w:type="dxa"/>
              <w:bottom w:w="60" w:type="dxa"/>
              <w:right w:w="80" w:type="dxa"/>
            </w:tcMar>
            <w:vAlign w:val="top"/>
          </w:tcPr>
          <w:p w14:paraId="68395E1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Protect — PR.DS (Data Security)</w:t>
            </w:r>
          </w:p>
        </w:tc>
        <w:tc>
          <w:tcPr>
            <w:tcW w:w="1293" w:type="dxa"/>
            <w:shd w:val="clear" w:color="auto" w:fill="auto"/>
            <w:tcMar>
              <w:top w:w="60" w:type="dxa"/>
              <w:left w:w="80" w:type="dxa"/>
              <w:bottom w:w="60" w:type="dxa"/>
              <w:right w:w="80" w:type="dxa"/>
            </w:tcMar>
            <w:vAlign w:val="top"/>
          </w:tcPr>
          <w:p w14:paraId="26AA7DC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PR.DS-01</w:t>
            </w:r>
          </w:p>
        </w:tc>
        <w:tc>
          <w:tcPr>
            <w:tcW w:w="1365" w:type="dxa"/>
            <w:shd w:val="clear" w:color="auto" w:fill="auto"/>
            <w:tcMar>
              <w:top w:w="60" w:type="dxa"/>
              <w:left w:w="80" w:type="dxa"/>
              <w:bottom w:w="60" w:type="dxa"/>
              <w:right w:w="80" w:type="dxa"/>
            </w:tcMar>
            <w:vAlign w:val="top"/>
          </w:tcPr>
          <w:p w14:paraId="79B295B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0A6AECB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D2: customer personal data unencrypted at rest</w:t>
            </w:r>
          </w:p>
        </w:tc>
        <w:tc>
          <w:tcPr>
            <w:tcW w:w="2586" w:type="dxa"/>
            <w:shd w:val="clear" w:color="auto" w:fill="auto"/>
            <w:tcMar>
              <w:top w:w="60" w:type="dxa"/>
              <w:left w:w="80" w:type="dxa"/>
              <w:bottom w:w="60" w:type="dxa"/>
              <w:right w:w="80" w:type="dxa"/>
            </w:tcMar>
            <w:vAlign w:val="top"/>
          </w:tcPr>
          <w:p w14:paraId="00642D8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encryption of stored personal data</w:t>
            </w:r>
          </w:p>
        </w:tc>
        <w:tc>
          <w:tcPr>
            <w:tcW w:w="2443" w:type="dxa"/>
            <w:shd w:val="clear" w:color="auto" w:fill="auto"/>
            <w:tcMar>
              <w:top w:w="60" w:type="dxa"/>
              <w:left w:w="80" w:type="dxa"/>
              <w:bottom w:w="60" w:type="dxa"/>
              <w:right w:w="80" w:type="dxa"/>
            </w:tcMar>
            <w:vAlign w:val="top"/>
          </w:tcPr>
          <w:p w14:paraId="1ACB2CC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Encrypt customer database at rest; classify personal data</w:t>
            </w:r>
          </w:p>
        </w:tc>
      </w:tr>
      <w:tr w14:paraId="1AC42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007F6F5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CSF 2.0</w:t>
            </w:r>
          </w:p>
        </w:tc>
        <w:tc>
          <w:tcPr>
            <w:tcW w:w="1868" w:type="dxa"/>
            <w:shd w:val="clear" w:color="auto" w:fill="auto"/>
            <w:tcMar>
              <w:top w:w="60" w:type="dxa"/>
              <w:left w:w="80" w:type="dxa"/>
              <w:bottom w:w="60" w:type="dxa"/>
              <w:right w:w="80" w:type="dxa"/>
            </w:tcMar>
            <w:vAlign w:val="top"/>
          </w:tcPr>
          <w:p w14:paraId="301890B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Detect — DE.CM (Continuous Monitoring)</w:t>
            </w:r>
          </w:p>
        </w:tc>
        <w:tc>
          <w:tcPr>
            <w:tcW w:w="1293" w:type="dxa"/>
            <w:shd w:val="clear" w:color="auto" w:fill="auto"/>
            <w:tcMar>
              <w:top w:w="60" w:type="dxa"/>
              <w:left w:w="80" w:type="dxa"/>
              <w:bottom w:w="60" w:type="dxa"/>
              <w:right w:w="80" w:type="dxa"/>
            </w:tcMar>
            <w:vAlign w:val="top"/>
          </w:tcPr>
          <w:p w14:paraId="29E026A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DE.CM-01</w:t>
            </w:r>
          </w:p>
        </w:tc>
        <w:tc>
          <w:tcPr>
            <w:tcW w:w="1365" w:type="dxa"/>
            <w:shd w:val="clear" w:color="auto" w:fill="auto"/>
            <w:tcMar>
              <w:top w:w="60" w:type="dxa"/>
              <w:left w:w="80" w:type="dxa"/>
              <w:bottom w:w="60" w:type="dxa"/>
              <w:right w:w="80" w:type="dxa"/>
            </w:tcMar>
            <w:vAlign w:val="top"/>
          </w:tcPr>
          <w:p w14:paraId="2717FE3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1C2B63F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Suricata only started during the incident</w:t>
            </w:r>
          </w:p>
        </w:tc>
        <w:tc>
          <w:tcPr>
            <w:tcW w:w="2586" w:type="dxa"/>
            <w:shd w:val="clear" w:color="auto" w:fill="auto"/>
            <w:tcMar>
              <w:top w:w="60" w:type="dxa"/>
              <w:left w:w="80" w:type="dxa"/>
              <w:bottom w:w="60" w:type="dxa"/>
              <w:right w:w="80" w:type="dxa"/>
            </w:tcMar>
            <w:vAlign w:val="top"/>
          </w:tcPr>
          <w:p w14:paraId="34E916E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always-on IDS/monitoring baseline</w:t>
            </w:r>
          </w:p>
        </w:tc>
        <w:tc>
          <w:tcPr>
            <w:tcW w:w="2443" w:type="dxa"/>
            <w:shd w:val="clear" w:color="auto" w:fill="auto"/>
            <w:tcMar>
              <w:top w:w="60" w:type="dxa"/>
              <w:left w:w="80" w:type="dxa"/>
              <w:bottom w:w="60" w:type="dxa"/>
              <w:right w:w="80" w:type="dxa"/>
            </w:tcMar>
            <w:vAlign w:val="top"/>
          </w:tcPr>
          <w:p w14:paraId="611DA17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Suricata as a persistent managed service with alerting</w:t>
            </w:r>
          </w:p>
        </w:tc>
      </w:tr>
      <w:tr w14:paraId="1879D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10D32AD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CSF 2.0</w:t>
            </w:r>
          </w:p>
        </w:tc>
        <w:tc>
          <w:tcPr>
            <w:tcW w:w="1868" w:type="dxa"/>
            <w:shd w:val="clear" w:color="auto" w:fill="auto"/>
            <w:tcMar>
              <w:top w:w="60" w:type="dxa"/>
              <w:left w:w="80" w:type="dxa"/>
              <w:bottom w:w="60" w:type="dxa"/>
              <w:right w:w="80" w:type="dxa"/>
            </w:tcMar>
            <w:vAlign w:val="top"/>
          </w:tcPr>
          <w:p w14:paraId="13A1383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Respond — RS.RP (Response Planning)</w:t>
            </w:r>
          </w:p>
        </w:tc>
        <w:tc>
          <w:tcPr>
            <w:tcW w:w="1293" w:type="dxa"/>
            <w:shd w:val="clear" w:color="auto" w:fill="auto"/>
            <w:tcMar>
              <w:top w:w="60" w:type="dxa"/>
              <w:left w:w="80" w:type="dxa"/>
              <w:bottom w:w="60" w:type="dxa"/>
              <w:right w:w="80" w:type="dxa"/>
            </w:tcMar>
            <w:vAlign w:val="top"/>
          </w:tcPr>
          <w:p w14:paraId="0F3B102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RS.RP-01</w:t>
            </w:r>
          </w:p>
        </w:tc>
        <w:tc>
          <w:tcPr>
            <w:tcW w:w="1365" w:type="dxa"/>
            <w:shd w:val="clear" w:color="auto" w:fill="auto"/>
            <w:tcMar>
              <w:top w:w="60" w:type="dxa"/>
              <w:left w:w="80" w:type="dxa"/>
              <w:bottom w:w="60" w:type="dxa"/>
              <w:right w:w="80" w:type="dxa"/>
            </w:tcMar>
            <w:vAlign w:val="top"/>
          </w:tcPr>
          <w:p w14:paraId="2C10E31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77387DD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D2: systemic recommendation notes absence of IR policy</w:t>
            </w:r>
          </w:p>
        </w:tc>
        <w:tc>
          <w:tcPr>
            <w:tcW w:w="2586" w:type="dxa"/>
            <w:shd w:val="clear" w:color="auto" w:fill="auto"/>
            <w:tcMar>
              <w:top w:w="60" w:type="dxa"/>
              <w:left w:w="80" w:type="dxa"/>
              <w:bottom w:w="60" w:type="dxa"/>
              <w:right w:w="80" w:type="dxa"/>
            </w:tcMar>
            <w:vAlign w:val="top"/>
          </w:tcPr>
          <w:p w14:paraId="33FEC0F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documented incident response plan; ad hoc Wireshark use by IT Support</w:t>
            </w:r>
          </w:p>
        </w:tc>
        <w:tc>
          <w:tcPr>
            <w:tcW w:w="2443" w:type="dxa"/>
            <w:shd w:val="clear" w:color="auto" w:fill="auto"/>
            <w:tcMar>
              <w:top w:w="60" w:type="dxa"/>
              <w:left w:w="80" w:type="dxa"/>
              <w:bottom w:w="60" w:type="dxa"/>
              <w:right w:w="80" w:type="dxa"/>
            </w:tcMar>
            <w:vAlign w:val="top"/>
          </w:tcPr>
          <w:p w14:paraId="6CFDB82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Adopt the R2 Incident Response Policy; formalise response roles</w:t>
            </w:r>
          </w:p>
        </w:tc>
      </w:tr>
      <w:tr w14:paraId="18AD7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2B2FDB0C">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NIST CSF 2.0</w:t>
            </w:r>
          </w:p>
        </w:tc>
        <w:tc>
          <w:tcPr>
            <w:tcW w:w="1868" w:type="dxa"/>
            <w:shd w:val="clear" w:color="auto" w:fill="auto"/>
            <w:tcMar>
              <w:top w:w="60" w:type="dxa"/>
              <w:left w:w="80" w:type="dxa"/>
              <w:bottom w:w="60" w:type="dxa"/>
              <w:right w:w="80" w:type="dxa"/>
            </w:tcMar>
            <w:vAlign w:val="top"/>
          </w:tcPr>
          <w:p w14:paraId="1C90CD8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Recover — RC.RP (Recovery Planning)</w:t>
            </w:r>
          </w:p>
        </w:tc>
        <w:tc>
          <w:tcPr>
            <w:tcW w:w="1293" w:type="dxa"/>
            <w:shd w:val="clear" w:color="auto" w:fill="auto"/>
            <w:tcMar>
              <w:top w:w="60" w:type="dxa"/>
              <w:left w:w="80" w:type="dxa"/>
              <w:bottom w:w="60" w:type="dxa"/>
              <w:right w:w="80" w:type="dxa"/>
            </w:tcMar>
            <w:vAlign w:val="top"/>
          </w:tcPr>
          <w:p w14:paraId="5853271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RC.RP-01</w:t>
            </w:r>
          </w:p>
        </w:tc>
        <w:tc>
          <w:tcPr>
            <w:tcW w:w="1365" w:type="dxa"/>
            <w:shd w:val="clear" w:color="auto" w:fill="auto"/>
            <w:tcMar>
              <w:top w:w="60" w:type="dxa"/>
              <w:left w:w="80" w:type="dxa"/>
              <w:bottom w:w="60" w:type="dxa"/>
              <w:right w:w="80" w:type="dxa"/>
            </w:tcMar>
            <w:vAlign w:val="top"/>
          </w:tcPr>
          <w:p w14:paraId="4810A22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134BF91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recovery documentation found; server rebuilt ad hoc post-incident</w:t>
            </w:r>
          </w:p>
        </w:tc>
        <w:tc>
          <w:tcPr>
            <w:tcW w:w="2586" w:type="dxa"/>
            <w:shd w:val="clear" w:color="auto" w:fill="auto"/>
            <w:tcMar>
              <w:top w:w="60" w:type="dxa"/>
              <w:left w:w="80" w:type="dxa"/>
              <w:bottom w:w="60" w:type="dxa"/>
              <w:right w:w="80" w:type="dxa"/>
            </w:tcMar>
            <w:vAlign w:val="top"/>
          </w:tcPr>
          <w:p w14:paraId="04B7222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business continuity / recovery plan</w:t>
            </w:r>
          </w:p>
        </w:tc>
        <w:tc>
          <w:tcPr>
            <w:tcW w:w="2443" w:type="dxa"/>
            <w:shd w:val="clear" w:color="auto" w:fill="auto"/>
            <w:tcMar>
              <w:top w:w="60" w:type="dxa"/>
              <w:left w:w="80" w:type="dxa"/>
              <w:bottom w:w="60" w:type="dxa"/>
              <w:right w:w="80" w:type="dxa"/>
            </w:tcMar>
            <w:vAlign w:val="top"/>
          </w:tcPr>
          <w:p w14:paraId="1B8D30D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Document a recovery runbook with defined RTO/RPO</w:t>
            </w:r>
          </w:p>
        </w:tc>
      </w:tr>
      <w:tr w14:paraId="1E67E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33EB19E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NCSC Cyber Essentials</w:t>
            </w:r>
          </w:p>
        </w:tc>
        <w:tc>
          <w:tcPr>
            <w:tcW w:w="1868" w:type="dxa"/>
            <w:shd w:val="clear" w:color="auto" w:fill="auto"/>
            <w:tcMar>
              <w:top w:w="60" w:type="dxa"/>
              <w:left w:w="80" w:type="dxa"/>
              <w:bottom w:w="60" w:type="dxa"/>
              <w:right w:w="80" w:type="dxa"/>
            </w:tcMar>
            <w:vAlign w:val="top"/>
          </w:tcPr>
          <w:p w14:paraId="20F31D3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Secure Configuration</w:t>
            </w:r>
          </w:p>
        </w:tc>
        <w:tc>
          <w:tcPr>
            <w:tcW w:w="1293" w:type="dxa"/>
            <w:shd w:val="clear" w:color="auto" w:fill="auto"/>
            <w:tcMar>
              <w:top w:w="60" w:type="dxa"/>
              <w:left w:w="80" w:type="dxa"/>
              <w:bottom w:w="60" w:type="dxa"/>
              <w:right w:w="80" w:type="dxa"/>
            </w:tcMar>
            <w:vAlign w:val="top"/>
          </w:tcPr>
          <w:p w14:paraId="262D168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CE — Secure Configuration</w:t>
            </w:r>
          </w:p>
        </w:tc>
        <w:tc>
          <w:tcPr>
            <w:tcW w:w="1365" w:type="dxa"/>
            <w:shd w:val="clear" w:color="auto" w:fill="auto"/>
            <w:tcMar>
              <w:top w:w="60" w:type="dxa"/>
              <w:left w:w="80" w:type="dxa"/>
              <w:bottom w:w="60" w:type="dxa"/>
              <w:right w:w="80" w:type="dxa"/>
            </w:tcMar>
            <w:vAlign w:val="top"/>
          </w:tcPr>
          <w:p w14:paraId="561C366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3FE7784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D1-Row 1: TELNET (insecure legacy protocol) enabled and internet-reachable</w:t>
            </w:r>
          </w:p>
        </w:tc>
        <w:tc>
          <w:tcPr>
            <w:tcW w:w="2586" w:type="dxa"/>
            <w:shd w:val="clear" w:color="auto" w:fill="auto"/>
            <w:tcMar>
              <w:top w:w="60" w:type="dxa"/>
              <w:left w:w="80" w:type="dxa"/>
              <w:bottom w:w="60" w:type="dxa"/>
              <w:right w:w="80" w:type="dxa"/>
            </w:tcMar>
            <w:vAlign w:val="top"/>
          </w:tcPr>
          <w:p w14:paraId="2A9049E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Insecure default/legacy service left enabled</w:t>
            </w:r>
          </w:p>
        </w:tc>
        <w:tc>
          <w:tcPr>
            <w:tcW w:w="2443" w:type="dxa"/>
            <w:shd w:val="clear" w:color="auto" w:fill="auto"/>
            <w:tcMar>
              <w:top w:w="60" w:type="dxa"/>
              <w:left w:w="80" w:type="dxa"/>
              <w:bottom w:w="60" w:type="dxa"/>
              <w:right w:w="80" w:type="dxa"/>
            </w:tcMar>
            <w:vAlign w:val="top"/>
          </w:tcPr>
          <w:p w14:paraId="46C1572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Disable TELNET; harden configuration baseline per CE control set</w:t>
            </w:r>
          </w:p>
        </w:tc>
      </w:tr>
      <w:tr w14:paraId="2964F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68" w:type="dxa"/>
            <w:shd w:val="clear" w:color="auto" w:fill="auto"/>
            <w:tcMar>
              <w:top w:w="60" w:type="dxa"/>
              <w:left w:w="80" w:type="dxa"/>
              <w:bottom w:w="60" w:type="dxa"/>
              <w:right w:w="80" w:type="dxa"/>
            </w:tcMar>
            <w:vAlign w:val="top"/>
          </w:tcPr>
          <w:p w14:paraId="6479D3A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NCSC Cyber Essentials</w:t>
            </w:r>
          </w:p>
        </w:tc>
        <w:tc>
          <w:tcPr>
            <w:tcW w:w="1868" w:type="dxa"/>
            <w:shd w:val="clear" w:color="auto" w:fill="auto"/>
            <w:tcMar>
              <w:top w:w="60" w:type="dxa"/>
              <w:left w:w="80" w:type="dxa"/>
              <w:bottom w:w="60" w:type="dxa"/>
              <w:right w:w="80" w:type="dxa"/>
            </w:tcMar>
            <w:vAlign w:val="top"/>
          </w:tcPr>
          <w:p w14:paraId="35A9755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Firewalls</w:t>
            </w:r>
          </w:p>
        </w:tc>
        <w:tc>
          <w:tcPr>
            <w:tcW w:w="1293" w:type="dxa"/>
            <w:shd w:val="clear" w:color="auto" w:fill="auto"/>
            <w:tcMar>
              <w:top w:w="60" w:type="dxa"/>
              <w:left w:w="80" w:type="dxa"/>
              <w:bottom w:w="60" w:type="dxa"/>
              <w:right w:w="80" w:type="dxa"/>
            </w:tcMar>
            <w:vAlign w:val="top"/>
          </w:tcPr>
          <w:p w14:paraId="5D5D9E9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CE — Boundary Firewalls</w:t>
            </w:r>
          </w:p>
        </w:tc>
        <w:tc>
          <w:tcPr>
            <w:tcW w:w="1365" w:type="dxa"/>
            <w:shd w:val="clear" w:color="auto" w:fill="auto"/>
            <w:tcMar>
              <w:top w:w="60" w:type="dxa"/>
              <w:left w:w="80" w:type="dxa"/>
              <w:bottom w:w="60" w:type="dxa"/>
              <w:right w:w="80" w:type="dxa"/>
            </w:tcMar>
            <w:vAlign w:val="top"/>
          </w:tcPr>
          <w:p w14:paraId="5F1AB56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3017" w:type="dxa"/>
            <w:shd w:val="clear" w:color="auto" w:fill="auto"/>
            <w:tcMar>
              <w:top w:w="60" w:type="dxa"/>
              <w:left w:w="80" w:type="dxa"/>
              <w:bottom w:w="60" w:type="dxa"/>
              <w:right w:w="80" w:type="dxa"/>
            </w:tcMar>
            <w:vAlign w:val="top"/>
          </w:tcPr>
          <w:p w14:paraId="3AEA77E7">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Week 4 D1: server directly reachable from all attacker IPs with no perimeter control</w:t>
            </w:r>
          </w:p>
        </w:tc>
        <w:tc>
          <w:tcPr>
            <w:tcW w:w="2586" w:type="dxa"/>
            <w:shd w:val="clear" w:color="auto" w:fill="auto"/>
            <w:tcMar>
              <w:top w:w="60" w:type="dxa"/>
              <w:left w:w="80" w:type="dxa"/>
              <w:bottom w:w="60" w:type="dxa"/>
              <w:right w:w="80" w:type="dxa"/>
            </w:tcMar>
            <w:vAlign w:val="top"/>
          </w:tcPr>
          <w:p w14:paraId="11B40438">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boundary firewall restricting inbound traffic</w:t>
            </w:r>
          </w:p>
        </w:tc>
        <w:tc>
          <w:tcPr>
            <w:tcW w:w="2443" w:type="dxa"/>
            <w:shd w:val="clear" w:color="auto" w:fill="auto"/>
            <w:tcMar>
              <w:top w:w="60" w:type="dxa"/>
              <w:left w:w="80" w:type="dxa"/>
              <w:bottom w:w="60" w:type="dxa"/>
              <w:right w:w="80" w:type="dxa"/>
            </w:tcMar>
            <w:vAlign w:val="top"/>
          </w:tcPr>
          <w:p w14:paraId="6EE441E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Deploy and configure a boundary firewall with default-deny inbound rules</w:t>
            </w:r>
          </w:p>
        </w:tc>
      </w:tr>
    </w:tbl>
    <w:p w14:paraId="3AF7B7F8">
      <w:pPr>
        <w:spacing w:line="360" w:lineRule="auto"/>
        <w:rPr>
          <w:rFonts w:hint="default" w:ascii="Times New Roman" w:hAnsi="Times New Roman" w:cs="Times New Roman"/>
          <w:color w:val="auto"/>
          <w:sz w:val="24"/>
          <w:szCs w:val="24"/>
        </w:rPr>
        <w:sectPr>
          <w:pgSz w:w="15840" w:h="12240"/>
          <w:pgMar w:top="900" w:right="700" w:bottom="900" w:left="700" w:header="708" w:footer="708" w:gutter="0"/>
          <w:cols w:space="720" w:num="1"/>
          <w:docGrid w:linePitch="360" w:charSpace="0"/>
        </w:sectPr>
      </w:pPr>
    </w:p>
    <w:p w14:paraId="4F0569A2">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B — Narrative Findings</w:t>
      </w:r>
    </w:p>
    <w:p w14:paraId="3DD941F8">
      <w:pPr>
        <w:pStyle w:val="4"/>
        <w:spacing w:before="180" w:after="8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TC.Solutions Fintech</w:t>
      </w:r>
    </w:p>
    <w:p w14:paraId="4E4B13DB">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At the time the breach took place TC Solutions Fintech was not following most of the NIST controls and the main parts of the CBN framework. They had no multi factor authentication and were sending credentials over unencrypted http. Nothing was set up to catch the command and control signals that came after the phishing attack worked. Recovery planning was only partial at best.</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It feels like they had skipped the basic access controls and monitoring that a regulated fintech should have for payment data. This would mean they were not ready for a CBN assessment. The gaps line up with that view.</w:t>
      </w:r>
      <w:r>
        <w:rPr>
          <w:rFonts w:hint="default" w:ascii="Times New Roman" w:hAnsi="Times New Roman" w:cs="Times New Roman"/>
          <w:color w:val="auto"/>
          <w:sz w:val="24"/>
          <w:szCs w:val="24"/>
          <w:lang w:val="en-US"/>
        </w:rPr>
        <w:t xml:space="preserve"> </w:t>
      </w:r>
      <w:r>
        <w:rPr>
          <w:rFonts w:hint="default" w:ascii="Times New Roman" w:hAnsi="Times New Roman" w:cs="Times New Roman"/>
          <w:color w:val="auto"/>
          <w:sz w:val="24"/>
          <w:szCs w:val="24"/>
        </w:rPr>
        <w:t>Some parts of the recovery side might be seen differently.</w:t>
      </w:r>
      <w:r>
        <w:rPr>
          <w:rFonts w:hint="default" w:ascii="Times New Roman" w:hAnsi="Times New Roman" w:cs="Times New Roman"/>
          <w:color w:val="auto"/>
          <w:sz w:val="24"/>
          <w:szCs w:val="24"/>
        </w:rPr>
        <w:t>.</w:t>
      </w:r>
    </w:p>
    <w:p w14:paraId="7DC0B36C">
      <w:pPr>
        <w:pStyle w:val="4"/>
        <w:spacing w:before="180" w:after="8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Frozen Yoghurt Ltd</w:t>
      </w:r>
    </w:p>
    <w:p w14:paraId="0EFFF256">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Frozen Yoghurt Ltd failed every part of the NIST checks and the two Cyber Essentials ones too. They had a telnet service that anyone could reach online and there was no lockout for bad login attempts. Customer data sat around unencrypted with nothing to stop access. It seems the lack of a firewall and no ongoing checks let a simple attack work on the first try without anyone seeing it. As a smaller company they had not signed up to Cyber Essentials officially. The configuration problems and missing firewalls are still basic things expected under UK GDPR rules though. I think that part holds even if they never got the cert. The whole setup left a lot open.</w:t>
      </w:r>
      <w:r>
        <w:rPr>
          <w:rFonts w:hint="default" w:ascii="Times New Roman" w:hAnsi="Times New Roman" w:cs="Times New Roman"/>
          <w:color w:val="auto"/>
          <w:sz w:val="24"/>
          <w:szCs w:val="24"/>
        </w:rPr>
        <w:t>.</w:t>
      </w:r>
    </w:p>
    <w:p w14:paraId="5F1A34A0">
      <w:pPr>
        <w:pStyle w:val="3"/>
        <w:spacing w:before="240" w:after="120"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Part C — Cross-Case Comparison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5"/>
        <w:gridCol w:w="1750"/>
        <w:gridCol w:w="1750"/>
        <w:gridCol w:w="1198"/>
        <w:gridCol w:w="2267"/>
      </w:tblGrid>
      <w:tr w14:paraId="0A498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95" w:type="dxa"/>
            <w:shd w:val="clear" w:color="auto" w:fill="auto"/>
            <w:tcMar>
              <w:top w:w="60" w:type="dxa"/>
              <w:left w:w="80" w:type="dxa"/>
              <w:bottom w:w="60" w:type="dxa"/>
              <w:right w:w="80" w:type="dxa"/>
            </w:tcMar>
            <w:vAlign w:val="center"/>
          </w:tcPr>
          <w:p w14:paraId="20882B35">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Gap / Control Area</w:t>
            </w:r>
          </w:p>
        </w:tc>
        <w:tc>
          <w:tcPr>
            <w:tcW w:w="1750" w:type="dxa"/>
            <w:shd w:val="clear" w:color="auto" w:fill="auto"/>
            <w:tcMar>
              <w:top w:w="60" w:type="dxa"/>
              <w:left w:w="80" w:type="dxa"/>
              <w:bottom w:w="60" w:type="dxa"/>
              <w:right w:w="80" w:type="dxa"/>
            </w:tcMar>
            <w:vAlign w:val="center"/>
          </w:tcPr>
          <w:p w14:paraId="55CA5B1E">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TC.Solutions</w:t>
            </w:r>
          </w:p>
        </w:tc>
        <w:tc>
          <w:tcPr>
            <w:tcW w:w="1750" w:type="dxa"/>
            <w:shd w:val="clear" w:color="auto" w:fill="auto"/>
            <w:tcMar>
              <w:top w:w="60" w:type="dxa"/>
              <w:left w:w="80" w:type="dxa"/>
              <w:bottom w:w="60" w:type="dxa"/>
              <w:right w:w="80" w:type="dxa"/>
            </w:tcMar>
            <w:vAlign w:val="center"/>
          </w:tcPr>
          <w:p w14:paraId="10CC7843">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Frozen Yoghurt</w:t>
            </w:r>
          </w:p>
        </w:tc>
        <w:tc>
          <w:tcPr>
            <w:tcW w:w="1198" w:type="dxa"/>
            <w:shd w:val="clear" w:color="auto" w:fill="auto"/>
            <w:tcMar>
              <w:top w:w="60" w:type="dxa"/>
              <w:left w:w="80" w:type="dxa"/>
              <w:bottom w:w="60" w:type="dxa"/>
              <w:right w:w="80" w:type="dxa"/>
            </w:tcMar>
            <w:vAlign w:val="center"/>
          </w:tcPr>
          <w:p w14:paraId="5863B579">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Shared?</w:t>
            </w:r>
          </w:p>
        </w:tc>
        <w:tc>
          <w:tcPr>
            <w:tcW w:w="2267" w:type="dxa"/>
            <w:shd w:val="clear" w:color="auto" w:fill="auto"/>
            <w:tcMar>
              <w:top w:w="60" w:type="dxa"/>
              <w:left w:w="80" w:type="dxa"/>
              <w:bottom w:w="60" w:type="dxa"/>
              <w:right w:w="80" w:type="dxa"/>
            </w:tcMar>
            <w:vAlign w:val="center"/>
          </w:tcPr>
          <w:p w14:paraId="32A166AD">
            <w:pPr>
              <w:spacing w:line="360" w:lineRule="auto"/>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GlobalTech Recommendation</w:t>
            </w:r>
          </w:p>
        </w:tc>
      </w:tr>
      <w:tr w14:paraId="590BF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95" w:type="dxa"/>
            <w:shd w:val="clear" w:color="auto" w:fill="auto"/>
            <w:tcMar>
              <w:top w:w="60" w:type="dxa"/>
              <w:left w:w="80" w:type="dxa"/>
              <w:bottom w:w="60" w:type="dxa"/>
              <w:right w:w="80" w:type="dxa"/>
            </w:tcMar>
            <w:vAlign w:val="top"/>
          </w:tcPr>
          <w:p w14:paraId="532B86F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MFA / weak authentication control</w:t>
            </w:r>
          </w:p>
        </w:tc>
        <w:tc>
          <w:tcPr>
            <w:tcW w:w="1750" w:type="dxa"/>
            <w:shd w:val="clear" w:color="auto" w:fill="auto"/>
            <w:tcMar>
              <w:top w:w="60" w:type="dxa"/>
              <w:left w:w="80" w:type="dxa"/>
              <w:bottom w:w="60" w:type="dxa"/>
              <w:right w:w="80" w:type="dxa"/>
            </w:tcMar>
            <w:vAlign w:val="top"/>
          </w:tcPr>
          <w:p w14:paraId="1CB8781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1750" w:type="dxa"/>
            <w:shd w:val="clear" w:color="auto" w:fill="auto"/>
            <w:tcMar>
              <w:top w:w="60" w:type="dxa"/>
              <w:left w:w="80" w:type="dxa"/>
              <w:bottom w:w="60" w:type="dxa"/>
              <w:right w:w="80" w:type="dxa"/>
            </w:tcMar>
            <w:vAlign w:val="top"/>
          </w:tcPr>
          <w:p w14:paraId="4E2F3C4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1198" w:type="dxa"/>
            <w:shd w:val="clear" w:color="auto" w:fill="auto"/>
            <w:tcMar>
              <w:top w:w="60" w:type="dxa"/>
              <w:left w:w="80" w:type="dxa"/>
              <w:bottom w:w="60" w:type="dxa"/>
              <w:right w:w="80" w:type="dxa"/>
            </w:tcMar>
            <w:vAlign w:val="top"/>
          </w:tcPr>
          <w:p w14:paraId="53767A1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tc>
        <w:tc>
          <w:tcPr>
            <w:tcW w:w="2267" w:type="dxa"/>
            <w:shd w:val="clear" w:color="auto" w:fill="auto"/>
            <w:tcMar>
              <w:top w:w="60" w:type="dxa"/>
              <w:left w:w="80" w:type="dxa"/>
              <w:bottom w:w="60" w:type="dxa"/>
              <w:right w:w="80" w:type="dxa"/>
            </w:tcMar>
            <w:vAlign w:val="top"/>
          </w:tcPr>
          <w:p w14:paraId="31EFF40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Mandate MFA (or equivalent step-up authentication) as a baseline requirement for all GlobalTech clients before engagement sign-off.</w:t>
            </w:r>
          </w:p>
        </w:tc>
      </w:tr>
      <w:tr w14:paraId="345AF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95" w:type="dxa"/>
            <w:shd w:val="clear" w:color="auto" w:fill="auto"/>
            <w:tcMar>
              <w:top w:w="60" w:type="dxa"/>
              <w:left w:w="80" w:type="dxa"/>
              <w:bottom w:w="60" w:type="dxa"/>
              <w:right w:w="80" w:type="dxa"/>
            </w:tcMar>
            <w:vAlign w:val="top"/>
          </w:tcPr>
          <w:p w14:paraId="48BCECC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formal Incident Response plan</w:t>
            </w:r>
          </w:p>
        </w:tc>
        <w:tc>
          <w:tcPr>
            <w:tcW w:w="1750" w:type="dxa"/>
            <w:shd w:val="clear" w:color="auto" w:fill="auto"/>
            <w:tcMar>
              <w:top w:w="60" w:type="dxa"/>
              <w:left w:w="80" w:type="dxa"/>
              <w:bottom w:w="60" w:type="dxa"/>
              <w:right w:w="80" w:type="dxa"/>
            </w:tcMar>
            <w:vAlign w:val="top"/>
          </w:tcPr>
          <w:p w14:paraId="4F33746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1750" w:type="dxa"/>
            <w:shd w:val="clear" w:color="auto" w:fill="auto"/>
            <w:tcMar>
              <w:top w:w="60" w:type="dxa"/>
              <w:left w:w="80" w:type="dxa"/>
              <w:bottom w:w="60" w:type="dxa"/>
              <w:right w:w="80" w:type="dxa"/>
            </w:tcMar>
            <w:vAlign w:val="top"/>
          </w:tcPr>
          <w:p w14:paraId="3197D93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1198" w:type="dxa"/>
            <w:shd w:val="clear" w:color="auto" w:fill="auto"/>
            <w:tcMar>
              <w:top w:w="60" w:type="dxa"/>
              <w:left w:w="80" w:type="dxa"/>
              <w:bottom w:w="60" w:type="dxa"/>
              <w:right w:w="80" w:type="dxa"/>
            </w:tcMar>
            <w:vAlign w:val="top"/>
          </w:tcPr>
          <w:p w14:paraId="58DE983E">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tc>
        <w:tc>
          <w:tcPr>
            <w:tcW w:w="2267" w:type="dxa"/>
            <w:shd w:val="clear" w:color="auto" w:fill="auto"/>
            <w:tcMar>
              <w:top w:w="60" w:type="dxa"/>
              <w:left w:w="80" w:type="dxa"/>
              <w:bottom w:w="60" w:type="dxa"/>
              <w:right w:w="80" w:type="dxa"/>
            </w:tcMar>
            <w:vAlign w:val="top"/>
          </w:tcPr>
          <w:p w14:paraId="730793C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Require every client to adopt a documented, NIST SP 800-61–aligned IR policy as a condition of ongoing GlobalTech engagement.</w:t>
            </w:r>
          </w:p>
        </w:tc>
      </w:tr>
      <w:tr w14:paraId="326C2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95" w:type="dxa"/>
            <w:shd w:val="clear" w:color="auto" w:fill="auto"/>
            <w:tcMar>
              <w:top w:w="60" w:type="dxa"/>
              <w:left w:w="80" w:type="dxa"/>
              <w:bottom w:w="60" w:type="dxa"/>
              <w:right w:w="80" w:type="dxa"/>
            </w:tcMar>
            <w:vAlign w:val="top"/>
          </w:tcPr>
          <w:p w14:paraId="208BC3AF">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 continuous monitoring / IDS baseline</w:t>
            </w:r>
          </w:p>
        </w:tc>
        <w:tc>
          <w:tcPr>
            <w:tcW w:w="1750" w:type="dxa"/>
            <w:shd w:val="clear" w:color="auto" w:fill="auto"/>
            <w:tcMar>
              <w:top w:w="60" w:type="dxa"/>
              <w:left w:w="80" w:type="dxa"/>
              <w:bottom w:w="60" w:type="dxa"/>
              <w:right w:w="80" w:type="dxa"/>
            </w:tcMar>
            <w:vAlign w:val="top"/>
          </w:tcPr>
          <w:p w14:paraId="761EB8A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1750" w:type="dxa"/>
            <w:shd w:val="clear" w:color="auto" w:fill="auto"/>
            <w:tcMar>
              <w:top w:w="60" w:type="dxa"/>
              <w:left w:w="80" w:type="dxa"/>
              <w:bottom w:w="60" w:type="dxa"/>
              <w:right w:w="80" w:type="dxa"/>
            </w:tcMar>
            <w:vAlign w:val="top"/>
          </w:tcPr>
          <w:p w14:paraId="4EFC8ADD">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1198" w:type="dxa"/>
            <w:shd w:val="clear" w:color="auto" w:fill="auto"/>
            <w:tcMar>
              <w:top w:w="60" w:type="dxa"/>
              <w:left w:w="80" w:type="dxa"/>
              <w:bottom w:w="60" w:type="dxa"/>
              <w:right w:w="80" w:type="dxa"/>
            </w:tcMar>
            <w:vAlign w:val="top"/>
          </w:tcPr>
          <w:p w14:paraId="3B91738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tc>
        <w:tc>
          <w:tcPr>
            <w:tcW w:w="2267" w:type="dxa"/>
            <w:shd w:val="clear" w:color="auto" w:fill="auto"/>
            <w:tcMar>
              <w:top w:w="60" w:type="dxa"/>
              <w:left w:w="80" w:type="dxa"/>
              <w:bottom w:w="60" w:type="dxa"/>
              <w:right w:w="80" w:type="dxa"/>
            </w:tcMar>
            <w:vAlign w:val="top"/>
          </w:tcPr>
          <w:p w14:paraId="32CDCC2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Recommend a minimum-viable, always-on monitoring solution (SIEM or IDS) as part of every client's baseline security posture.</w:t>
            </w:r>
          </w:p>
        </w:tc>
      </w:tr>
      <w:tr w14:paraId="7A9A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95" w:type="dxa"/>
            <w:shd w:val="clear" w:color="auto" w:fill="auto"/>
            <w:tcMar>
              <w:top w:w="60" w:type="dxa"/>
              <w:left w:w="80" w:type="dxa"/>
              <w:bottom w:w="60" w:type="dxa"/>
              <w:right w:w="80" w:type="dxa"/>
            </w:tcMar>
            <w:vAlign w:val="top"/>
          </w:tcPr>
          <w:p w14:paraId="407C3941">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Unencrypted data (in transit / at rest)</w:t>
            </w:r>
          </w:p>
        </w:tc>
        <w:tc>
          <w:tcPr>
            <w:tcW w:w="1750" w:type="dxa"/>
            <w:shd w:val="clear" w:color="auto" w:fill="auto"/>
            <w:tcMar>
              <w:top w:w="60" w:type="dxa"/>
              <w:left w:w="80" w:type="dxa"/>
              <w:bottom w:w="60" w:type="dxa"/>
              <w:right w:w="80" w:type="dxa"/>
            </w:tcMar>
            <w:vAlign w:val="top"/>
          </w:tcPr>
          <w:p w14:paraId="064D586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1750" w:type="dxa"/>
            <w:shd w:val="clear" w:color="auto" w:fill="auto"/>
            <w:tcMar>
              <w:top w:w="60" w:type="dxa"/>
              <w:left w:w="80" w:type="dxa"/>
              <w:bottom w:w="60" w:type="dxa"/>
              <w:right w:w="80" w:type="dxa"/>
            </w:tcMar>
            <w:vAlign w:val="top"/>
          </w:tcPr>
          <w:p w14:paraId="26133CD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1198" w:type="dxa"/>
            <w:shd w:val="clear" w:color="auto" w:fill="auto"/>
            <w:tcMar>
              <w:top w:w="60" w:type="dxa"/>
              <w:left w:w="80" w:type="dxa"/>
              <w:bottom w:w="60" w:type="dxa"/>
              <w:right w:w="80" w:type="dxa"/>
            </w:tcMar>
            <w:vAlign w:val="top"/>
          </w:tcPr>
          <w:p w14:paraId="54DE1026">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tc>
        <w:tc>
          <w:tcPr>
            <w:tcW w:w="2267" w:type="dxa"/>
            <w:shd w:val="clear" w:color="auto" w:fill="auto"/>
            <w:tcMar>
              <w:top w:w="60" w:type="dxa"/>
              <w:left w:w="80" w:type="dxa"/>
              <w:bottom w:w="60" w:type="dxa"/>
              <w:right w:w="80" w:type="dxa"/>
            </w:tcMar>
            <w:vAlign w:val="top"/>
          </w:tcPr>
          <w:p w14:paraId="0CE2E52A">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Mandate encryption-in-transit (TLS/HSTS) and encryption-at-rest for any client handling customer or payment data.</w:t>
            </w:r>
          </w:p>
        </w:tc>
      </w:tr>
      <w:tr w14:paraId="5088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95" w:type="dxa"/>
            <w:shd w:val="clear" w:color="auto" w:fill="auto"/>
            <w:tcMar>
              <w:top w:w="60" w:type="dxa"/>
              <w:left w:w="80" w:type="dxa"/>
              <w:bottom w:w="60" w:type="dxa"/>
              <w:right w:w="80" w:type="dxa"/>
            </w:tcMar>
            <w:vAlign w:val="top"/>
          </w:tcPr>
          <w:p w14:paraId="3A03A3A4">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Legacy/insecure service exposure</w:t>
            </w:r>
          </w:p>
        </w:tc>
        <w:tc>
          <w:tcPr>
            <w:tcW w:w="1750" w:type="dxa"/>
            <w:shd w:val="clear" w:color="auto" w:fill="auto"/>
            <w:tcMar>
              <w:top w:w="60" w:type="dxa"/>
              <w:left w:w="80" w:type="dxa"/>
              <w:bottom w:w="60" w:type="dxa"/>
              <w:right w:w="80" w:type="dxa"/>
            </w:tcMar>
            <w:vAlign w:val="top"/>
          </w:tcPr>
          <w:p w14:paraId="13E970C5">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Partial (dev token)</w:t>
            </w:r>
          </w:p>
        </w:tc>
        <w:tc>
          <w:tcPr>
            <w:tcW w:w="1750" w:type="dxa"/>
            <w:shd w:val="clear" w:color="auto" w:fill="auto"/>
            <w:tcMar>
              <w:top w:w="60" w:type="dxa"/>
              <w:left w:w="80" w:type="dxa"/>
              <w:bottom w:w="60" w:type="dxa"/>
              <w:right w:w="80" w:type="dxa"/>
            </w:tcMar>
            <w:vAlign w:val="top"/>
          </w:tcPr>
          <w:p w14:paraId="2465866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 (TELNET)</w:t>
            </w:r>
          </w:p>
        </w:tc>
        <w:tc>
          <w:tcPr>
            <w:tcW w:w="1198" w:type="dxa"/>
            <w:shd w:val="clear" w:color="auto" w:fill="auto"/>
            <w:tcMar>
              <w:top w:w="60" w:type="dxa"/>
              <w:left w:w="80" w:type="dxa"/>
              <w:bottom w:w="60" w:type="dxa"/>
              <w:right w:w="80" w:type="dxa"/>
            </w:tcMar>
            <w:vAlign w:val="top"/>
          </w:tcPr>
          <w:p w14:paraId="61958ED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 (pattern differs, root cause shared)</w:t>
            </w:r>
          </w:p>
        </w:tc>
        <w:tc>
          <w:tcPr>
            <w:tcW w:w="2267" w:type="dxa"/>
            <w:shd w:val="clear" w:color="auto" w:fill="auto"/>
            <w:tcMar>
              <w:top w:w="60" w:type="dxa"/>
              <w:left w:w="80" w:type="dxa"/>
              <w:bottom w:w="60" w:type="dxa"/>
              <w:right w:w="80" w:type="dxa"/>
            </w:tcMar>
            <w:vAlign w:val="top"/>
          </w:tcPr>
          <w:p w14:paraId="67B2B96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Run a configuration-hardening review for every new client identifying and retiring legacy or insecure services.</w:t>
            </w:r>
          </w:p>
        </w:tc>
      </w:tr>
      <w:tr w14:paraId="3BCEC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95" w:type="dxa"/>
            <w:shd w:val="clear" w:color="auto" w:fill="auto"/>
            <w:tcMar>
              <w:top w:w="60" w:type="dxa"/>
              <w:left w:w="80" w:type="dxa"/>
              <w:bottom w:w="60" w:type="dxa"/>
              <w:right w:w="80" w:type="dxa"/>
            </w:tcMar>
            <w:vAlign w:val="top"/>
          </w:tcPr>
          <w:p w14:paraId="5B341DB9">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Perimeter access control (firewall/API access)</w:t>
            </w:r>
          </w:p>
        </w:tc>
        <w:tc>
          <w:tcPr>
            <w:tcW w:w="1750" w:type="dxa"/>
            <w:shd w:val="clear" w:color="auto" w:fill="auto"/>
            <w:tcMar>
              <w:top w:w="60" w:type="dxa"/>
              <w:left w:w="80" w:type="dxa"/>
              <w:bottom w:w="60" w:type="dxa"/>
              <w:right w:w="80" w:type="dxa"/>
            </w:tcMar>
            <w:vAlign w:val="top"/>
          </w:tcPr>
          <w:p w14:paraId="5E008ED2">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Partial</w:t>
            </w:r>
          </w:p>
        </w:tc>
        <w:tc>
          <w:tcPr>
            <w:tcW w:w="1750" w:type="dxa"/>
            <w:shd w:val="clear" w:color="auto" w:fill="auto"/>
            <w:tcMar>
              <w:top w:w="60" w:type="dxa"/>
              <w:left w:w="80" w:type="dxa"/>
              <w:bottom w:w="60" w:type="dxa"/>
              <w:right w:w="80" w:type="dxa"/>
            </w:tcMar>
            <w:vAlign w:val="top"/>
          </w:tcPr>
          <w:p w14:paraId="11EA5E10">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Non-Compliant</w:t>
            </w:r>
          </w:p>
        </w:tc>
        <w:tc>
          <w:tcPr>
            <w:tcW w:w="1198" w:type="dxa"/>
            <w:shd w:val="clear" w:color="auto" w:fill="auto"/>
            <w:tcMar>
              <w:top w:w="60" w:type="dxa"/>
              <w:left w:w="80" w:type="dxa"/>
              <w:bottom w:w="60" w:type="dxa"/>
              <w:right w:w="80" w:type="dxa"/>
            </w:tcMar>
            <w:vAlign w:val="top"/>
          </w:tcPr>
          <w:p w14:paraId="3DCAE8DB">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Yes</w:t>
            </w:r>
          </w:p>
        </w:tc>
        <w:tc>
          <w:tcPr>
            <w:tcW w:w="2267" w:type="dxa"/>
            <w:shd w:val="clear" w:color="auto" w:fill="auto"/>
            <w:tcMar>
              <w:top w:w="60" w:type="dxa"/>
              <w:left w:w="80" w:type="dxa"/>
              <w:bottom w:w="60" w:type="dxa"/>
              <w:right w:w="80" w:type="dxa"/>
            </w:tcMar>
            <w:vAlign w:val="top"/>
          </w:tcPr>
          <w:p w14:paraId="78394F63">
            <w:pPr>
              <w:spacing w:after="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Require a documented perimeter control review (firewall rules and API access scoping) at engagement start.</w:t>
            </w:r>
          </w:p>
        </w:tc>
      </w:tr>
    </w:tbl>
    <w:p w14:paraId="4287BD8B">
      <w:pPr>
        <w:spacing w:before="200" w:line="360" w:lineRule="auto"/>
        <w:rPr>
          <w:rFonts w:hint="default" w:ascii="Times New Roman" w:hAnsi="Times New Roman" w:cs="Times New Roman"/>
          <w:color w:val="auto"/>
          <w:sz w:val="24"/>
          <w:szCs w:val="24"/>
        </w:rPr>
      </w:pPr>
    </w:p>
    <w:p w14:paraId="3034D284">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Both breaches trace back to the same underlying pattern despite differing attack vectors: absent baseline access control, no encryption of sensitive data, no continuous monitoring, and no documented incident response plan. GlobalTech's core advisory recommendation is to require a minimum security baseline — MFA, encryption in transit and at rest, always-on monitoring, and a documented IR plan — as a pre-condition of client onboarding, rather than discovering these gaps only after an incident.</w:t>
      </w:r>
    </w:p>
    <w:p w14:paraId="03E1C5D8">
      <w:pPr>
        <w:spacing w:line="360" w:lineRule="auto"/>
        <w:rPr>
          <w:rFonts w:hint="default" w:ascii="Times New Roman" w:hAnsi="Times New Roman" w:cs="Times New Roman"/>
          <w:color w:val="auto"/>
          <w:sz w:val="24"/>
          <w:szCs w:val="24"/>
        </w:rPr>
        <w:sectPr>
          <w:pgSz w:w="12240" w:h="15840"/>
          <w:pgMar w:top="1440" w:right="1440" w:bottom="1440" w:left="1440" w:header="708" w:footer="708" w:gutter="0"/>
          <w:cols w:space="720" w:num="1"/>
          <w:docGrid w:linePitch="360" w:charSpace="0"/>
        </w:sectPr>
      </w:pPr>
    </w:p>
    <w:p w14:paraId="02755EB6">
      <w:pPr>
        <w:spacing w:after="140" w:line="360" w:lineRule="auto"/>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R4 || PART A - JUDGMENT ESSAY</w:t>
      </w:r>
    </w:p>
    <w:p w14:paraId="2FC8522F">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would mark Frozen Yoghurt Ltd as Non-Compliant with NCSC Cyber Essentials — Secure Configuration in the R3 gap analysis, with the finding stated plainly: TELNET was enabled and internet-reachable, which is the specific condition Secure Configuration exists to prevent. The label describes the state of their systems against a defined control, not a judgment about whether they agreed to be measured against it.</w:t>
      </w:r>
    </w:p>
    <w:p w14:paraId="08D41D5D">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I would not mark them N/A. My colleague's instinct is kind, but it conflates two different things: whether an organisation formally committed to a standard, and whether their systems meet the technical condition that standard describes. N/A implies the control doesn't apply to them at all — but an internet-facing, unencrypted remote-access protocol is exactly what Secure Configuration addresses, regardless of certification status. Softening the label to spare their feelings would mean GlobalTech's own gap analysis no longer reflects what we actually found, which undermines the reason the analysis exists.</w:t>
      </w:r>
    </w:p>
    <w:p w14:paraId="6D927F89">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This is governed by the ISC2 Code of Ethics, specifically the canon to "Act honorably, honestly, justly, responsibly, and legally." Honesty here means reporting compliance status based on evidence, not on what is comfortable to say to a small client. Diplomacy has a place — in how we phrase the recommendation and how we support them afterward — but not in altering the underlying finding.</w:t>
      </w:r>
    </w:p>
    <w:p w14:paraId="4FF86DB7">
      <w:pPr>
        <w:spacing w:after="140" w:line="360" w:lineRule="auto"/>
        <w:rPr>
          <w:rFonts w:hint="default" w:ascii="Times New Roman" w:hAnsi="Times New Roman" w:cs="Times New Roman"/>
          <w:color w:val="auto"/>
          <w:sz w:val="24"/>
          <w:szCs w:val="24"/>
        </w:rPr>
      </w:pPr>
      <w:r>
        <w:rPr>
          <w:rFonts w:hint="default" w:ascii="Times New Roman" w:hAnsi="Times New Roman" w:cs="Times New Roman"/>
          <w:color w:val="auto"/>
          <w:sz w:val="24"/>
          <w:szCs w:val="24"/>
        </w:rPr>
        <w:t>Accurate compliance status matters even when it's uncomfortable because Frozen Yoghurt Ltd's insurers, and potentially the ICO, will rely on exactly this kind of documentation. If the company later claims to a cyber-insurance provider that it had no known security gaps, and GlobalTech's own gap analysis shows a Non-Compliant finding on Secure Configuration that was never disclosed, that discrepancy could support a claim denial or, in a regulatory context, an argument that the company failed to demonstrate "appropriate technical and organisational measures" under UK GDPR Article 32 — worsening any ICO enforcement outcome rather than softening it. A kind label today creates a harder conversation later, with higher stakes and less goodwill.</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displayBackgroundShape w:val="1"/>
  <w:documentProtection w:enforcement="0"/>
  <w:compat>
    <w:compatSetting w:name="compatibilityMode" w:uri="http://schemas.microsoft.com/office/word" w:val="15"/>
  </w:compat>
  <w:rsids>
    <w:rsidRoot w:val="00000000"/>
    <w:rsid w:val="0A600591"/>
    <w:rsid w:val="13216E71"/>
    <w:rsid w:val="133F6421"/>
    <w:rsid w:val="1D1F3AD3"/>
    <w:rsid w:val="204C6209"/>
    <w:rsid w:val="244A5795"/>
    <w:rsid w:val="2715112B"/>
    <w:rsid w:val="303F0333"/>
    <w:rsid w:val="35711EBA"/>
    <w:rsid w:val="383A48CB"/>
    <w:rsid w:val="58671CDF"/>
    <w:rsid w:val="62C23D03"/>
    <w:rsid w:val="664C6B61"/>
    <w:rsid w:val="718234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24</Pages>
  <Words>3678</Words>
  <Characters>21438</Characters>
  <TotalTime>3</TotalTime>
  <ScaleCrop>false</ScaleCrop>
  <LinksUpToDate>false</LinksUpToDate>
  <CharactersWithSpaces>24720</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2026-08-10T21:03:00Z</dcterms:created>
  <dc:creator>Un-named</dc:creator>
  <cp:lastModifiedBy>Adeyemi</cp:lastModifiedBy>
  <dcterms:modified xsi:type="dcterms:W3CDTF">2026-08-13T14:22:13Z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eyJoZGlkIjoiNjJiZDc5NTRjYWMyNzA4YTIxYWVlOWExODhkMjBmYmYiLCJ1c2VySWQiOiIxNjY2NTA0NjY4MTkzIn0=</vt:lpwstr>
  </property>
  <property fmtid="{D5CDD505-2E9C-101B-9397-08002B2CF9AE}" pid="3" name="KSOProductBuildVer">
    <vt:lpwstr>1033-12.1.0.28032</vt:lpwstr>
  </property>
  <property fmtid="{D5CDD505-2E9C-101B-9397-08002B2CF9AE}" pid="4" name="ICV">
    <vt:lpwstr>46F9C337231942E98807CAA4A20B3025_13</vt:lpwstr>
  </property>
</Properties>
</file>