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V, Art. 31 et 39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DÉCLARATION D'APPEL OU DE POURVOI EN CASSATION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D5 · Base légale : Code V, Art. 31, 32, 38 et 39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DÉCLARANT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VOIE DE RECOURS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Appel (jugement du Tribunal de Police ou Correctionnel)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Pourvoi en cassation (arrêt de la Cour d'Appel ou d'Assises)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DÉCISION ATTAQUÉE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Juridiction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du prononcé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Délai de 15 jours expire le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de dossier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QUALITÉ DU DÉCLARANT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Prévenu / condamné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Partie civile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Procureur du Roi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PORTÉE DU RECOURS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Culpabilité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Peine</w:t>
            </w:r>
          </w:p>
        </w:tc>
      </w:tr>
      <w:tr>
        <w:trPr>
          <w:cantSplit/>
          <w:trHeight w:val="30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Intérêts civils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Totalité de la décision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· MOYENS DU POURVOI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Violation de la loi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Nullité de procédure (Code III, Art. 40 à 43)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· OBSERVATIONS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58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· DÉPÔT AU GREFFE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Reçu par (greffier)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et heure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Appel : 15 jours du prononcé, par déclaration au greffe ; la Cour d'Appel rejuge l'affaire entièrement (Code V, Art. 31 et 38).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L'appel suspend l'exécution ; si le prévenu est seul appelant, la Cour ne peut aggraver son sort (Code V, Art. 38).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Pourvoi : 15 jours du prononcé, pour violation de la loi ou nullité de procédure ; la Cour de Cassation ne rejuge pas les faits (Code V, Art. 32 et 39).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déclarant / l'avocat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Le greffier (reçu)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D5 – Déclaration d'appel ou de pourvoi en cassation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D5</dc:title>
  <dc:creator>BruxellesLife – Ville de Bruxelles</dc:creator>
  <cp:lastModifiedBy>Un-named</cp:lastModifiedBy>
  <cp:revision>1</cp:revision>
  <dcterms:created xsi:type="dcterms:W3CDTF">2026-10-08T11:47:22.532Z</dcterms:created>
  <dcterms:modified xsi:type="dcterms:W3CDTF">2026-10-08T11:47:22.532Z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