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700"/>
      </w:tblGrid>
      <w:tr>
        <w:trPr>
          <w:cantSplit/>
        </w:trP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0000"/>
                <w:sz w:val="24"/>
                <w:szCs w:val="24"/>
              </w:rPr>
              <w:t xml:space="preserve">BruxellesLife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24"/>
                <w:szCs w:val="24"/>
              </w:rPr>
              <w:t xml:space="preserve">VILLE DE BRUXELLES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7"/>
                <w:szCs w:val="17"/>
              </w:rPr>
              <w:t xml:space="preserve">AVOCAT – ORDRE DES AVOCATS</w:t>
            </w:r>
          </w:p>
        </w:tc>
        <w:tc>
          <w:tcPr>
            <w:tcW w:type="dxa" w:w="37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F7F9FC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N° de dossier : ______________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Date : ____ / ____ / 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5959"/>
                <w:sz w:val="16"/>
                <w:szCs w:val="16"/>
              </w:rPr>
              <w:t xml:space="preserve">Réf. : Code III, Art. 60</w:t>
            </w:r>
          </w:p>
        </w:tc>
      </w:tr>
    </w:tbl>
    <w:p>
      <w:pPr>
        <w:pBdr>
          <w:bottom w:val="single" w:color="B40000" w:sz="14" w:space="4"/>
        </w:pBdr>
        <w:spacing w:after="100" w:before="60"/>
      </w:pPr>
      <w:r>
        <w:rPr>
          <w:sz w:val="2"/>
          <w:szCs w:val="2"/>
        </w:rPr>
        <w:t xml:space="preserve"/>
      </w:r>
    </w:p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002060"/>
          <w:sz w:val="30"/>
          <w:szCs w:val="30"/>
        </w:rPr>
        <w:t xml:space="preserve">RENONCIATION À L'AVOCAT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Modèle D9 · Base légale : Code III, Art. 17 et 60, al. 5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· PERSONNE RETENUE OU ENTENDUE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Prénom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Date de naissance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Lieu de naissance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Adresse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N° d'identité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Téléphone / radio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· CIRCONSTANCES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50"/>
        <w:gridCol w:w="2000"/>
        <w:gridCol w:w="2950"/>
      </w:tblGrid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Autorité devant laquelle (OPJ, juge)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Date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Heure</w:t>
            </w:r>
          </w:p>
        </w:tc>
        <w:tc>
          <w:tcPr>
            <w:tcW w:type="dxa" w:w="2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20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Lieu</w:t>
            </w:r>
          </w:p>
        </w:tc>
        <w:tc>
          <w:tcPr>
            <w:tcW w:type="dxa" w:w="7900"/>
            <w:gridSpan w:val="3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 · SITUATION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0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Avocat choisi, puis commis d'office : aucun arrivé après 25 minutes (carence constatée par l'OPJ)</w:t>
            </w:r>
          </w:p>
        </w:tc>
      </w:tr>
      <w:tr>
        <w:trPr>
          <w:cantSplit/>
          <w:trHeight w:val="30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Aucun avocat commis d'office disponible</w:t>
            </w:r>
          </w:p>
        </w:tc>
      </w:tr>
      <w:tr>
        <w:trPr>
          <w:cantSplit/>
          <w:trHeight w:val="30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Je ne souhaite pas d'avocat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 · DÉCLARATION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87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Je déclare avoir été informé de mon droit d'être assisté d'un avocat à tous les stades, y compris pendant l'interrogatoire. Je renonce à ce droit de manière libre, sans pression ni promesse.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20" w:hRule="atLeast"/>
        </w:trPr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6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 · RAPPELS</w:t>
            </w:r>
          </w:p>
        </w:tc>
      </w:tr>
    </w:tbl>
    <w:p>
      <w:pPr>
        <w:spacing w:after="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30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Je peux révoquer cette renonciation à tout moment</w:t>
            </w:r>
          </w:p>
        </w:tc>
      </w:tr>
      <w:tr>
        <w:trPr>
          <w:cantSplit/>
          <w:trHeight w:val="300" w:hRule="atLeast"/>
        </w:trPr>
        <w:tc>
          <w:tcPr>
            <w:tcW w:type="dxa" w:w="990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char="2610" w:font="MS Gothic"/>
                </w:r>
              </w:sdtContent>
            </w:sdt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 Dans les 25 minutes, l'interrogatoire est suspendu jusqu'à l'arrivée de l'avocat ; après, la révocation ne suspend pas l'interrogatoire en cours (Art. 60, al. 5)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none" w:color="FFFFFF" w:sz="0"/>
              <w:left w:val="single" w:color="B40000" w:sz="24"/>
              <w:bottom w:val="none" w:color="FFFFFF" w:sz="0"/>
              <w:right w:val="none" w:color="FFFFFF" w:sz="0"/>
            </w:tcBorders>
            <w:shd w:fill="FFF6E0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40000"/>
                <w:sz w:val="16"/>
                <w:szCs w:val="16"/>
              </w:rPr>
              <w:t xml:space="preserve">À SAVOIR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La renonciation est écrite, libre et révocable à tout moment (Code III, Art. 60, al. 5 ; Art. 17, al. 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Entretien confidentiel d'au moins 5 minutes avant le premier interrogatoire si un avocat est présent (Art. 60, al. 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rFonts w:ascii="Arial" w:cs="Arial" w:eastAsia="Arial" w:hAnsi="Arial"/>
                <w:color w:val="222222"/>
                <w:sz w:val="16"/>
                <w:szCs w:val="16"/>
              </w:rPr>
              <w:t xml:space="preserve">Un interrogatoire mené en l'absence de l'avocat demandé, sans renonciation expresse ni carence constatée, est nul (Code III, Art. 43, al. 5).</w:t>
            </w:r>
          </w:p>
        </w:tc>
      </w:tr>
    </w:tbl>
    <w:p>
      <w:pPr>
        <w:spacing w:after="90" w:before="0" w:line="20" w:lineRule="exact"/>
        <w:rPr>
          <w:sz w:val="2"/>
          <w:szCs w:val="2"/>
        </w:rPr>
      </w:pPr>
      <w:r>
        <w:rPr>
          <w:sz w:val="2"/>
          <w:szCs w:val="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0"/>
        <w:gridCol w:w="4950"/>
      </w:tblGrid>
      <w:tr>
        <w:trPr>
          <w:cantSplit/>
          <w:trHeight w:val="52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La personne concernée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Fait à ____________________, le ___ / ___ / ______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shd w:fill="DCE6F2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2060"/>
                <w:sz w:val="16"/>
                <w:szCs w:val="16"/>
              </w:rPr>
              <w:t xml:space="preserve">L'OPJ (témoin)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color w:val="222222"/>
                <w:sz w:val="15"/>
                <w:szCs w:val="15"/>
              </w:rPr>
              <w:t xml:space="preserve">Fait à ____________________, le ___ / ___ / ______</w:t>
            </w:r>
          </w:p>
        </w:tc>
      </w:tr>
      <w:tr>
        <w:trPr>
          <w:cantSplit/>
          <w:trHeight w:val="640" w:hRule="atLeast"/>
        </w:trPr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A9A9A"/>
                <w:sz w:val="14"/>
                <w:szCs w:val="14"/>
              </w:rPr>
              <w:t xml:space="preserve">Signature et cachet</w:t>
            </w:r>
          </w:p>
        </w:tc>
        <w:tc>
          <w:tcPr>
            <w:tcW w:type="dxa" w:w="4950"/>
            <w:tcBorders>
              <w:top w:val="single" w:color="8C98AE" w:sz="4"/>
              <w:left w:val="single" w:color="8C98AE" w:sz="4"/>
              <w:bottom w:val="single" w:color="8C98AE" w:sz="4"/>
              <w:right w:val="single" w:color="8C98AE" w:sz="4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bottom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9A9A9A"/>
                <w:sz w:val="14"/>
                <w:szCs w:val="14"/>
              </w:rPr>
              <w:t xml:space="preserve">Signature et cachet</w:t>
            </w:r>
          </w:p>
        </w:tc>
      </w:tr>
    </w:tbl>
    <w:sectPr>
      <w:footerReference w:type="default" r:id="rId7"/>
      <w:pgSz w:w="11906" w:h="16838" w:orient="portrait"/>
      <w:pgMar w:top="600" w:right="1000" w:bottom="700" w:left="100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C98AE" w:sz="4" w:space="4"/>
      </w:pBdr>
      <w:tabs>
        <w:tab w:val="right" w:pos="9900"/>
      </w:tabs>
    </w:pPr>
    <w:r>
      <w:rPr>
        <w:rFonts w:ascii="Arial" w:cs="Arial" w:eastAsia="Arial" w:hAnsi="Arial"/>
        <w:color w:val="595959"/>
        <w:sz w:val="14"/>
        <w:szCs w:val="14"/>
      </w:rPr>
      <w:t xml:space="preserve">Modèle D9 – Renonciation à l'avocat · BruxellesLife – Ville de Bruxelles</w:t>
    </w:r>
    <w:r>
      <w:rPr>
        <w:rFonts w:ascii="Arial" w:cs="Arial" w:eastAsia="Arial" w:hAnsi="Arial"/>
        <w:color w:val="595959"/>
        <w:sz w:val="14"/>
        <w:szCs w:val="14"/>
      </w:rPr>
      <w:t xml:space="preserve">	Page </w:t>
    </w:r>
    <w:r>
      <w:rPr>
        <w:rFonts w:ascii="Arial" w:cs="Arial" w:eastAsia="Arial" w:hAnsi="Arial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D9</dc:title>
  <dc:creator>BruxellesLife – Ville de Bruxelles</dc:creator>
  <cp:lastModifiedBy>Un-named</cp:lastModifiedBy>
  <cp:revision>1</cp:revision>
  <dcterms:created xsi:type="dcterms:W3CDTF">2026-10-08T11:47:23.036Z</dcterms:created>
  <dcterms:modified xsi:type="dcterms:W3CDTF">2026-10-08T11:47:23.036Z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