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5F24" w:rsidP="00325F24" w:rsidRDefault="00325F24" w14:paraId="4F05C21C" w14:textId="31E650BE">
      <w:pPr>
        <w:pStyle w:val="Title"/>
      </w:pPr>
      <w:r>
        <w:t>ORR12: Interview Process for Functional Requirement Gathering</w:t>
      </w:r>
    </w:p>
    <w:p w:rsidR="007D1380" w:rsidP="007D1380" w:rsidRDefault="007D1380" w14:paraId="75EA8966" w14:textId="31E8E77F">
      <w:pPr>
        <w:pStyle w:val="Heading1"/>
      </w:pPr>
      <w:r>
        <w:t>Objectives</w:t>
      </w:r>
    </w:p>
    <w:p w:rsidRPr="00F11B74" w:rsidR="00F11B74" w:rsidP="00F11B74" w:rsidRDefault="00F11B74" w14:paraId="55A3AD91" w14:textId="1676EF55">
      <w:pPr>
        <w:pStyle w:val="Heading2"/>
      </w:pPr>
      <w:r>
        <w:t>Primary objectives</w:t>
      </w:r>
    </w:p>
    <w:p w:rsidR="007D1380" w:rsidP="007D1380" w:rsidRDefault="001466FF" w14:paraId="3DABAA5D" w14:textId="0B52859E">
      <w:pPr>
        <w:pStyle w:val="ListParagraph"/>
        <w:numPr>
          <w:ilvl w:val="0"/>
          <w:numId w:val="1"/>
        </w:numPr>
      </w:pPr>
      <w:r>
        <w:t>G</w:t>
      </w:r>
      <w:r w:rsidR="007D1380">
        <w:t>ather</w:t>
      </w:r>
      <w:r w:rsidR="001D21EA">
        <w:t xml:space="preserve"> preferred</w:t>
      </w:r>
      <w:r w:rsidR="007D1380">
        <w:t xml:space="preserve"> functional requirements </w:t>
      </w:r>
      <w:r>
        <w:t>of digital notebooks</w:t>
      </w:r>
      <w:r w:rsidR="00174D2C">
        <w:t xml:space="preserve"> (DiNos)</w:t>
      </w:r>
    </w:p>
    <w:p w:rsidR="001466FF" w:rsidP="001466FF" w:rsidRDefault="00E15CD6" w14:paraId="123199FA" w14:textId="0CC6F9C6">
      <w:pPr>
        <w:pStyle w:val="ListParagraph"/>
        <w:numPr>
          <w:ilvl w:val="0"/>
          <w:numId w:val="1"/>
        </w:numPr>
      </w:pPr>
      <w:r>
        <w:t>A</w:t>
      </w:r>
      <w:r w:rsidR="001466FF">
        <w:t>ssess demand for sample inventories</w:t>
      </w:r>
    </w:p>
    <w:p w:rsidR="00AB1097" w:rsidP="007D1380" w:rsidRDefault="00E15CD6" w14:paraId="7DC4D5E8" w14:textId="2E89F445">
      <w:pPr>
        <w:pStyle w:val="ListParagraph"/>
        <w:numPr>
          <w:ilvl w:val="0"/>
          <w:numId w:val="1"/>
        </w:numPr>
      </w:pPr>
      <w:r>
        <w:t xml:space="preserve">Get first-hand account of </w:t>
      </w:r>
      <w:r w:rsidR="004457A5">
        <w:t xml:space="preserve">potential </w:t>
      </w:r>
      <w:r>
        <w:t>benefits</w:t>
      </w:r>
    </w:p>
    <w:p w:rsidR="00E15CD6" w:rsidP="00E15CD6" w:rsidRDefault="00E15CD6" w14:paraId="5C166DD2" w14:textId="0F4AAEB5">
      <w:pPr>
        <w:pStyle w:val="Heading2"/>
      </w:pPr>
      <w:r>
        <w:t>Secondary objectives</w:t>
      </w:r>
    </w:p>
    <w:p w:rsidR="00E15CD6" w:rsidP="00E15CD6" w:rsidRDefault="00E844CC" w14:paraId="5A5952B0" w14:textId="0438C83D">
      <w:pPr>
        <w:pStyle w:val="ListParagraph"/>
        <w:numPr>
          <w:ilvl w:val="0"/>
          <w:numId w:val="2"/>
        </w:numPr>
      </w:pPr>
      <w:r>
        <w:t>Comprehend the interviewee’s current research data management (RDM) practice</w:t>
      </w:r>
      <w:r w:rsidR="009E3BFE">
        <w:t xml:space="preserve"> to enlighten on non-functional requirements (NFRs)</w:t>
      </w:r>
    </w:p>
    <w:p w:rsidR="009E3BFE" w:rsidP="00E15CD6" w:rsidRDefault="00E07013" w14:paraId="244121A1" w14:textId="3CE91B7F">
      <w:pPr>
        <w:pStyle w:val="ListParagraph"/>
        <w:numPr>
          <w:ilvl w:val="0"/>
          <w:numId w:val="2"/>
        </w:numPr>
      </w:pPr>
      <w:r>
        <w:t>Identify if the interviewee has previously</w:t>
      </w:r>
      <w:r w:rsidR="00405341">
        <w:t xml:space="preserve"> used,</w:t>
      </w:r>
      <w:r>
        <w:t xml:space="preserve"> or currently</w:t>
      </w:r>
      <w:r w:rsidR="00405341">
        <w:t xml:space="preserve"> uses,</w:t>
      </w:r>
      <w:r>
        <w:t xml:space="preserve"> a</w:t>
      </w:r>
      <w:r w:rsidR="00316FFA">
        <w:t xml:space="preserve"> digital notebook or sample inventory</w:t>
      </w:r>
      <w:r w:rsidR="00405341">
        <w:t>. If so, which one</w:t>
      </w:r>
      <w:r w:rsidR="002A4A9D">
        <w:t>?</w:t>
      </w:r>
    </w:p>
    <w:p w:rsidR="00316FFA" w:rsidP="00E15CD6" w:rsidRDefault="00316FFA" w14:paraId="2148E251" w14:textId="4303CFE3">
      <w:pPr>
        <w:pStyle w:val="ListParagraph"/>
        <w:numPr>
          <w:ilvl w:val="0"/>
          <w:numId w:val="2"/>
        </w:numPr>
      </w:pPr>
      <w:r>
        <w:t>Assess the interviewee’s willingness for further engagement</w:t>
      </w:r>
    </w:p>
    <w:p w:rsidRPr="00663988" w:rsidR="00663988" w:rsidP="00663988" w:rsidRDefault="00DF3AB5" w14:paraId="4C3383E1" w14:textId="34D1FB1C">
      <w:pPr>
        <w:pStyle w:val="Heading1"/>
      </w:pPr>
      <w:r>
        <w:t>Method</w:t>
      </w:r>
    </w:p>
    <w:p w:rsidR="00F4458F" w:rsidP="00F11B74" w:rsidRDefault="00F11B74" w14:paraId="4C30A488" w14:textId="246070FC">
      <w:pPr>
        <w:pStyle w:val="Heading2"/>
      </w:pPr>
      <w:r>
        <w:t>Primary objective</w:t>
      </w:r>
      <w:r w:rsidR="00174D2C">
        <w:t>s</w:t>
      </w:r>
    </w:p>
    <w:p w:rsidRPr="00174D2C" w:rsidR="00174D2C" w:rsidP="00174D2C" w:rsidRDefault="00174D2C" w14:paraId="5082942A" w14:textId="535E4626">
      <w:pPr>
        <w:pStyle w:val="Heading3"/>
      </w:pPr>
      <w:r>
        <w:t>Functional requirements of DiNos</w:t>
      </w:r>
    </w:p>
    <w:p w:rsidR="00DF3AB5" w:rsidP="00DF3AB5" w:rsidRDefault="006B549D" w14:paraId="3340D395" w14:textId="55245616">
      <w:r w:rsidR="006B549D">
        <w:rPr/>
        <w:t>We want the</w:t>
      </w:r>
      <w:r w:rsidR="00C32480">
        <w:rPr/>
        <w:t xml:space="preserve"> interviewee to be </w:t>
      </w:r>
      <w:r w:rsidR="00C73CA0">
        <w:rPr/>
        <w:t xml:space="preserve">guided into </w:t>
      </w:r>
      <w:r w:rsidR="00C32480">
        <w:rPr/>
        <w:t xml:space="preserve">discussing their research data </w:t>
      </w:r>
      <w:r w:rsidR="00705F01">
        <w:rPr/>
        <w:t>management and</w:t>
      </w:r>
      <w:r w:rsidR="00C32480">
        <w:rPr/>
        <w:t xml:space="preserve"> offering their own </w:t>
      </w:r>
      <w:r w:rsidR="00C73CA0">
        <w:rPr/>
        <w:t xml:space="preserve">solutions to the problems they </w:t>
      </w:r>
      <w:r w:rsidR="00C73CA0">
        <w:rPr/>
        <w:t>encounter</w:t>
      </w:r>
      <w:r w:rsidR="00B62B71">
        <w:rPr/>
        <w:t xml:space="preserve"> </w:t>
      </w:r>
      <w:r w:rsidRPr="6FED8990" w:rsidR="00B62B71">
        <w:rPr>
          <w:i w:val="1"/>
          <w:iCs w:val="1"/>
        </w:rPr>
        <w:t>unprompted</w:t>
      </w:r>
      <w:r w:rsidR="004816D7">
        <w:rPr/>
        <w:t>. When they do so,</w:t>
      </w:r>
      <w:r w:rsidR="00C73CA0">
        <w:rPr/>
        <w:t xml:space="preserve"> </w:t>
      </w:r>
      <w:r w:rsidR="004816D7">
        <w:rPr/>
        <w:t xml:space="preserve">they will </w:t>
      </w:r>
      <w:r w:rsidR="00C73CA0">
        <w:rPr/>
        <w:t>largely be</w:t>
      </w:r>
      <w:r w:rsidR="00C73CA0">
        <w:rPr/>
        <w:t xml:space="preserve"> </w:t>
      </w:r>
      <w:r w:rsidR="004816D7">
        <w:rPr/>
        <w:t xml:space="preserve">describing features available within </w:t>
      </w:r>
      <w:r w:rsidR="00FF541B">
        <w:rPr/>
        <w:t>digital notebook</w:t>
      </w:r>
      <w:r w:rsidR="004816D7">
        <w:rPr/>
        <w:t>s</w:t>
      </w:r>
      <w:r w:rsidR="00FF541B">
        <w:rPr/>
        <w:t xml:space="preserve"> </w:t>
      </w:r>
      <w:r w:rsidR="00144E73">
        <w:rPr/>
        <w:t>(and sample inventor</w:t>
      </w:r>
      <w:r w:rsidR="004816D7">
        <w:rPr/>
        <w:t>ies</w:t>
      </w:r>
      <w:r w:rsidR="00144E73">
        <w:rPr/>
        <w:t>)</w:t>
      </w:r>
      <w:r w:rsidR="00FF541B">
        <w:rPr/>
        <w:t xml:space="preserve">. </w:t>
      </w:r>
      <w:r w:rsidR="00CF582B">
        <w:rPr/>
        <w:t xml:space="preserve">The interviewee should therefore naturally start reeling off </w:t>
      </w:r>
      <w:r w:rsidR="008032BC">
        <w:rPr/>
        <w:t xml:space="preserve">improvements that cover the attributes </w:t>
      </w:r>
      <w:r w:rsidR="006A040C">
        <w:rPr/>
        <w:t>we wish to hear about</w:t>
      </w:r>
      <w:r w:rsidR="008032BC">
        <w:rPr/>
        <w:t xml:space="preserve">. The </w:t>
      </w:r>
      <w:r w:rsidR="00515C0D">
        <w:rPr/>
        <w:t xml:space="preserve">complete list of 41 attributes of digital notebooks </w:t>
      </w:r>
      <w:r w:rsidR="001839A4">
        <w:rPr/>
        <w:t xml:space="preserve">can be found </w:t>
      </w:r>
      <w:hyperlink r:id="R613c84f8907348ea">
        <w:r w:rsidRPr="6FED8990" w:rsidR="001839A4">
          <w:rPr>
            <w:rStyle w:val="Hyperlink"/>
          </w:rPr>
          <w:t>here</w:t>
        </w:r>
      </w:hyperlink>
      <w:r w:rsidR="001839A4">
        <w:rPr/>
        <w:t xml:space="preserve">, </w:t>
      </w:r>
      <w:r w:rsidR="008E1F35">
        <w:rPr/>
        <w:t xml:space="preserve">under the </w:t>
      </w:r>
      <w:r w:rsidR="008E1F35">
        <w:rPr/>
        <w:t>AttributeDefinition</w:t>
      </w:r>
      <w:r w:rsidR="008E1F35">
        <w:rPr/>
        <w:t xml:space="preserve"> tab, </w:t>
      </w:r>
      <w:r w:rsidR="001839A4">
        <w:rPr/>
        <w:t xml:space="preserve">whilst the reduced subset </w:t>
      </w:r>
      <w:r w:rsidR="002D7D2C">
        <w:rPr/>
        <w:t xml:space="preserve">of 21 attributes </w:t>
      </w:r>
      <w:r w:rsidR="001839A4">
        <w:rPr/>
        <w:t xml:space="preserve">which researchers are assumed to be most interested in </w:t>
      </w:r>
      <w:r w:rsidR="007B4568">
        <w:rPr/>
        <w:t xml:space="preserve">are found </w:t>
      </w:r>
      <w:hyperlink r:id="Rcce5e8ccab424ce8">
        <w:r w:rsidRPr="6FED8990" w:rsidR="007B4568">
          <w:rPr>
            <w:rStyle w:val="Hyperlink"/>
          </w:rPr>
          <w:t>he</w:t>
        </w:r>
        <w:r w:rsidRPr="6FED8990" w:rsidR="007B4568">
          <w:rPr>
            <w:rStyle w:val="Hyperlink"/>
          </w:rPr>
          <w:t>r</w:t>
        </w:r>
        <w:r w:rsidRPr="6FED8990" w:rsidR="007B4568">
          <w:rPr>
            <w:rStyle w:val="Hyperlink"/>
          </w:rPr>
          <w:t>e</w:t>
        </w:r>
      </w:hyperlink>
      <w:r w:rsidR="0073239F">
        <w:rPr/>
        <w:t>, under the same tab label</w:t>
      </w:r>
      <w:r w:rsidR="007B4568">
        <w:rPr/>
        <w:t>.</w:t>
      </w:r>
      <w:r w:rsidR="4C73AF4E">
        <w:rPr/>
        <w:t xml:space="preserve"> Anticipated responses to each attribute are found under the ‘</w:t>
      </w:r>
      <w:r w:rsidR="4C73AF4E">
        <w:rPr/>
        <w:t>DefaultEntries</w:t>
      </w:r>
      <w:r w:rsidR="4C73AF4E">
        <w:rPr/>
        <w:t xml:space="preserve">’ </w:t>
      </w:r>
      <w:r w:rsidR="48019266">
        <w:rPr/>
        <w:t xml:space="preserve">tab in the same document, which you should also be familiar with. </w:t>
      </w:r>
      <w:r w:rsidR="008F17B0">
        <w:rPr/>
        <w:t xml:space="preserve">The </w:t>
      </w:r>
      <w:r w:rsidR="0073239F">
        <w:rPr/>
        <w:t xml:space="preserve">attribute </w:t>
      </w:r>
      <w:r w:rsidR="0010246A">
        <w:rPr/>
        <w:t xml:space="preserve">subset is also represented more visually </w:t>
      </w:r>
      <w:hyperlink r:id="R92b2c601ad174841">
        <w:r w:rsidRPr="6FED8990" w:rsidR="0010246A">
          <w:rPr>
            <w:rStyle w:val="Hyperlink"/>
          </w:rPr>
          <w:t>here</w:t>
        </w:r>
      </w:hyperlink>
      <w:r w:rsidR="00182108">
        <w:rPr/>
        <w:t xml:space="preserve"> and in the table below</w:t>
      </w:r>
      <w:r w:rsidR="00F314CF">
        <w:rPr/>
        <w:t xml:space="preserve">, with a description of </w:t>
      </w:r>
      <w:r w:rsidR="00B62B71">
        <w:rPr/>
        <w:t>how the interviewee might speak around the topic</w:t>
      </w:r>
      <w:r w:rsidR="00182108">
        <w:rPr/>
        <w:t xml:space="preserve">. </w:t>
      </w:r>
    </w:p>
    <w:p w:rsidR="00650795" w:rsidP="00DF3AB5" w:rsidRDefault="00650795" w14:paraId="6E10A7A5" w14:textId="77777777"/>
    <w:tbl>
      <w:tblPr>
        <w:tblStyle w:val="TableGrid"/>
        <w:tblW w:w="9488" w:type="dxa"/>
        <w:tblLook w:val="04A0" w:firstRow="1" w:lastRow="0" w:firstColumn="1" w:lastColumn="0" w:noHBand="0" w:noVBand="1"/>
      </w:tblPr>
      <w:tblGrid>
        <w:gridCol w:w="750"/>
        <w:gridCol w:w="1894"/>
        <w:gridCol w:w="6844"/>
      </w:tblGrid>
      <w:tr w:rsidRPr="00650795" w:rsidR="00526E49" w:rsidTr="6FED8990" w14:paraId="7FD9AEF5" w14:textId="77777777">
        <w:trPr>
          <w:trHeight w:val="300"/>
        </w:trPr>
        <w:tc>
          <w:tcPr>
            <w:tcW w:w="750" w:type="dxa"/>
            <w:tcMar/>
          </w:tcPr>
          <w:p w:rsidRPr="00650795" w:rsidR="00526E49" w:rsidP="00650795" w:rsidRDefault="00530E0B" w14:paraId="6FD31A0D" w14:textId="7ACFFEE8">
            <w:pPr>
              <w:rPr>
                <w:b/>
                <w:bCs/>
              </w:rPr>
            </w:pPr>
            <w:r>
              <w:rPr>
                <w:b/>
                <w:bCs/>
              </w:rPr>
              <w:t>ID</w:t>
            </w:r>
          </w:p>
        </w:tc>
        <w:tc>
          <w:tcPr>
            <w:tcW w:w="1894" w:type="dxa"/>
            <w:noWrap/>
            <w:tcMar/>
            <w:hideMark/>
          </w:tcPr>
          <w:p w:rsidRPr="00650795" w:rsidR="00526E49" w:rsidP="00650795" w:rsidRDefault="00526E49" w14:paraId="0F873C3D" w14:textId="138EFED6">
            <w:pPr>
              <w:rPr>
                <w:b/>
                <w:bCs/>
              </w:rPr>
            </w:pPr>
            <w:r w:rsidRPr="00650795">
              <w:rPr>
                <w:b/>
                <w:bCs/>
              </w:rPr>
              <w:t>Attribute</w:t>
            </w:r>
          </w:p>
        </w:tc>
        <w:tc>
          <w:tcPr>
            <w:tcW w:w="6844" w:type="dxa"/>
            <w:noWrap/>
            <w:tcMar/>
            <w:hideMark/>
          </w:tcPr>
          <w:p w:rsidRPr="00650795" w:rsidR="00526E49" w:rsidP="00650795" w:rsidRDefault="00526E49" w14:paraId="521EBA30" w14:textId="77777777">
            <w:pPr>
              <w:rPr>
                <w:b/>
                <w:bCs/>
              </w:rPr>
            </w:pPr>
            <w:r w:rsidRPr="00650795">
              <w:rPr>
                <w:b/>
                <w:bCs/>
              </w:rPr>
              <w:t>Description/expected content</w:t>
            </w:r>
          </w:p>
        </w:tc>
      </w:tr>
      <w:tr w:rsidRPr="00650795" w:rsidR="00530E0B" w:rsidTr="6FED8990" w14:paraId="2EED6E5E" w14:textId="77777777">
        <w:trPr>
          <w:trHeight w:val="300"/>
        </w:trPr>
        <w:tc>
          <w:tcPr>
            <w:tcW w:w="750" w:type="dxa"/>
            <w:tcMar/>
          </w:tcPr>
          <w:p w:rsidRPr="00530E0B" w:rsidR="00530E0B" w:rsidP="00530E0B" w:rsidRDefault="00530E0B" w14:paraId="388A927A" w14:textId="245148BE">
            <w:r w:rsidRPr="00530E0B">
              <w:rPr>
                <w:rFonts w:cs="Calibri"/>
                <w:color w:val="000000"/>
              </w:rPr>
              <w:t>G-01</w:t>
            </w:r>
          </w:p>
        </w:tc>
        <w:tc>
          <w:tcPr>
            <w:tcW w:w="1894" w:type="dxa"/>
            <w:noWrap/>
            <w:tcMar/>
            <w:hideMark/>
          </w:tcPr>
          <w:p w:rsidRPr="00650795" w:rsidR="00530E0B" w:rsidP="00530E0B" w:rsidRDefault="00530E0B" w14:paraId="38E138A2" w14:textId="523E3BD7">
            <w:r w:rsidRPr="00650795">
              <w:t>License</w:t>
            </w:r>
          </w:p>
        </w:tc>
        <w:tc>
          <w:tcPr>
            <w:tcW w:w="6844" w:type="dxa"/>
            <w:noWrap/>
            <w:tcMar/>
            <w:hideMark/>
          </w:tcPr>
          <w:p w:rsidRPr="005F7FFB" w:rsidR="00530E0B" w:rsidP="00530E0B" w:rsidRDefault="00902C7B" w14:paraId="33466715" w14:textId="581BB64D" w14:noSpellErr="1">
            <w:r w:rsidR="5AE998E7">
              <w:rPr/>
              <w:t xml:space="preserve">An </w:t>
            </w:r>
            <w:r w:rsidR="15BC4349">
              <w:rPr/>
              <w:t xml:space="preserve">interviewee </w:t>
            </w:r>
            <w:r w:rsidR="3D71DF52">
              <w:rPr/>
              <w:t xml:space="preserve">may be passionate about </w:t>
            </w:r>
            <w:r w:rsidRPr="6FED8990" w:rsidR="3D71DF52">
              <w:rPr>
                <w:b w:val="1"/>
                <w:bCs w:val="1"/>
              </w:rPr>
              <w:t>open software</w:t>
            </w:r>
            <w:r w:rsidRPr="6FED8990" w:rsidR="47D61B17">
              <w:rPr>
                <w:b w:val="1"/>
                <w:bCs w:val="1"/>
              </w:rPr>
              <w:t xml:space="preserve"> </w:t>
            </w:r>
            <w:r w:rsidR="47D61B17">
              <w:rPr/>
              <w:t>and/or</w:t>
            </w:r>
            <w:r w:rsidR="47D61B17">
              <w:rPr/>
              <w:t xml:space="preserve"> </w:t>
            </w:r>
            <w:r w:rsidRPr="6FED8990" w:rsidR="00F4458F">
              <w:rPr>
                <w:b w:val="1"/>
                <w:bCs w:val="1"/>
              </w:rPr>
              <w:t>open-source</w:t>
            </w:r>
            <w:r w:rsidRPr="6FED8990" w:rsidR="47D61B17">
              <w:rPr>
                <w:b w:val="1"/>
                <w:bCs w:val="1"/>
              </w:rPr>
              <w:t xml:space="preserve"> code</w:t>
            </w:r>
            <w:r w:rsidR="3D71DF52">
              <w:rPr/>
              <w:t xml:space="preserve">, and so therefore may argue for their notebook to also carry an open software licence. Most are </w:t>
            </w:r>
            <w:r w:rsidR="3D71DF52">
              <w:rPr/>
              <w:t>probably unaware</w:t>
            </w:r>
            <w:r w:rsidR="6C3B3306">
              <w:rPr/>
              <w:t>.</w:t>
            </w:r>
            <w:r w:rsidR="3D71DF52">
              <w:rPr/>
              <w:t xml:space="preserve"> If they are</w:t>
            </w:r>
            <w:r w:rsidR="6C3B3306">
              <w:rPr/>
              <w:t xml:space="preserve"> however</w:t>
            </w:r>
            <w:r w:rsidR="3D71DF52">
              <w:rPr/>
              <w:t xml:space="preserve"> particularly enthused, they may offer up preferred open </w:t>
            </w:r>
            <w:commentRangeStart w:id="206907740"/>
            <w:commentRangeStart w:id="1948967674"/>
            <w:r w:rsidR="3D71DF52">
              <w:rPr/>
              <w:t>licence types.</w:t>
            </w:r>
            <w:commentRangeEnd w:id="206907740"/>
            <w:r>
              <w:rPr>
                <w:rStyle w:val="CommentReference"/>
              </w:rPr>
              <w:commentReference w:id="206907740"/>
            </w:r>
            <w:commentRangeEnd w:id="1948967674"/>
            <w:r>
              <w:rPr>
                <w:rStyle w:val="CommentReference"/>
              </w:rPr>
              <w:commentReference w:id="1948967674"/>
            </w:r>
          </w:p>
        </w:tc>
      </w:tr>
      <w:tr w:rsidRPr="00650795" w:rsidR="00530E0B" w:rsidTr="6FED8990" w14:paraId="19AA41DB" w14:textId="77777777">
        <w:trPr>
          <w:trHeight w:val="300"/>
        </w:trPr>
        <w:tc>
          <w:tcPr>
            <w:tcW w:w="750" w:type="dxa"/>
            <w:tcMar/>
          </w:tcPr>
          <w:p w:rsidRPr="00530E0B" w:rsidR="00530E0B" w:rsidP="00530E0B" w:rsidRDefault="00530E0B" w14:paraId="598DCE9D" w14:textId="5D605E3D">
            <w:r w:rsidRPr="00530E0B">
              <w:rPr>
                <w:rFonts w:cs="Calibri"/>
                <w:color w:val="000000"/>
              </w:rPr>
              <w:t>U-01</w:t>
            </w:r>
          </w:p>
        </w:tc>
        <w:tc>
          <w:tcPr>
            <w:tcW w:w="1894" w:type="dxa"/>
            <w:noWrap/>
            <w:tcMar/>
            <w:hideMark/>
          </w:tcPr>
          <w:p w:rsidRPr="00650795" w:rsidR="00530E0B" w:rsidP="00530E0B" w:rsidRDefault="00530E0B" w14:paraId="23AD3F69" w14:textId="48D61FC6">
            <w:r w:rsidRPr="00650795">
              <w:t>Customizable user interface</w:t>
            </w:r>
          </w:p>
        </w:tc>
        <w:tc>
          <w:tcPr>
            <w:tcW w:w="6844" w:type="dxa"/>
            <w:noWrap/>
            <w:tcMar/>
            <w:hideMark/>
          </w:tcPr>
          <w:p w:rsidRPr="00650795" w:rsidR="00530E0B" w:rsidP="00530E0B" w:rsidRDefault="00530E0B" w14:paraId="48665A7D" w14:textId="053D2CAF">
            <w:r w:rsidRPr="00650795">
              <w:t xml:space="preserve">Individual operability of the </w:t>
            </w:r>
            <w:r w:rsidR="00C33473">
              <w:t xml:space="preserve">DiNo </w:t>
            </w:r>
            <w:r w:rsidRPr="00650795">
              <w:t xml:space="preserve">can significantly increase acceptance. It specifies whether and how users can </w:t>
            </w:r>
            <w:r w:rsidRPr="007E216D">
              <w:rPr>
                <w:b/>
                <w:bCs/>
              </w:rPr>
              <w:t>configure</w:t>
            </w:r>
            <w:r w:rsidRPr="00650795">
              <w:t xml:space="preserve"> the </w:t>
            </w:r>
            <w:r w:rsidRPr="007E216D">
              <w:rPr>
                <w:b/>
                <w:bCs/>
              </w:rPr>
              <w:t>interface</w:t>
            </w:r>
            <w:r w:rsidRPr="00650795">
              <w:t xml:space="preserve"> according to their preferences.</w:t>
            </w:r>
            <w:r>
              <w:t xml:space="preserve"> If the interviewee </w:t>
            </w:r>
            <w:r w:rsidR="0073239F">
              <w:lastRenderedPageBreak/>
              <w:t>refers</w:t>
            </w:r>
            <w:r>
              <w:t xml:space="preserve"> to personalisation of say, column headers in the </w:t>
            </w:r>
            <w:r w:rsidRPr="007E216D">
              <w:rPr>
                <w:b/>
                <w:bCs/>
              </w:rPr>
              <w:t>GUI</w:t>
            </w:r>
            <w:r>
              <w:t>, this criterion is referenced.</w:t>
            </w:r>
          </w:p>
        </w:tc>
      </w:tr>
      <w:tr w:rsidRPr="00650795" w:rsidR="00530E0B" w:rsidTr="6FED8990" w14:paraId="41C6A761" w14:textId="77777777">
        <w:trPr>
          <w:trHeight w:val="300"/>
        </w:trPr>
        <w:tc>
          <w:tcPr>
            <w:tcW w:w="750" w:type="dxa"/>
            <w:tcMar/>
          </w:tcPr>
          <w:p w:rsidRPr="00530E0B" w:rsidR="00530E0B" w:rsidP="00530E0B" w:rsidRDefault="00530E0B" w14:paraId="40FE1950" w14:textId="550C335C">
            <w:r w:rsidRPr="00530E0B">
              <w:rPr>
                <w:rFonts w:cs="Calibri"/>
                <w:color w:val="000000"/>
              </w:rPr>
              <w:lastRenderedPageBreak/>
              <w:t>U-02</w:t>
            </w:r>
          </w:p>
        </w:tc>
        <w:tc>
          <w:tcPr>
            <w:tcW w:w="1894" w:type="dxa"/>
            <w:noWrap/>
            <w:tcMar/>
            <w:hideMark/>
          </w:tcPr>
          <w:p w:rsidRPr="00650795" w:rsidR="00530E0B" w:rsidP="00530E0B" w:rsidRDefault="00530E0B" w14:paraId="1812F600" w14:textId="126B7F44">
            <w:r w:rsidRPr="00650795">
              <w:t>Languages</w:t>
            </w:r>
          </w:p>
        </w:tc>
        <w:tc>
          <w:tcPr>
            <w:tcW w:w="6844" w:type="dxa"/>
            <w:noWrap/>
            <w:tcMar/>
            <w:hideMark/>
          </w:tcPr>
          <w:p w:rsidRPr="00650795" w:rsidR="00530E0B" w:rsidP="00530E0B" w:rsidRDefault="00530E0B" w14:paraId="2A741141" w14:textId="2395C768">
            <w:r>
              <w:t xml:space="preserve">Conversation on </w:t>
            </w:r>
            <w:r w:rsidRPr="007E216D">
              <w:rPr>
                <w:b/>
                <w:bCs/>
              </w:rPr>
              <w:t>secondary language</w:t>
            </w:r>
            <w:r>
              <w:t xml:space="preserve"> availability in the </w:t>
            </w:r>
            <w:r w:rsidRPr="007E216D">
              <w:rPr>
                <w:b/>
                <w:bCs/>
              </w:rPr>
              <w:t>GUI</w:t>
            </w:r>
            <w:r w:rsidRPr="00650795">
              <w:t xml:space="preserve"> </w:t>
            </w:r>
            <w:r>
              <w:t>is captured here. Users can of course enter data in any language they wish, although the University would encourage English for sharing purposes, users may wish for menus etc. to be in another language, which could be facilitated. Note the language if mentioned.</w:t>
            </w:r>
          </w:p>
        </w:tc>
      </w:tr>
      <w:tr w:rsidRPr="00650795" w:rsidR="00530E0B" w:rsidTr="6FED8990" w14:paraId="6961D22D" w14:textId="77777777">
        <w:trPr>
          <w:trHeight w:val="300"/>
        </w:trPr>
        <w:tc>
          <w:tcPr>
            <w:tcW w:w="750" w:type="dxa"/>
            <w:tcMar/>
          </w:tcPr>
          <w:p w:rsidRPr="00530E0B" w:rsidR="00530E0B" w:rsidP="00530E0B" w:rsidRDefault="00530E0B" w14:paraId="5F66044A" w14:textId="501B2B29">
            <w:r w:rsidRPr="00530E0B">
              <w:rPr>
                <w:rFonts w:cs="Calibri"/>
                <w:color w:val="000000"/>
              </w:rPr>
              <w:t>U-03</w:t>
            </w:r>
          </w:p>
        </w:tc>
        <w:tc>
          <w:tcPr>
            <w:tcW w:w="1894" w:type="dxa"/>
            <w:noWrap/>
            <w:tcMar/>
            <w:hideMark/>
          </w:tcPr>
          <w:p w:rsidRPr="00650795" w:rsidR="00530E0B" w:rsidP="00530E0B" w:rsidRDefault="00530E0B" w14:paraId="6DC1F25F" w14:textId="34453DF1">
            <w:r w:rsidRPr="00650795">
              <w:t>Support</w:t>
            </w:r>
          </w:p>
        </w:tc>
        <w:tc>
          <w:tcPr>
            <w:tcW w:w="6844" w:type="dxa"/>
            <w:noWrap/>
            <w:tcMar/>
            <w:hideMark/>
          </w:tcPr>
          <w:p w:rsidRPr="00650795" w:rsidR="00530E0B" w:rsidP="00530E0B" w:rsidRDefault="00530E0B" w14:paraId="447C2344" w14:textId="7ADC981F">
            <w:r>
              <w:t xml:space="preserve">Any reference to preferred </w:t>
            </w:r>
            <w:r w:rsidRPr="007E216D">
              <w:rPr>
                <w:b/>
                <w:bCs/>
              </w:rPr>
              <w:t>training</w:t>
            </w:r>
            <w:r>
              <w:t xml:space="preserve"> support should be captured here.</w:t>
            </w:r>
          </w:p>
        </w:tc>
      </w:tr>
      <w:tr w:rsidRPr="00650795" w:rsidR="00530E0B" w:rsidTr="6FED8990" w14:paraId="3C5D0219" w14:textId="77777777">
        <w:trPr>
          <w:trHeight w:val="300"/>
        </w:trPr>
        <w:tc>
          <w:tcPr>
            <w:tcW w:w="750" w:type="dxa"/>
            <w:tcMar/>
          </w:tcPr>
          <w:p w:rsidRPr="00530E0B" w:rsidR="00530E0B" w:rsidP="00530E0B" w:rsidRDefault="00530E0B" w14:paraId="02A180F8" w14:textId="3D539C76">
            <w:r w:rsidRPr="00530E0B">
              <w:rPr>
                <w:rFonts w:cs="Calibri"/>
                <w:color w:val="000000"/>
              </w:rPr>
              <w:t>CF-01</w:t>
            </w:r>
          </w:p>
        </w:tc>
        <w:tc>
          <w:tcPr>
            <w:tcW w:w="1894" w:type="dxa"/>
            <w:noWrap/>
            <w:tcMar/>
            <w:hideMark/>
          </w:tcPr>
          <w:p w:rsidRPr="00650795" w:rsidR="00530E0B" w:rsidP="00530E0B" w:rsidRDefault="00530E0B" w14:paraId="7E3DF5BC" w14:textId="0A1C8185">
            <w:r w:rsidRPr="00650795">
              <w:t>Data input</w:t>
            </w:r>
          </w:p>
        </w:tc>
        <w:tc>
          <w:tcPr>
            <w:tcW w:w="6844" w:type="dxa"/>
            <w:noWrap/>
            <w:tcMar/>
            <w:hideMark/>
          </w:tcPr>
          <w:p w:rsidRPr="00650795" w:rsidR="00530E0B" w:rsidP="00530E0B" w:rsidRDefault="00530E0B" w14:paraId="2A092855" w14:textId="5D885EE0">
            <w:r w:rsidRPr="00650795">
              <w:t xml:space="preserve">Data entry into the </w:t>
            </w:r>
            <w:r w:rsidR="007C02E3">
              <w:t>DiNo</w:t>
            </w:r>
            <w:r w:rsidRPr="00650795">
              <w:t xml:space="preserve"> can be done through various </w:t>
            </w:r>
            <w:r w:rsidRPr="007E216D">
              <w:rPr>
                <w:b/>
                <w:bCs/>
              </w:rPr>
              <w:t>input options</w:t>
            </w:r>
            <w:r w:rsidRPr="00650795">
              <w:t xml:space="preserve">. On the one hand, different sources can be supported (e.g. voice through dictation function, handwritten through digital pen, barcode scanner) and on the other hand, </w:t>
            </w:r>
            <w:r w:rsidRPr="00650795">
              <w:t>several</w:t>
            </w:r>
            <w:r w:rsidRPr="00650795">
              <w:t xml:space="preserve"> input elements or editors can be made available to the user. In addition to free text notes, which are usually possible in every </w:t>
            </w:r>
            <w:r w:rsidR="007C02E3">
              <w:t>DiNo</w:t>
            </w:r>
            <w:r w:rsidRPr="00650795">
              <w:t xml:space="preserve">, input can be made e.g. via structured forms, tables or links to other objects within the </w:t>
            </w:r>
            <w:r w:rsidR="007C02E3">
              <w:t>DiNo</w:t>
            </w:r>
            <w:r w:rsidRPr="00650795">
              <w:t xml:space="preserve"> (internal links).</w:t>
            </w:r>
          </w:p>
        </w:tc>
      </w:tr>
      <w:tr w:rsidRPr="00650795" w:rsidR="00530E0B" w:rsidTr="6FED8990" w14:paraId="6EB50BF5" w14:textId="77777777">
        <w:trPr>
          <w:trHeight w:val="300"/>
        </w:trPr>
        <w:tc>
          <w:tcPr>
            <w:tcW w:w="750" w:type="dxa"/>
            <w:tcMar/>
          </w:tcPr>
          <w:p w:rsidRPr="00530E0B" w:rsidR="00530E0B" w:rsidP="00530E0B" w:rsidRDefault="00530E0B" w14:paraId="4ABB0174" w14:textId="4BA6292B">
            <w:r w:rsidRPr="00530E0B">
              <w:rPr>
                <w:rFonts w:cs="Calibri"/>
                <w:color w:val="000000"/>
              </w:rPr>
              <w:t>CF-02</w:t>
            </w:r>
          </w:p>
        </w:tc>
        <w:tc>
          <w:tcPr>
            <w:tcW w:w="1894" w:type="dxa"/>
            <w:noWrap/>
            <w:tcMar/>
            <w:hideMark/>
          </w:tcPr>
          <w:p w:rsidRPr="00650795" w:rsidR="00530E0B" w:rsidP="00530E0B" w:rsidRDefault="00530E0B" w14:paraId="70D5811B" w14:textId="73597A70">
            <w:r w:rsidRPr="00650795">
              <w:t>Data import (formats)</w:t>
            </w:r>
          </w:p>
        </w:tc>
        <w:tc>
          <w:tcPr>
            <w:tcW w:w="6844" w:type="dxa"/>
            <w:noWrap/>
            <w:tcMar/>
            <w:hideMark/>
          </w:tcPr>
          <w:p w:rsidRPr="00650795" w:rsidR="00530E0B" w:rsidP="00530E0B" w:rsidRDefault="00530E0B" w14:paraId="49C6E7BD" w14:textId="76615B4C">
            <w:r>
              <w:t>A</w:t>
            </w:r>
            <w:r w:rsidRPr="00650795">
              <w:t xml:space="preserve"> </w:t>
            </w:r>
            <w:r w:rsidR="007C02E3">
              <w:t>DiNo</w:t>
            </w:r>
            <w:r w:rsidRPr="00650795">
              <w:t xml:space="preserve"> </w:t>
            </w:r>
            <w:r>
              <w:t xml:space="preserve">should </w:t>
            </w:r>
            <w:r w:rsidRPr="00650795">
              <w:t xml:space="preserve">be able to import and attach all </w:t>
            </w:r>
            <w:r w:rsidRPr="007E216D">
              <w:rPr>
                <w:b/>
                <w:bCs/>
              </w:rPr>
              <w:t>filetypes</w:t>
            </w:r>
            <w:r w:rsidRPr="00650795">
              <w:t xml:space="preserve">, so this </w:t>
            </w:r>
            <w:r>
              <w:t xml:space="preserve">attribute should be referenced when the interviewee notes a specific </w:t>
            </w:r>
            <w:r w:rsidRPr="00650795">
              <w:t xml:space="preserve">format which </w:t>
            </w:r>
            <w:r>
              <w:t xml:space="preserve">they would wish to </w:t>
            </w:r>
            <w:r w:rsidRPr="00650795">
              <w:t>preview directly in the notebook.</w:t>
            </w:r>
          </w:p>
        </w:tc>
      </w:tr>
      <w:tr w:rsidRPr="00650795" w:rsidR="00530E0B" w:rsidTr="6FED8990" w14:paraId="11DF6F60" w14:textId="77777777">
        <w:trPr>
          <w:trHeight w:val="300"/>
        </w:trPr>
        <w:tc>
          <w:tcPr>
            <w:tcW w:w="750" w:type="dxa"/>
            <w:tcMar/>
          </w:tcPr>
          <w:p w:rsidRPr="00530E0B" w:rsidR="00530E0B" w:rsidP="00530E0B" w:rsidRDefault="00530E0B" w14:paraId="10BFA02C" w14:textId="40862958">
            <w:r w:rsidRPr="00530E0B">
              <w:rPr>
                <w:rFonts w:cs="Calibri"/>
                <w:color w:val="000000"/>
              </w:rPr>
              <w:t>CF-04</w:t>
            </w:r>
          </w:p>
        </w:tc>
        <w:tc>
          <w:tcPr>
            <w:tcW w:w="1894" w:type="dxa"/>
            <w:noWrap/>
            <w:tcMar/>
            <w:hideMark/>
          </w:tcPr>
          <w:p w:rsidRPr="00650795" w:rsidR="00530E0B" w:rsidP="00530E0B" w:rsidRDefault="00530E0B" w14:paraId="2681CD37" w14:textId="6A31BA29">
            <w:r w:rsidRPr="00650795">
              <w:t>Data export</w:t>
            </w:r>
          </w:p>
        </w:tc>
        <w:tc>
          <w:tcPr>
            <w:tcW w:w="6844" w:type="dxa"/>
            <w:noWrap/>
            <w:tcMar/>
            <w:hideMark/>
          </w:tcPr>
          <w:p w:rsidRPr="00650795" w:rsidR="00530E0B" w:rsidP="00530E0B" w:rsidRDefault="00530E0B" w14:paraId="5CAA71DF" w14:textId="47DF9CA4">
            <w:r>
              <w:t xml:space="preserve">The interviewee may note specific </w:t>
            </w:r>
            <w:r w:rsidRPr="007E216D">
              <w:rPr>
                <w:b/>
                <w:bCs/>
              </w:rPr>
              <w:t>export formats</w:t>
            </w:r>
            <w:r>
              <w:t xml:space="preserve">, which are to be captured here. Otherwise, any generic reference to </w:t>
            </w:r>
            <w:r w:rsidRPr="007E216D">
              <w:rPr>
                <w:b/>
                <w:bCs/>
              </w:rPr>
              <w:t>interoperability</w:t>
            </w:r>
            <w:r w:rsidRPr="00CA2B0C">
              <w:t>,</w:t>
            </w:r>
            <w:r>
              <w:rPr>
                <w:b/>
                <w:bCs/>
              </w:rPr>
              <w:t xml:space="preserve"> </w:t>
            </w:r>
            <w:r>
              <w:t xml:space="preserve">exporting in </w:t>
            </w:r>
            <w:r w:rsidRPr="00CA2B0C">
              <w:rPr>
                <w:b/>
                <w:bCs/>
              </w:rPr>
              <w:t xml:space="preserve">machine-readable </w:t>
            </w:r>
            <w:r w:rsidRPr="008E1192">
              <w:t>formats</w:t>
            </w:r>
            <w:r>
              <w:t xml:space="preserve"> or </w:t>
            </w:r>
            <w:r w:rsidRPr="008E1192">
              <w:rPr>
                <w:b/>
                <w:bCs/>
              </w:rPr>
              <w:t>direct publication</w:t>
            </w:r>
            <w:r>
              <w:t xml:space="preserve"> from the notebook should be captured here.</w:t>
            </w:r>
          </w:p>
        </w:tc>
      </w:tr>
      <w:tr w:rsidRPr="00650795" w:rsidR="00530E0B" w:rsidTr="6FED8990" w14:paraId="5D604F0F" w14:textId="77777777">
        <w:trPr>
          <w:trHeight w:val="300"/>
        </w:trPr>
        <w:tc>
          <w:tcPr>
            <w:tcW w:w="750" w:type="dxa"/>
            <w:tcMar/>
          </w:tcPr>
          <w:p w:rsidRPr="00530E0B" w:rsidR="00530E0B" w:rsidP="00530E0B" w:rsidRDefault="00530E0B" w14:paraId="4AE26A32" w14:textId="75ECDCD2">
            <w:r w:rsidRPr="00530E0B">
              <w:rPr>
                <w:rFonts w:cs="Calibri"/>
                <w:color w:val="000000"/>
              </w:rPr>
              <w:t>CF-05</w:t>
            </w:r>
          </w:p>
        </w:tc>
        <w:tc>
          <w:tcPr>
            <w:tcW w:w="1894" w:type="dxa"/>
            <w:noWrap/>
            <w:tcMar/>
            <w:hideMark/>
          </w:tcPr>
          <w:p w:rsidRPr="00650795" w:rsidR="00530E0B" w:rsidP="00530E0B" w:rsidRDefault="00530E0B" w14:paraId="499EBBF5" w14:textId="155A790B">
            <w:r w:rsidRPr="00650795">
              <w:t>Templates</w:t>
            </w:r>
          </w:p>
        </w:tc>
        <w:tc>
          <w:tcPr>
            <w:tcW w:w="6844" w:type="dxa"/>
            <w:noWrap/>
            <w:tcMar/>
            <w:hideMark/>
          </w:tcPr>
          <w:p w:rsidRPr="00650795" w:rsidR="00530E0B" w:rsidP="00530E0B" w:rsidRDefault="00530E0B" w14:paraId="699D94BF" w14:textId="6766B965">
            <w:r w:rsidRPr="00650795">
              <w:t xml:space="preserve">Templates are used for time saving and standardization. There can be templates for documents, </w:t>
            </w:r>
            <w:r w:rsidRPr="00A6707F">
              <w:rPr>
                <w:b/>
                <w:bCs/>
              </w:rPr>
              <w:t>protocols</w:t>
            </w:r>
            <w:r w:rsidRPr="00650795">
              <w:t xml:space="preserve">, etc. In addition to the ability to create own templates, many products include pre-configured templates for specific tasks. Some </w:t>
            </w:r>
            <w:r w:rsidR="007C02E3">
              <w:t>DiNo</w:t>
            </w:r>
            <w:r w:rsidRPr="00650795">
              <w:t xml:space="preserve">s also offer the possibility to import and/or share </w:t>
            </w:r>
            <w:r w:rsidRPr="004D50BB">
              <w:rPr>
                <w:b/>
                <w:bCs/>
              </w:rPr>
              <w:t>templates</w:t>
            </w:r>
            <w:r w:rsidRPr="00650795">
              <w:t>.</w:t>
            </w:r>
            <w:r>
              <w:t xml:space="preserve"> Research supporting colleagues (Technical or otherwise) typically have large interest here.</w:t>
            </w:r>
          </w:p>
        </w:tc>
      </w:tr>
      <w:tr w:rsidRPr="00650795" w:rsidR="00530E0B" w:rsidTr="6FED8990" w14:paraId="7250DADE" w14:textId="77777777">
        <w:trPr>
          <w:trHeight w:val="300"/>
        </w:trPr>
        <w:tc>
          <w:tcPr>
            <w:tcW w:w="750" w:type="dxa"/>
            <w:tcMar/>
          </w:tcPr>
          <w:p w:rsidRPr="00530E0B" w:rsidR="00530E0B" w:rsidP="00530E0B" w:rsidRDefault="00530E0B" w14:paraId="48C334E2" w14:textId="1AE06BE9">
            <w:r w:rsidRPr="00530E0B">
              <w:rPr>
                <w:rFonts w:cs="Calibri"/>
                <w:color w:val="000000"/>
              </w:rPr>
              <w:t>CF-06</w:t>
            </w:r>
          </w:p>
        </w:tc>
        <w:tc>
          <w:tcPr>
            <w:tcW w:w="1894" w:type="dxa"/>
            <w:noWrap/>
            <w:tcMar/>
            <w:hideMark/>
          </w:tcPr>
          <w:p w:rsidRPr="00650795" w:rsidR="00530E0B" w:rsidP="00530E0B" w:rsidRDefault="00530E0B" w14:paraId="0954E365" w14:textId="37EE3710">
            <w:r w:rsidRPr="00650795">
              <w:t>Searchability</w:t>
            </w:r>
          </w:p>
        </w:tc>
        <w:tc>
          <w:tcPr>
            <w:tcW w:w="6844" w:type="dxa"/>
            <w:noWrap/>
            <w:tcMar/>
            <w:hideMark/>
          </w:tcPr>
          <w:p w:rsidRPr="00650795" w:rsidR="00530E0B" w:rsidP="00530E0B" w:rsidRDefault="00530E0B" w14:paraId="18A44DFE" w14:textId="30B71984">
            <w:r w:rsidRPr="00650795">
              <w:t xml:space="preserve">One of the most significant advantages of electronic lab books over paper books is the ability to find data quickly and easily. In addition to the simple full text search, most products offer an </w:t>
            </w:r>
            <w:r w:rsidRPr="00FE166E">
              <w:rPr>
                <w:b/>
                <w:bCs/>
              </w:rPr>
              <w:t>advanced search</w:t>
            </w:r>
            <w:r w:rsidRPr="00650795">
              <w:t xml:space="preserve">. Moreover, many tools offer additional possibilities, these are e.g. search for chemical formulas, for biological content, database queries, </w:t>
            </w:r>
            <w:r w:rsidRPr="00FE166E">
              <w:rPr>
                <w:b/>
                <w:bCs/>
              </w:rPr>
              <w:t>filtering</w:t>
            </w:r>
            <w:r w:rsidRPr="00650795">
              <w:t xml:space="preserve"> possibilities with marking of filtered records. BLAST (Basic Local Alignment Search Tool) is relevant to DNA sequencing. </w:t>
            </w:r>
            <w:r>
              <w:t xml:space="preserve">Reference to </w:t>
            </w:r>
            <w:r w:rsidRPr="001B1F1E">
              <w:rPr>
                <w:b/>
                <w:bCs/>
              </w:rPr>
              <w:t>file hierarchies</w:t>
            </w:r>
            <w:r w:rsidRPr="00650795">
              <w:t xml:space="preserve"> and </w:t>
            </w:r>
            <w:r w:rsidRPr="001B1F1E">
              <w:rPr>
                <w:b/>
                <w:bCs/>
              </w:rPr>
              <w:t>tags</w:t>
            </w:r>
            <w:r>
              <w:rPr>
                <w:b/>
                <w:bCs/>
              </w:rPr>
              <w:t xml:space="preserve"> </w:t>
            </w:r>
            <w:r w:rsidRPr="001B1F1E">
              <w:t>should</w:t>
            </w:r>
            <w:r>
              <w:t xml:space="preserve"> also be included here</w:t>
            </w:r>
            <w:r w:rsidRPr="00650795">
              <w:t>.</w:t>
            </w:r>
          </w:p>
        </w:tc>
      </w:tr>
      <w:tr w:rsidRPr="00650795" w:rsidR="00530E0B" w:rsidTr="6FED8990" w14:paraId="50C1D9C9" w14:textId="77777777">
        <w:trPr>
          <w:trHeight w:val="300"/>
        </w:trPr>
        <w:tc>
          <w:tcPr>
            <w:tcW w:w="750" w:type="dxa"/>
            <w:tcMar/>
          </w:tcPr>
          <w:p w:rsidRPr="00530E0B" w:rsidR="00530E0B" w:rsidP="00530E0B" w:rsidRDefault="00530E0B" w14:paraId="5EEB89A6" w14:textId="2E989AA5">
            <w:r w:rsidRPr="00530E0B">
              <w:rPr>
                <w:rFonts w:cs="Calibri"/>
                <w:color w:val="000000"/>
              </w:rPr>
              <w:t>CF-07</w:t>
            </w:r>
          </w:p>
        </w:tc>
        <w:tc>
          <w:tcPr>
            <w:tcW w:w="1894" w:type="dxa"/>
            <w:noWrap/>
            <w:tcMar/>
            <w:hideMark/>
          </w:tcPr>
          <w:p w:rsidRPr="00650795" w:rsidR="00530E0B" w:rsidP="00530E0B" w:rsidRDefault="00530E0B" w14:paraId="7064C7AB" w14:textId="5D960285">
            <w:r w:rsidRPr="00650795">
              <w:t>Collaboration</w:t>
            </w:r>
          </w:p>
        </w:tc>
        <w:tc>
          <w:tcPr>
            <w:tcW w:w="6844" w:type="dxa"/>
            <w:noWrap/>
            <w:tcMar/>
            <w:hideMark/>
          </w:tcPr>
          <w:p w:rsidRPr="00650795" w:rsidR="00530E0B" w:rsidP="00530E0B" w:rsidRDefault="00530E0B" w14:paraId="654CDCDC" w14:textId="3D63C52C">
            <w:commentRangeStart w:id="1865081075"/>
            <w:commentRangeStart w:id="1569214392"/>
            <w:r w:rsidR="3D71DF52">
              <w:rPr/>
              <w:t xml:space="preserve">Collaborative functions, such as </w:t>
            </w:r>
            <w:r w:rsidRPr="6FED8990" w:rsidR="3D71DF52">
              <w:rPr>
                <w:b w:val="1"/>
                <w:bCs w:val="1"/>
              </w:rPr>
              <w:t>sharing</w:t>
            </w:r>
            <w:r w:rsidR="3D71DF52">
              <w:rPr/>
              <w:t xml:space="preserve"> documents, data, and workflows, are a key strength of electronic lab notebooks. However, not all users need (and should have) the same access rights. Rights and role management helps to define the access right in different granularity, sometimes down to the user- and </w:t>
            </w:r>
            <w:r w:rsidR="3D71DF52">
              <w:rPr/>
              <w:t xml:space="preserve">file level. </w:t>
            </w:r>
            <w:r w:rsidRPr="6FED8990" w:rsidR="3D71DF52">
              <w:rPr>
                <w:b w:val="1"/>
                <w:bCs w:val="1"/>
              </w:rPr>
              <w:t>Rights management</w:t>
            </w:r>
            <w:r w:rsidR="3D71DF52">
              <w:rPr/>
              <w:t xml:space="preserve"> is used when </w:t>
            </w:r>
            <w:r w:rsidR="3D71DF52">
              <w:rPr/>
              <w:t xml:space="preserve">access </w:t>
            </w:r>
            <w:r w:rsidRPr="6FED8990" w:rsidR="3D71DF52">
              <w:rPr>
                <w:b w:val="1"/>
                <w:bCs w:val="1"/>
              </w:rPr>
              <w:t>permissions</w:t>
            </w:r>
            <w:r w:rsidR="3D71DF52">
              <w:rPr/>
              <w:t xml:space="preserve"> of individual or grouped objects can be adjusted, whilst </w:t>
            </w:r>
            <w:r w:rsidRPr="6FED8990" w:rsidR="3D71DF52">
              <w:rPr>
                <w:b w:val="1"/>
                <w:bCs w:val="1"/>
              </w:rPr>
              <w:t>role management</w:t>
            </w:r>
            <w:r w:rsidR="3D71DF52">
              <w:rPr/>
              <w:t xml:space="preserve"> refers to defining a user</w:t>
            </w:r>
            <w:r w:rsidR="3D71DF52">
              <w:rPr/>
              <w:t xml:space="preserve"> or group’s</w:t>
            </w:r>
            <w:r w:rsidR="3D71DF52">
              <w:rPr/>
              <w:t xml:space="preserve"> access rights/data visibility.</w:t>
            </w:r>
            <w:r w:rsidR="3D71DF52">
              <w:rPr/>
              <w:t xml:space="preserve"> Mention of </w:t>
            </w:r>
            <w:r w:rsidRPr="6FED8990" w:rsidR="3D71DF52">
              <w:rPr>
                <w:b w:val="1"/>
                <w:bCs w:val="1"/>
              </w:rPr>
              <w:t>real-time collaboration</w:t>
            </w:r>
            <w:r w:rsidR="3D71DF52">
              <w:rPr/>
              <w:t xml:space="preserve">, </w:t>
            </w:r>
            <w:r w:rsidRPr="6FED8990" w:rsidR="3D71DF52">
              <w:rPr>
                <w:b w:val="1"/>
                <w:bCs w:val="1"/>
              </w:rPr>
              <w:t>shared project management tools</w:t>
            </w:r>
            <w:r w:rsidRPr="6FED8990" w:rsidR="3D71DF52">
              <w:rPr>
                <w:b w:val="1"/>
                <w:bCs w:val="1"/>
              </w:rPr>
              <w:t xml:space="preserve"> </w:t>
            </w:r>
            <w:r w:rsidR="3D71DF52">
              <w:rPr/>
              <w:t>includ</w:t>
            </w:r>
            <w:r w:rsidR="3D71DF52">
              <w:rPr/>
              <w:t xml:space="preserve">ing </w:t>
            </w:r>
            <w:r w:rsidRPr="6FED8990" w:rsidR="3D71DF52">
              <w:rPr>
                <w:b w:val="1"/>
                <w:bCs w:val="1"/>
              </w:rPr>
              <w:t>calendars</w:t>
            </w:r>
            <w:r w:rsidR="3D71DF52">
              <w:rPr/>
              <w:t xml:space="preserve"> and </w:t>
            </w:r>
            <w:r w:rsidRPr="6FED8990" w:rsidR="3D71DF52">
              <w:rPr>
                <w:b w:val="1"/>
                <w:bCs w:val="1"/>
              </w:rPr>
              <w:t xml:space="preserve">task </w:t>
            </w:r>
            <w:r w:rsidRPr="6FED8990" w:rsidR="3D71DF52">
              <w:rPr>
                <w:b w:val="1"/>
                <w:bCs w:val="1"/>
              </w:rPr>
              <w:t xml:space="preserve">assignment </w:t>
            </w:r>
            <w:r w:rsidR="3D71DF52">
              <w:rPr/>
              <w:t xml:space="preserve">with </w:t>
            </w:r>
            <w:r w:rsidRPr="6FED8990" w:rsidR="3D71DF52">
              <w:rPr>
                <w:b w:val="1"/>
                <w:bCs w:val="1"/>
              </w:rPr>
              <w:t>notifications</w:t>
            </w:r>
            <w:r w:rsidR="3D71DF52">
              <w:rPr/>
              <w:t xml:space="preserve"> are also captured here</w:t>
            </w:r>
            <w:r w:rsidR="2E778FB3">
              <w:rPr/>
              <w:t xml:space="preserve">, as well as </w:t>
            </w:r>
            <w:r w:rsidRPr="6FED8990" w:rsidR="2E778FB3">
              <w:rPr>
                <w:b w:val="1"/>
                <w:bCs w:val="1"/>
              </w:rPr>
              <w:t>external guest access.</w:t>
            </w:r>
            <w:commentRangeEnd w:id="1865081075"/>
            <w:r>
              <w:rPr>
                <w:rStyle w:val="CommentReference"/>
              </w:rPr>
              <w:commentReference w:id="1865081075"/>
            </w:r>
            <w:commentRangeEnd w:id="1569214392"/>
            <w:r>
              <w:rPr>
                <w:rStyle w:val="CommentReference"/>
              </w:rPr>
              <w:commentReference w:id="1569214392"/>
            </w:r>
          </w:p>
        </w:tc>
      </w:tr>
      <w:tr w:rsidRPr="00650795" w:rsidR="00530E0B" w:rsidTr="6FED8990" w14:paraId="12B453E8" w14:textId="77777777">
        <w:trPr>
          <w:trHeight w:val="300"/>
        </w:trPr>
        <w:tc>
          <w:tcPr>
            <w:tcW w:w="750" w:type="dxa"/>
            <w:tcMar/>
          </w:tcPr>
          <w:p w:rsidRPr="00530E0B" w:rsidR="00530E0B" w:rsidP="00530E0B" w:rsidRDefault="00530E0B" w14:paraId="0FCBCA42" w14:textId="2F716CFB">
            <w:r w:rsidRPr="00530E0B">
              <w:rPr>
                <w:rFonts w:cs="Calibri"/>
                <w:color w:val="000000"/>
              </w:rPr>
              <w:lastRenderedPageBreak/>
              <w:t>C-01</w:t>
            </w:r>
          </w:p>
        </w:tc>
        <w:tc>
          <w:tcPr>
            <w:tcW w:w="1894" w:type="dxa"/>
            <w:noWrap/>
            <w:tcMar/>
            <w:hideMark/>
          </w:tcPr>
          <w:p w:rsidRPr="00650795" w:rsidR="00530E0B" w:rsidP="00530E0B" w:rsidRDefault="00530E0B" w14:paraId="45673516" w14:textId="1F3D5AA9">
            <w:r w:rsidRPr="00650795">
              <w:t>Preservation of evidence</w:t>
            </w:r>
          </w:p>
        </w:tc>
        <w:tc>
          <w:tcPr>
            <w:tcW w:w="6844" w:type="dxa"/>
            <w:noWrap/>
            <w:tcMar/>
            <w:hideMark/>
          </w:tcPr>
          <w:p w:rsidRPr="00650795" w:rsidR="00530E0B" w:rsidP="00530E0B" w:rsidRDefault="00530E0B" w14:paraId="236C743F" w14:textId="0B7E3E8D">
            <w:r w:rsidRPr="00650795">
              <w:t>The sustainable and secure storage of research data is both required by law in specific branches of research and generally required by funding agencies and research institutions.</w:t>
            </w:r>
            <w:r>
              <w:t xml:space="preserve"> Specific regulatory codes are captured in the next </w:t>
            </w:r>
            <w:r w:rsidR="002D2668">
              <w:t xml:space="preserve">criterion. Here, </w:t>
            </w:r>
            <w:r w:rsidR="00640F19">
              <w:t xml:space="preserve">specific features which help preserve evidence are captured, i.e. </w:t>
            </w:r>
            <w:r w:rsidRPr="00640F19" w:rsidR="00640F19">
              <w:rPr>
                <w:b/>
                <w:bCs/>
              </w:rPr>
              <w:t>audit trails</w:t>
            </w:r>
            <w:r w:rsidR="00640F19">
              <w:t xml:space="preserve">, </w:t>
            </w:r>
            <w:r w:rsidRPr="00640F19" w:rsidR="00640F19">
              <w:rPr>
                <w:b/>
                <w:bCs/>
              </w:rPr>
              <w:t>signatures</w:t>
            </w:r>
            <w:r w:rsidR="00640F19">
              <w:t xml:space="preserve">, </w:t>
            </w:r>
            <w:r w:rsidRPr="00640F19" w:rsidR="00640F19">
              <w:rPr>
                <w:b/>
                <w:bCs/>
              </w:rPr>
              <w:t>timestamping</w:t>
            </w:r>
            <w:r w:rsidR="00640F19">
              <w:t xml:space="preserve"> and </w:t>
            </w:r>
            <w:r w:rsidRPr="00640F19" w:rsidR="00640F19">
              <w:rPr>
                <w:b/>
                <w:bCs/>
              </w:rPr>
              <w:t>version control</w:t>
            </w:r>
            <w:r w:rsidR="00640F19">
              <w:rPr>
                <w:b/>
                <w:bCs/>
              </w:rPr>
              <w:t>.</w:t>
            </w:r>
          </w:p>
        </w:tc>
      </w:tr>
      <w:tr w:rsidRPr="00650795" w:rsidR="00530E0B" w:rsidTr="6FED8990" w14:paraId="5D825C73" w14:textId="77777777">
        <w:trPr>
          <w:trHeight w:val="300"/>
        </w:trPr>
        <w:tc>
          <w:tcPr>
            <w:tcW w:w="750" w:type="dxa"/>
            <w:tcMar/>
          </w:tcPr>
          <w:p w:rsidRPr="00530E0B" w:rsidR="00530E0B" w:rsidP="00530E0B" w:rsidRDefault="00530E0B" w14:paraId="722B235C" w14:textId="2D6EA623">
            <w:r w:rsidRPr="00530E0B">
              <w:rPr>
                <w:rFonts w:cs="Calibri"/>
                <w:color w:val="000000"/>
              </w:rPr>
              <w:t>C-02</w:t>
            </w:r>
          </w:p>
        </w:tc>
        <w:tc>
          <w:tcPr>
            <w:tcW w:w="1894" w:type="dxa"/>
            <w:noWrap/>
            <w:tcMar/>
            <w:hideMark/>
          </w:tcPr>
          <w:p w:rsidRPr="00650795" w:rsidR="00530E0B" w:rsidP="00530E0B" w:rsidRDefault="00530E0B" w14:paraId="438CBA0E" w14:textId="1E8BBF00">
            <w:r w:rsidRPr="00650795">
              <w:t>Compliance</w:t>
            </w:r>
          </w:p>
        </w:tc>
        <w:tc>
          <w:tcPr>
            <w:tcW w:w="6844" w:type="dxa"/>
            <w:noWrap/>
            <w:tcMar/>
            <w:hideMark/>
          </w:tcPr>
          <w:p w:rsidRPr="00650795" w:rsidR="00530E0B" w:rsidP="00530E0B" w:rsidRDefault="00F56C62" w14:paraId="08CA8CA5" w14:textId="574F1975">
            <w:r>
              <w:t xml:space="preserve">Any reference to specific </w:t>
            </w:r>
            <w:r w:rsidR="00E95667">
              <w:t xml:space="preserve">security </w:t>
            </w:r>
            <w:r w:rsidR="0064430F">
              <w:t xml:space="preserve">or integrity </w:t>
            </w:r>
            <w:r>
              <w:t xml:space="preserve">standards </w:t>
            </w:r>
            <w:r w:rsidR="00E95667">
              <w:t xml:space="preserve">(see above) </w:t>
            </w:r>
            <w:r>
              <w:t>should be captured here.</w:t>
            </w:r>
          </w:p>
        </w:tc>
      </w:tr>
      <w:tr w:rsidRPr="00650795" w:rsidR="00530E0B" w:rsidTr="6FED8990" w14:paraId="61B4DBA6" w14:textId="77777777">
        <w:trPr>
          <w:trHeight w:val="300"/>
        </w:trPr>
        <w:tc>
          <w:tcPr>
            <w:tcW w:w="750" w:type="dxa"/>
            <w:tcMar/>
          </w:tcPr>
          <w:p w:rsidRPr="00530E0B" w:rsidR="00530E0B" w:rsidP="00530E0B" w:rsidRDefault="00530E0B" w14:paraId="1BE051A4" w14:textId="08E85519">
            <w:r w:rsidRPr="00530E0B">
              <w:rPr>
                <w:rFonts w:cs="Calibri"/>
                <w:color w:val="000000"/>
              </w:rPr>
              <w:t>EF-01</w:t>
            </w:r>
          </w:p>
        </w:tc>
        <w:tc>
          <w:tcPr>
            <w:tcW w:w="1894" w:type="dxa"/>
            <w:noWrap/>
            <w:tcMar/>
            <w:hideMark/>
          </w:tcPr>
          <w:p w:rsidRPr="00650795" w:rsidR="00530E0B" w:rsidP="00530E0B" w:rsidRDefault="00530E0B" w14:paraId="3906411D" w14:textId="3067DEEF">
            <w:r w:rsidRPr="00650795">
              <w:t>Laboratory management functions</w:t>
            </w:r>
          </w:p>
        </w:tc>
        <w:tc>
          <w:tcPr>
            <w:tcW w:w="6844" w:type="dxa"/>
            <w:noWrap/>
            <w:tcMar/>
            <w:hideMark/>
          </w:tcPr>
          <w:p w:rsidRPr="00650795" w:rsidR="00530E0B" w:rsidP="00530E0B" w:rsidRDefault="00530E0B" w14:paraId="3FFCD645" w14:textId="6468D512">
            <w:r w:rsidRPr="00650795">
              <w:t xml:space="preserve">Laboratory management functions can be a helpful extension of the </w:t>
            </w:r>
            <w:r w:rsidR="007C02E3">
              <w:t>DiNo</w:t>
            </w:r>
            <w:r w:rsidRPr="00650795">
              <w:t xml:space="preserve">, but it may also be important to allow existing systems to interoperate with the </w:t>
            </w:r>
            <w:r w:rsidR="007C02E3">
              <w:t>DiNo</w:t>
            </w:r>
            <w:r w:rsidRPr="00650795">
              <w:t xml:space="preserve"> if (partial) management, e.g., a chemical database, is already in place. The functions mentioned here are often available as an additional module.</w:t>
            </w:r>
            <w:r w:rsidR="00C51997">
              <w:t xml:space="preserve"> </w:t>
            </w:r>
            <w:r w:rsidRPr="00255BCB">
              <w:t>'</w:t>
            </w:r>
            <w:r w:rsidRPr="00255BCB">
              <w:rPr>
                <w:b/>
                <w:bCs/>
              </w:rPr>
              <w:t>Materials database</w:t>
            </w:r>
            <w:r w:rsidRPr="00650795">
              <w:t>' is the broader definition of chemical inventory. '</w:t>
            </w:r>
            <w:r w:rsidRPr="00255BCB">
              <w:rPr>
                <w:b/>
                <w:bCs/>
              </w:rPr>
              <w:t>LIMS Connectivity</w:t>
            </w:r>
            <w:r w:rsidRPr="00255BCB">
              <w:t>'</w:t>
            </w:r>
            <w:r w:rsidRPr="00650795">
              <w:t xml:space="preserve"> is</w:t>
            </w:r>
            <w:r w:rsidR="00C51997">
              <w:t xml:space="preserve"> used to</w:t>
            </w:r>
            <w:r w:rsidRPr="00650795">
              <w:t xml:space="preserve"> define</w:t>
            </w:r>
            <w:r w:rsidR="00C51997">
              <w:t xml:space="preserve"> when integrated LIMS software is available, or integrations possible.</w:t>
            </w:r>
            <w:r w:rsidRPr="00650795">
              <w:t xml:space="preserve"> </w:t>
            </w:r>
            <w:r w:rsidRPr="00255BCB">
              <w:t>'</w:t>
            </w:r>
            <w:r w:rsidRPr="00255BCB" w:rsidR="00C51997">
              <w:rPr>
                <w:b/>
                <w:bCs/>
              </w:rPr>
              <w:t>S</w:t>
            </w:r>
            <w:r w:rsidRPr="00255BCB">
              <w:rPr>
                <w:b/>
                <w:bCs/>
              </w:rPr>
              <w:t>ample tracking</w:t>
            </w:r>
            <w:r w:rsidRPr="000563B9">
              <w:t>'</w:t>
            </w:r>
            <w:r w:rsidRPr="00650795">
              <w:t xml:space="preserve"> </w:t>
            </w:r>
            <w:r w:rsidR="00C51997">
              <w:t xml:space="preserve">is used </w:t>
            </w:r>
            <w:r w:rsidR="00A140CB">
              <w:t xml:space="preserve">to indicate demand for a </w:t>
            </w:r>
            <w:r w:rsidRPr="00A140CB" w:rsidR="00A140CB">
              <w:rPr>
                <w:b/>
                <w:bCs/>
              </w:rPr>
              <w:t>sample inventory</w:t>
            </w:r>
            <w:r w:rsidR="00A140CB">
              <w:t>.</w:t>
            </w:r>
          </w:p>
        </w:tc>
      </w:tr>
      <w:tr w:rsidRPr="00650795" w:rsidR="00530E0B" w:rsidTr="6FED8990" w14:paraId="1AB27C46" w14:textId="77777777">
        <w:trPr>
          <w:trHeight w:val="300"/>
        </w:trPr>
        <w:tc>
          <w:tcPr>
            <w:tcW w:w="750" w:type="dxa"/>
            <w:tcMar/>
          </w:tcPr>
          <w:p w:rsidRPr="00530E0B" w:rsidR="00530E0B" w:rsidP="00530E0B" w:rsidRDefault="00530E0B" w14:paraId="53557F5C" w14:textId="54156564">
            <w:r w:rsidRPr="00530E0B">
              <w:rPr>
                <w:rFonts w:cs="Calibri"/>
                <w:color w:val="000000"/>
              </w:rPr>
              <w:t>EF-02</w:t>
            </w:r>
          </w:p>
        </w:tc>
        <w:tc>
          <w:tcPr>
            <w:tcW w:w="1894" w:type="dxa"/>
            <w:noWrap/>
            <w:tcMar/>
            <w:hideMark/>
          </w:tcPr>
          <w:p w:rsidRPr="00650795" w:rsidR="00530E0B" w:rsidP="00530E0B" w:rsidRDefault="00530E0B" w14:paraId="33AD1B21" w14:textId="3F91B18F">
            <w:r w:rsidRPr="00650795">
              <w:t>Integrations and extensions</w:t>
            </w:r>
          </w:p>
        </w:tc>
        <w:tc>
          <w:tcPr>
            <w:tcW w:w="6844" w:type="dxa"/>
            <w:noWrap/>
            <w:tcMar/>
            <w:hideMark/>
          </w:tcPr>
          <w:p w:rsidRPr="00650795" w:rsidR="00530E0B" w:rsidP="00530E0B" w:rsidRDefault="00530E0B" w14:paraId="12F6A206" w14:textId="62170806">
            <w:r w:rsidRPr="00650795">
              <w:t xml:space="preserve">Integrations and extensions provide additional functionalities to a </w:t>
            </w:r>
            <w:r w:rsidR="007C02E3">
              <w:t>DiNo</w:t>
            </w:r>
            <w:r w:rsidRPr="00650795">
              <w:t>, e.g. for transferring data to external services or programs.</w:t>
            </w:r>
            <w:r w:rsidR="000563B9">
              <w:t xml:space="preserve"> Any mention of </w:t>
            </w:r>
            <w:r w:rsidRPr="000563B9" w:rsidR="000563B9">
              <w:rPr>
                <w:b/>
                <w:bCs/>
              </w:rPr>
              <w:t>additional software</w:t>
            </w:r>
            <w:r w:rsidR="000563B9">
              <w:t xml:space="preserve"> integrations should be included here</w:t>
            </w:r>
            <w:r w:rsidR="00D20667">
              <w:t xml:space="preserve"> (beyond LIMS)</w:t>
            </w:r>
            <w:r w:rsidR="000563B9">
              <w:t>.</w:t>
            </w:r>
          </w:p>
        </w:tc>
      </w:tr>
      <w:tr w:rsidRPr="00650795" w:rsidR="00530E0B" w:rsidTr="6FED8990" w14:paraId="3BCE124A" w14:textId="77777777">
        <w:trPr>
          <w:trHeight w:val="300"/>
        </w:trPr>
        <w:tc>
          <w:tcPr>
            <w:tcW w:w="750" w:type="dxa"/>
            <w:tcMar/>
          </w:tcPr>
          <w:p w:rsidRPr="00530E0B" w:rsidR="00530E0B" w:rsidP="00530E0B" w:rsidRDefault="00530E0B" w14:paraId="1E9F7215" w14:textId="53DF87D7">
            <w:r w:rsidRPr="00530E0B">
              <w:rPr>
                <w:rFonts w:cs="Calibri"/>
                <w:color w:val="000000"/>
              </w:rPr>
              <w:t>EF-03</w:t>
            </w:r>
          </w:p>
        </w:tc>
        <w:tc>
          <w:tcPr>
            <w:tcW w:w="1894" w:type="dxa"/>
            <w:noWrap/>
            <w:tcMar/>
            <w:hideMark/>
          </w:tcPr>
          <w:p w:rsidRPr="00650795" w:rsidR="00530E0B" w:rsidP="00530E0B" w:rsidRDefault="00530E0B" w14:paraId="274DF535" w14:textId="3E53598E">
            <w:r w:rsidRPr="00650795">
              <w:t>Automation</w:t>
            </w:r>
          </w:p>
        </w:tc>
        <w:tc>
          <w:tcPr>
            <w:tcW w:w="6844" w:type="dxa"/>
            <w:noWrap/>
            <w:tcMar/>
            <w:hideMark/>
          </w:tcPr>
          <w:p w:rsidRPr="00650795" w:rsidR="00530E0B" w:rsidP="00530E0B" w:rsidRDefault="00530E0B" w14:paraId="74C4C532" w14:textId="4A3C3917">
            <w:r w:rsidRPr="00650795">
              <w:t xml:space="preserve">Any automation capabilities are listed here, including functions which can be accessed using an </w:t>
            </w:r>
            <w:r w:rsidRPr="00C834F5">
              <w:rPr>
                <w:b/>
                <w:bCs/>
              </w:rPr>
              <w:t>API</w:t>
            </w:r>
            <w:r w:rsidR="00794970">
              <w:t>, including</w:t>
            </w:r>
            <w:r w:rsidRPr="00650795">
              <w:t xml:space="preserve"> "</w:t>
            </w:r>
            <w:r w:rsidRPr="00794970">
              <w:rPr>
                <w:b/>
                <w:bCs/>
              </w:rPr>
              <w:t>Device control</w:t>
            </w:r>
            <w:r w:rsidRPr="00650795">
              <w:t>"</w:t>
            </w:r>
            <w:r w:rsidR="008A3AF9">
              <w:t xml:space="preserve"> - </w:t>
            </w:r>
            <w:r w:rsidRPr="00650795">
              <w:t xml:space="preserve">the transmission of signals/commands to external devices </w:t>
            </w:r>
            <w:r w:rsidR="008A3AF9">
              <w:t xml:space="preserve">- </w:t>
            </w:r>
            <w:r w:rsidRPr="00650795">
              <w:t>"</w:t>
            </w:r>
            <w:r w:rsidRPr="008A3AF9">
              <w:rPr>
                <w:b/>
                <w:bCs/>
              </w:rPr>
              <w:t>Data analysis</w:t>
            </w:r>
            <w:r w:rsidRPr="00650795">
              <w:t xml:space="preserve">" </w:t>
            </w:r>
            <w:r w:rsidR="008A3AF9">
              <w:t xml:space="preserve">- </w:t>
            </w:r>
            <w:r w:rsidRPr="00650795">
              <w:t>for at least preliminary plotting and data manipulation</w:t>
            </w:r>
            <w:r w:rsidR="008A3AF9">
              <w:t xml:space="preserve">/ </w:t>
            </w:r>
            <w:r w:rsidRPr="00650795">
              <w:t xml:space="preserve">visualisation within the </w:t>
            </w:r>
            <w:r w:rsidR="008A3AF9">
              <w:t xml:space="preserve">notebook (or </w:t>
            </w:r>
            <w:r w:rsidR="00C834F5">
              <w:t xml:space="preserve">via </w:t>
            </w:r>
            <w:r w:rsidR="008A3AF9">
              <w:t>an integration)</w:t>
            </w:r>
            <w:r w:rsidRPr="00650795">
              <w:t>.</w:t>
            </w:r>
          </w:p>
        </w:tc>
      </w:tr>
      <w:tr w:rsidRPr="00650795" w:rsidR="00530E0B" w:rsidTr="6FED8990" w14:paraId="48FE7BD5" w14:textId="77777777">
        <w:trPr>
          <w:trHeight w:val="300"/>
        </w:trPr>
        <w:tc>
          <w:tcPr>
            <w:tcW w:w="750" w:type="dxa"/>
            <w:tcMar/>
          </w:tcPr>
          <w:p w:rsidRPr="00530E0B" w:rsidR="00530E0B" w:rsidP="00530E0B" w:rsidRDefault="00530E0B" w14:paraId="04D90D4A" w14:textId="416B2D21">
            <w:r w:rsidRPr="00530E0B">
              <w:rPr>
                <w:rFonts w:cs="Calibri"/>
                <w:color w:val="000000"/>
              </w:rPr>
              <w:t>EF-05</w:t>
            </w:r>
          </w:p>
        </w:tc>
        <w:tc>
          <w:tcPr>
            <w:tcW w:w="1894" w:type="dxa"/>
            <w:noWrap/>
            <w:tcMar/>
            <w:hideMark/>
          </w:tcPr>
          <w:p w:rsidRPr="00650795" w:rsidR="00530E0B" w:rsidP="00530E0B" w:rsidRDefault="00530E0B" w14:paraId="05D3256B" w14:textId="7C5C87F7">
            <w:r w:rsidRPr="00650795">
              <w:t>(Individual) Project management tools</w:t>
            </w:r>
          </w:p>
        </w:tc>
        <w:tc>
          <w:tcPr>
            <w:tcW w:w="6844" w:type="dxa"/>
            <w:noWrap/>
            <w:tcMar/>
            <w:hideMark/>
          </w:tcPr>
          <w:p w:rsidRPr="00650795" w:rsidR="00530E0B" w:rsidP="00530E0B" w:rsidRDefault="00530E0B" w14:paraId="104F3059" w14:textId="1389A1B2">
            <w:r w:rsidRPr="00650795">
              <w:t>Project management tools referred to here are non-collaborative, as distinct from CF-0</w:t>
            </w:r>
            <w:r w:rsidR="00000231">
              <w:t xml:space="preserve">7, such as the desire for a </w:t>
            </w:r>
            <w:r w:rsidRPr="00000231" w:rsidR="00000231">
              <w:rPr>
                <w:b/>
                <w:bCs/>
              </w:rPr>
              <w:t>personal calendar</w:t>
            </w:r>
            <w:r w:rsidR="00000231">
              <w:t xml:space="preserve"> or </w:t>
            </w:r>
            <w:r w:rsidRPr="00000231" w:rsidR="00000231">
              <w:rPr>
                <w:b/>
                <w:bCs/>
              </w:rPr>
              <w:t>task-board</w:t>
            </w:r>
            <w:r w:rsidR="00000231">
              <w:t>.</w:t>
            </w:r>
          </w:p>
        </w:tc>
      </w:tr>
      <w:tr w:rsidRPr="00650795" w:rsidR="00530E0B" w:rsidTr="6FED8990" w14:paraId="576EC0A8" w14:textId="77777777">
        <w:trPr>
          <w:trHeight w:val="300"/>
        </w:trPr>
        <w:tc>
          <w:tcPr>
            <w:tcW w:w="750" w:type="dxa"/>
            <w:tcMar/>
          </w:tcPr>
          <w:p w:rsidRPr="00530E0B" w:rsidR="00530E0B" w:rsidP="00530E0B" w:rsidRDefault="00530E0B" w14:paraId="196576E8" w14:textId="47AF25A7">
            <w:r w:rsidRPr="00530E0B">
              <w:rPr>
                <w:rFonts w:cs="Calibri"/>
                <w:color w:val="000000"/>
              </w:rPr>
              <w:t>EF-06</w:t>
            </w:r>
          </w:p>
        </w:tc>
        <w:tc>
          <w:tcPr>
            <w:tcW w:w="1894" w:type="dxa"/>
            <w:noWrap/>
            <w:tcMar/>
            <w:hideMark/>
          </w:tcPr>
          <w:p w:rsidRPr="00650795" w:rsidR="00530E0B" w:rsidP="00530E0B" w:rsidRDefault="00530E0B" w14:paraId="136E2E74" w14:textId="2AC9C3B3">
            <w:r w:rsidRPr="00650795">
              <w:t>Workflows</w:t>
            </w:r>
          </w:p>
        </w:tc>
        <w:tc>
          <w:tcPr>
            <w:tcW w:w="6844" w:type="dxa"/>
            <w:noWrap/>
            <w:tcMar/>
            <w:hideMark/>
          </w:tcPr>
          <w:p w:rsidRPr="00650795" w:rsidR="00530E0B" w:rsidP="00530E0B" w:rsidRDefault="00530E0B" w14:paraId="04F8CA1F" w14:textId="6175C724">
            <w:r w:rsidRPr="00650795">
              <w:t xml:space="preserve">The term </w:t>
            </w:r>
            <w:r w:rsidRPr="0077792F">
              <w:rPr>
                <w:b/>
                <w:bCs/>
              </w:rPr>
              <w:t>workflow</w:t>
            </w:r>
            <w:r w:rsidRPr="00650795">
              <w:t xml:space="preserve"> here refers to </w:t>
            </w:r>
            <w:r w:rsidR="00807826">
              <w:t xml:space="preserve">the ability to capture </w:t>
            </w:r>
            <w:r w:rsidRPr="00650795">
              <w:t xml:space="preserve">both workflows in the laboratory and technical </w:t>
            </w:r>
            <w:r w:rsidR="00B151AF">
              <w:t xml:space="preserve">sense, i.e. </w:t>
            </w:r>
            <w:r w:rsidRPr="00650795">
              <w:t xml:space="preserve">for </w:t>
            </w:r>
            <w:r w:rsidR="00443355">
              <w:t xml:space="preserve">capturing </w:t>
            </w:r>
            <w:r w:rsidR="004719AD">
              <w:t xml:space="preserve">data/decision flow </w:t>
            </w:r>
            <w:r w:rsidR="00443355">
              <w:t xml:space="preserve">of </w:t>
            </w:r>
            <w:r w:rsidRPr="00650795">
              <w:t xml:space="preserve">a </w:t>
            </w:r>
            <w:r w:rsidR="007C02E3">
              <w:t>DiNo</w:t>
            </w:r>
            <w:r w:rsidR="004719AD">
              <w:t>, both internally and external</w:t>
            </w:r>
            <w:r w:rsidR="00DB06B6">
              <w:t xml:space="preserve">. </w:t>
            </w:r>
            <w:r w:rsidRPr="00650795">
              <w:t xml:space="preserve">The documentation and reuse of workflows, SOPs (self-defined standard operating procedures) and processes can bring about a significant increase in efficiency. Traceability of workflows contributes to transparency and can be a means of transferring expertise. It can be worthwhile to develop a concept for the creation and use of workflow templates </w:t>
            </w:r>
            <w:r w:rsidRPr="00650795" w:rsidR="007D42BC">
              <w:t>to</w:t>
            </w:r>
            <w:r w:rsidRPr="00650795">
              <w:t xml:space="preserve"> derive the maximum benefit from the use of a </w:t>
            </w:r>
            <w:r w:rsidR="007C02E3">
              <w:t>DiNo</w:t>
            </w:r>
            <w:r w:rsidRPr="00650795">
              <w:t>.</w:t>
            </w:r>
          </w:p>
        </w:tc>
      </w:tr>
      <w:tr w:rsidRPr="00650795" w:rsidR="00530E0B" w:rsidTr="6FED8990" w14:paraId="089F4427" w14:textId="77777777">
        <w:trPr>
          <w:trHeight w:val="300"/>
        </w:trPr>
        <w:tc>
          <w:tcPr>
            <w:tcW w:w="750" w:type="dxa"/>
            <w:tcMar/>
          </w:tcPr>
          <w:p w:rsidRPr="00530E0B" w:rsidR="00530E0B" w:rsidP="00530E0B" w:rsidRDefault="00530E0B" w14:paraId="7451BE2D" w14:textId="25444944">
            <w:r w:rsidRPr="00530E0B">
              <w:rPr>
                <w:rFonts w:cs="Calibri"/>
                <w:color w:val="000000"/>
              </w:rPr>
              <w:lastRenderedPageBreak/>
              <w:t>IT-01</w:t>
            </w:r>
          </w:p>
        </w:tc>
        <w:tc>
          <w:tcPr>
            <w:tcW w:w="1894" w:type="dxa"/>
            <w:noWrap/>
            <w:tcMar/>
            <w:hideMark/>
          </w:tcPr>
          <w:p w:rsidRPr="00650795" w:rsidR="00530E0B" w:rsidP="00530E0B" w:rsidRDefault="00530E0B" w14:paraId="476061A1" w14:textId="01960BDD">
            <w:r w:rsidRPr="00650795">
              <w:t>Application programming interfaces</w:t>
            </w:r>
          </w:p>
        </w:tc>
        <w:tc>
          <w:tcPr>
            <w:tcW w:w="6844" w:type="dxa"/>
            <w:noWrap/>
            <w:tcMar/>
            <w:hideMark/>
          </w:tcPr>
          <w:p w:rsidRPr="00650795" w:rsidR="00530E0B" w:rsidP="00530E0B" w:rsidRDefault="00530E0B" w14:paraId="578E494F" w14:textId="0BD49874" w14:noSpellErr="1">
            <w:r w:rsidR="3D71DF52">
              <w:rPr/>
              <w:t>An API (</w:t>
            </w:r>
            <w:r w:rsidRPr="6FED8990" w:rsidR="3D71DF52">
              <w:rPr>
                <w:b w:val="1"/>
                <w:bCs w:val="1"/>
              </w:rPr>
              <w:t>application programming interface</w:t>
            </w:r>
            <w:r w:rsidR="3D71DF52">
              <w:rPr/>
              <w:t>) is an interface for application programming. It can be used, for example, to integrate software into another system or to transfer data to/from a device. It is important that an API is sufficiently described.</w:t>
            </w:r>
            <w:r w:rsidR="71A36E12">
              <w:rPr/>
              <w:t xml:space="preserve"> If a specific </w:t>
            </w:r>
            <w:r w:rsidRPr="6FED8990" w:rsidR="71A36E12">
              <w:rPr>
                <w:b w:val="1"/>
                <w:bCs w:val="1"/>
              </w:rPr>
              <w:t>programmatic interaction</w:t>
            </w:r>
            <w:r w:rsidRPr="6FED8990" w:rsidR="71A36E12">
              <w:rPr>
                <w:b w:val="1"/>
                <w:bCs w:val="1"/>
              </w:rPr>
              <w:t xml:space="preserve"> </w:t>
            </w:r>
            <w:r w:rsidR="71A36E12">
              <w:rPr/>
              <w:t>wit</w:t>
            </w:r>
            <w:r w:rsidR="71A36E12">
              <w:rPr/>
              <w:t>h the notebook is mentioned</w:t>
            </w:r>
            <w:r w:rsidR="1833C55C">
              <w:rPr/>
              <w:t>, that should be captured here, including</w:t>
            </w:r>
            <w:r w:rsidR="195FB1F1">
              <w:rPr/>
              <w:t xml:space="preserve"> demand for </w:t>
            </w:r>
            <w:r w:rsidRPr="6FED8990" w:rsidR="3D71DF52">
              <w:rPr>
                <w:b w:val="1"/>
                <w:bCs w:val="1"/>
              </w:rPr>
              <w:t>SDK (Software Development Kits</w:t>
            </w:r>
            <w:r w:rsidR="3D71DF52">
              <w:rPr/>
              <w:t>)</w:t>
            </w:r>
            <w:r w:rsidR="3A583EC9">
              <w:rPr/>
              <w:t>,</w:t>
            </w:r>
            <w:r w:rsidR="3D71DF52">
              <w:rPr/>
              <w:t xml:space="preserve"> </w:t>
            </w:r>
            <w:r w:rsidR="1833C55C">
              <w:rPr/>
              <w:t xml:space="preserve">which </w:t>
            </w:r>
            <w:r w:rsidR="1948014D">
              <w:rPr/>
              <w:t>accelerate software add-on development</w:t>
            </w:r>
            <w:r w:rsidR="3A583EC9">
              <w:rPr/>
              <w:t>,</w:t>
            </w:r>
            <w:r w:rsidR="1948014D">
              <w:rPr/>
              <w:t xml:space="preserve"> and </w:t>
            </w:r>
            <w:commentRangeStart w:id="795898282"/>
            <w:commentRangeStart w:id="157920616"/>
            <w:r w:rsidRPr="6FED8990" w:rsidR="3D71DF52">
              <w:rPr>
                <w:b w:val="1"/>
                <w:bCs w:val="1"/>
              </w:rPr>
              <w:t>ODBC (Open Database Connectivity)</w:t>
            </w:r>
            <w:r w:rsidR="3D71DF52">
              <w:rPr/>
              <w:t xml:space="preserve"> </w:t>
            </w:r>
            <w:commentRangeEnd w:id="795898282"/>
            <w:r>
              <w:rPr>
                <w:rStyle w:val="CommentReference"/>
              </w:rPr>
              <w:commentReference w:id="795898282"/>
            </w:r>
            <w:commentRangeEnd w:id="157920616"/>
            <w:r>
              <w:rPr>
                <w:rStyle w:val="CommentReference"/>
              </w:rPr>
              <w:commentReference w:id="157920616"/>
            </w:r>
            <w:r w:rsidR="3D71DF52">
              <w:rPr/>
              <w:t>database interfac</w:t>
            </w:r>
            <w:r w:rsidR="3A583EC9">
              <w:rPr/>
              <w:t>ing</w:t>
            </w:r>
            <w:r w:rsidR="3D71DF52">
              <w:rPr/>
              <w:t>.</w:t>
            </w:r>
          </w:p>
        </w:tc>
      </w:tr>
      <w:tr w:rsidRPr="00650795" w:rsidR="00530E0B" w:rsidTr="6FED8990" w14:paraId="2B9D9751" w14:textId="77777777">
        <w:trPr>
          <w:trHeight w:val="300"/>
        </w:trPr>
        <w:tc>
          <w:tcPr>
            <w:tcW w:w="750" w:type="dxa"/>
            <w:tcMar/>
          </w:tcPr>
          <w:p w:rsidRPr="00530E0B" w:rsidR="00530E0B" w:rsidP="00530E0B" w:rsidRDefault="00530E0B" w14:paraId="2E8C226C" w14:textId="47BB8820">
            <w:r w:rsidRPr="00530E0B">
              <w:rPr>
                <w:rFonts w:cs="Calibri"/>
                <w:color w:val="000000"/>
              </w:rPr>
              <w:t>IT-02</w:t>
            </w:r>
          </w:p>
        </w:tc>
        <w:tc>
          <w:tcPr>
            <w:tcW w:w="1894" w:type="dxa"/>
            <w:noWrap/>
            <w:tcMar/>
            <w:hideMark/>
          </w:tcPr>
          <w:p w:rsidRPr="00650795" w:rsidR="00530E0B" w:rsidP="00530E0B" w:rsidRDefault="00530E0B" w14:paraId="48F520E8" w14:textId="0B64A149">
            <w:r w:rsidRPr="00650795">
              <w:t>Controlled vocabulary</w:t>
            </w:r>
          </w:p>
        </w:tc>
        <w:tc>
          <w:tcPr>
            <w:tcW w:w="6844" w:type="dxa"/>
            <w:noWrap/>
            <w:tcMar/>
            <w:hideMark/>
          </w:tcPr>
          <w:p w:rsidRPr="00650795" w:rsidR="00530E0B" w:rsidP="00530E0B" w:rsidRDefault="00530E0B" w14:paraId="7EFC2ED5" w14:textId="1415A28D">
            <w:r w:rsidRPr="00650795">
              <w:t xml:space="preserve">Controlled vocabularies </w:t>
            </w:r>
            <w:r w:rsidR="007E7621">
              <w:t>(</w:t>
            </w:r>
            <w:r w:rsidRPr="007E7621" w:rsidR="007E7621">
              <w:rPr>
                <w:b/>
                <w:bCs/>
              </w:rPr>
              <w:t>ontologies</w:t>
            </w:r>
            <w:r w:rsidRPr="007E7621" w:rsidR="007E7621">
              <w:t>)</w:t>
            </w:r>
            <w:r w:rsidR="007E7621">
              <w:rPr>
                <w:b/>
                <w:bCs/>
              </w:rPr>
              <w:t xml:space="preserve"> </w:t>
            </w:r>
            <w:r w:rsidRPr="00650795">
              <w:t xml:space="preserve">are a set of predefined expressions/words that can be provided as input. They improve the coherence of records by preventing different versions of the same term (e.g. typos, plural vs. singular). Using published </w:t>
            </w:r>
            <w:r w:rsidRPr="0071690F">
              <w:rPr>
                <w:b/>
                <w:bCs/>
              </w:rPr>
              <w:t>controlled vocabularies</w:t>
            </w:r>
            <w:r w:rsidRPr="00650795">
              <w:t xml:space="preserve"> (or ontologies) is an important step to increase interoperability and comparability of records between groups.</w:t>
            </w:r>
            <w:r w:rsidR="0071690F">
              <w:t xml:space="preserve"> </w:t>
            </w:r>
            <w:r w:rsidR="003D0DF0">
              <w:t xml:space="preserve">This criterion should be noted only if strict </w:t>
            </w:r>
            <w:r w:rsidR="00DF731C">
              <w:t>reference to controlling</w:t>
            </w:r>
            <w:r w:rsidR="00857367">
              <w:t>/standardising</w:t>
            </w:r>
            <w:r w:rsidR="00DF731C">
              <w:t xml:space="preserve"> </w:t>
            </w:r>
            <w:r w:rsidR="00857367">
              <w:t xml:space="preserve">input </w:t>
            </w:r>
            <w:r w:rsidR="00DF731C">
              <w:t xml:space="preserve">is </w:t>
            </w:r>
            <w:r w:rsidR="00857367">
              <w:t>made.</w:t>
            </w:r>
          </w:p>
        </w:tc>
      </w:tr>
      <w:tr w:rsidRPr="00650795" w:rsidR="00530E0B" w:rsidTr="6FED8990" w14:paraId="1114EACB" w14:textId="77777777">
        <w:trPr>
          <w:trHeight w:val="300"/>
        </w:trPr>
        <w:tc>
          <w:tcPr>
            <w:tcW w:w="750" w:type="dxa"/>
            <w:tcMar/>
          </w:tcPr>
          <w:p w:rsidRPr="00530E0B" w:rsidR="00530E0B" w:rsidP="00530E0B" w:rsidRDefault="00530E0B" w14:paraId="0751D3E5" w14:textId="006205FA">
            <w:r w:rsidRPr="00530E0B">
              <w:rPr>
                <w:rFonts w:cs="Calibri"/>
                <w:color w:val="000000"/>
              </w:rPr>
              <w:t>IT-03</w:t>
            </w:r>
          </w:p>
        </w:tc>
        <w:tc>
          <w:tcPr>
            <w:tcW w:w="1894" w:type="dxa"/>
            <w:noWrap/>
            <w:tcMar/>
            <w:hideMark/>
          </w:tcPr>
          <w:p w:rsidRPr="00650795" w:rsidR="00530E0B" w:rsidP="00530E0B" w:rsidRDefault="00530E0B" w14:paraId="685FC0D7" w14:textId="1D880C70">
            <w:r w:rsidRPr="00650795">
              <w:t>Data access (client)</w:t>
            </w:r>
          </w:p>
        </w:tc>
        <w:tc>
          <w:tcPr>
            <w:tcW w:w="6844" w:type="dxa"/>
            <w:noWrap/>
            <w:tcMar/>
            <w:hideMark/>
          </w:tcPr>
          <w:p w:rsidRPr="00650795" w:rsidR="00530E0B" w:rsidP="00530E0B" w:rsidRDefault="002C41C1" w14:paraId="3C75DFBB" w14:textId="7D7D40F2">
            <w:r>
              <w:t xml:space="preserve">The vast majority of DiNos are </w:t>
            </w:r>
            <w:r w:rsidRPr="00391E6F" w:rsidR="00530E0B">
              <w:rPr>
                <w:b/>
                <w:bCs/>
              </w:rPr>
              <w:t>browser-</w:t>
            </w:r>
            <w:r w:rsidRPr="00391E6F" w:rsidR="007D42BC">
              <w:rPr>
                <w:b/>
                <w:bCs/>
              </w:rPr>
              <w:t>based</w:t>
            </w:r>
            <w:r w:rsidR="007D42BC">
              <w:t xml:space="preserve"> and</w:t>
            </w:r>
            <w:r w:rsidR="00C62986">
              <w:t xml:space="preserve"> are </w:t>
            </w:r>
            <w:r w:rsidR="0011380B">
              <w:t xml:space="preserve">therefore accessible </w:t>
            </w:r>
            <w:r w:rsidR="00C62986">
              <w:t xml:space="preserve">through any computer </w:t>
            </w:r>
            <w:r w:rsidRPr="00650795" w:rsidR="00530E0B">
              <w:t>operating system.</w:t>
            </w:r>
            <w:r w:rsidR="00A4760D">
              <w:t xml:space="preserve"> If the interviewee</w:t>
            </w:r>
            <w:r w:rsidRPr="00650795" w:rsidR="00530E0B">
              <w:t xml:space="preserve"> </w:t>
            </w:r>
            <w:r w:rsidR="00391E6F">
              <w:t xml:space="preserve">expresses </w:t>
            </w:r>
            <w:r w:rsidR="00BD6019">
              <w:t xml:space="preserve">a </w:t>
            </w:r>
            <w:r w:rsidR="00391E6F">
              <w:t xml:space="preserve">desire </w:t>
            </w:r>
            <w:r w:rsidR="00BD6019">
              <w:t xml:space="preserve">to access the platform via a </w:t>
            </w:r>
            <w:r w:rsidR="00391E6F">
              <w:t xml:space="preserve">browser, </w:t>
            </w:r>
            <w:r w:rsidRPr="00391E6F" w:rsidR="00391E6F">
              <w:rPr>
                <w:b/>
                <w:bCs/>
              </w:rPr>
              <w:t>tablet/mobile</w:t>
            </w:r>
            <w:r w:rsidR="00391E6F">
              <w:t xml:space="preserve"> </w:t>
            </w:r>
            <w:r w:rsidRPr="00F41D98" w:rsidR="00F41D98">
              <w:t>compatibility</w:t>
            </w:r>
            <w:r w:rsidR="00F41D98">
              <w:rPr>
                <w:b/>
                <w:bCs/>
              </w:rPr>
              <w:t xml:space="preserve"> </w:t>
            </w:r>
            <w:r w:rsidRPr="00F41D98" w:rsidR="00F41D98">
              <w:t>(i.e. Responsive Design)</w:t>
            </w:r>
            <w:r w:rsidR="00F41D98">
              <w:t xml:space="preserve">, </w:t>
            </w:r>
            <w:r w:rsidRPr="00BD6019" w:rsidR="00F41D98">
              <w:rPr>
                <w:b/>
                <w:bCs/>
              </w:rPr>
              <w:t>mobile app</w:t>
            </w:r>
            <w:r w:rsidR="00BD6019">
              <w:t xml:space="preserve"> or a </w:t>
            </w:r>
            <w:r w:rsidRPr="00BD6019" w:rsidR="00BD6019">
              <w:rPr>
                <w:b/>
                <w:bCs/>
              </w:rPr>
              <w:t>desktop client</w:t>
            </w:r>
            <w:r w:rsidR="007D42BC">
              <w:t xml:space="preserve">, </w:t>
            </w:r>
            <w:r w:rsidRPr="00650795" w:rsidR="00530E0B">
              <w:t xml:space="preserve">this </w:t>
            </w:r>
            <w:proofErr w:type="gramStart"/>
            <w:r w:rsidRPr="00650795" w:rsidR="00530E0B">
              <w:t>would</w:t>
            </w:r>
            <w:proofErr w:type="gramEnd"/>
            <w:r w:rsidRPr="00650795" w:rsidR="00530E0B">
              <w:t xml:space="preserve"> need to be specified here.</w:t>
            </w:r>
          </w:p>
        </w:tc>
      </w:tr>
      <w:tr w:rsidRPr="00650795" w:rsidR="00530E0B" w:rsidTr="6FED8990" w14:paraId="0A9920D5" w14:textId="77777777">
        <w:trPr>
          <w:trHeight w:val="300"/>
        </w:trPr>
        <w:tc>
          <w:tcPr>
            <w:tcW w:w="750" w:type="dxa"/>
            <w:tcMar/>
          </w:tcPr>
          <w:p w:rsidRPr="00530E0B" w:rsidR="00530E0B" w:rsidP="00530E0B" w:rsidRDefault="00530E0B" w14:paraId="188EBAF5" w14:textId="4B8BECD6">
            <w:r w:rsidRPr="00530E0B">
              <w:rPr>
                <w:rFonts w:cs="Calibri"/>
                <w:color w:val="000000"/>
              </w:rPr>
              <w:t>IT-04</w:t>
            </w:r>
          </w:p>
        </w:tc>
        <w:tc>
          <w:tcPr>
            <w:tcW w:w="1894" w:type="dxa"/>
            <w:noWrap/>
            <w:tcMar/>
            <w:hideMark/>
          </w:tcPr>
          <w:p w:rsidRPr="00650795" w:rsidR="00530E0B" w:rsidP="00530E0B" w:rsidRDefault="00530E0B" w14:paraId="51CF0AA3" w14:textId="524768DD">
            <w:r w:rsidRPr="00650795">
              <w:t>Data storage location</w:t>
            </w:r>
          </w:p>
        </w:tc>
        <w:tc>
          <w:tcPr>
            <w:tcW w:w="6844" w:type="dxa"/>
            <w:noWrap/>
            <w:tcMar/>
            <w:hideMark/>
          </w:tcPr>
          <w:p w:rsidRPr="00650795" w:rsidR="00530E0B" w:rsidP="00530E0B" w:rsidRDefault="00530E0B" w14:paraId="0ED7DF2B" w14:textId="49B0D8ED">
            <w:r w:rsidRPr="00650795">
              <w:t xml:space="preserve">The location of storage must be compliant with the privacy policy of the using organization. Depending on the selection, full control over the data and the security protocols lies with the administration of the organization using the </w:t>
            </w:r>
            <w:r w:rsidR="007C02E3">
              <w:t>DiNo</w:t>
            </w:r>
            <w:r w:rsidRPr="00650795">
              <w:t xml:space="preserve">. In the case of </w:t>
            </w:r>
            <w:r w:rsidRPr="006B1213">
              <w:t>cloud storage</w:t>
            </w:r>
            <w:r w:rsidRPr="00650795">
              <w:t xml:space="preserve">, the physical location of the servers may determine whether compliance with certain data protection policies may be expected. </w:t>
            </w:r>
            <w:r w:rsidR="00DF1DA7">
              <w:t>Despite ITS holding the final decision</w:t>
            </w:r>
            <w:r w:rsidR="00FC5730">
              <w:t xml:space="preserve">, end-users may have a preference on whether their data is held </w:t>
            </w:r>
            <w:r w:rsidR="006B1213">
              <w:t xml:space="preserve">on their </w:t>
            </w:r>
            <w:r w:rsidRPr="006B1213" w:rsidR="006B1213">
              <w:rPr>
                <w:b/>
                <w:bCs/>
              </w:rPr>
              <w:t xml:space="preserve">own </w:t>
            </w:r>
            <w:r w:rsidRPr="006B1213" w:rsidR="00FC5730">
              <w:rPr>
                <w:b/>
                <w:bCs/>
              </w:rPr>
              <w:t>cloud</w:t>
            </w:r>
            <w:r w:rsidRPr="006B1213" w:rsidR="006B1213">
              <w:rPr>
                <w:b/>
                <w:bCs/>
              </w:rPr>
              <w:t xml:space="preserve"> storage</w:t>
            </w:r>
            <w:r w:rsidR="00FC5730">
              <w:t xml:space="preserve">, </w:t>
            </w:r>
            <w:r w:rsidRPr="002E79C5" w:rsidR="00FC5730">
              <w:rPr>
                <w:b/>
                <w:bCs/>
              </w:rPr>
              <w:t>locally</w:t>
            </w:r>
            <w:r w:rsidR="006B1213">
              <w:t xml:space="preserve"> (on the Research Data Service – </w:t>
            </w:r>
            <w:r w:rsidRPr="002E79C5" w:rsidR="006B1213">
              <w:rPr>
                <w:b/>
                <w:bCs/>
              </w:rPr>
              <w:t>RDS</w:t>
            </w:r>
            <w:r w:rsidR="006B1213">
              <w:t>)</w:t>
            </w:r>
            <w:r w:rsidR="002E79C5">
              <w:t xml:space="preserve"> or on the </w:t>
            </w:r>
            <w:r w:rsidRPr="002E79C5" w:rsidR="002E79C5">
              <w:rPr>
                <w:b/>
                <w:bCs/>
              </w:rPr>
              <w:t>provider’s cloud</w:t>
            </w:r>
            <w:r w:rsidR="002E79C5">
              <w:t xml:space="preserve"> (</w:t>
            </w:r>
            <w:r w:rsidRPr="002E79C5" w:rsidR="002E79C5">
              <w:rPr>
                <w:b/>
                <w:bCs/>
              </w:rPr>
              <w:t>SaaS</w:t>
            </w:r>
            <w:r w:rsidR="002E79C5">
              <w:t>)</w:t>
            </w:r>
            <w:r w:rsidR="00433A21">
              <w:t xml:space="preserve"> – this is capture</w:t>
            </w:r>
            <w:r w:rsidR="00E23047">
              <w:t>d</w:t>
            </w:r>
            <w:r w:rsidR="00433A21">
              <w:t xml:space="preserve"> here.</w:t>
            </w:r>
          </w:p>
        </w:tc>
      </w:tr>
    </w:tbl>
    <w:p w:rsidR="00650795" w:rsidP="00DF3AB5" w:rsidRDefault="00650795" w14:paraId="703E9FC0" w14:textId="77777777"/>
    <w:p w:rsidR="000C6231" w:rsidP="00DF3AB5" w:rsidRDefault="00F4458F" w14:paraId="1F7FB2E2" w14:textId="31264DDB">
      <w:r>
        <w:t>As per the first objective, t</w:t>
      </w:r>
      <w:r w:rsidR="00281DA0">
        <w:t>he goal is therefore to corroborate the interview</w:t>
      </w:r>
      <w:r w:rsidR="00FC6097">
        <w:t xml:space="preserve"> against these criteria</w:t>
      </w:r>
      <w:r w:rsidR="008462F1">
        <w:t xml:space="preserve">, much in the same way that </w:t>
      </w:r>
      <w:hyperlink w:history="1" r:id="rId10">
        <w:r w:rsidRPr="00D64608" w:rsidR="008462F1">
          <w:rPr>
            <w:rStyle w:val="Hyperlink"/>
          </w:rPr>
          <w:t>the survey</w:t>
        </w:r>
      </w:hyperlink>
      <w:r w:rsidR="008462F1">
        <w:t xml:space="preserve"> does</w:t>
      </w:r>
      <w:r w:rsidR="003137CE">
        <w:t xml:space="preserve">, to facilitate scoring the </w:t>
      </w:r>
      <w:r w:rsidR="00790DE0">
        <w:t xml:space="preserve">active </w:t>
      </w:r>
      <w:r w:rsidR="003137CE">
        <w:t>products</w:t>
      </w:r>
      <w:r w:rsidR="00790DE0">
        <w:t xml:space="preserve"> available on the market</w:t>
      </w:r>
      <w:r w:rsidR="003137CE">
        <w:t xml:space="preserve">. </w:t>
      </w:r>
      <w:r w:rsidR="007910C1">
        <w:t xml:space="preserve">I think the easiest way to do this is to have an awareness of the criteria and to either note them down as they come up (in an offline interview) or perhaps </w:t>
      </w:r>
      <w:proofErr w:type="gramStart"/>
      <w:r w:rsidR="007910C1">
        <w:t xml:space="preserve">later </w:t>
      </w:r>
      <w:r w:rsidR="00362427">
        <w:t>on</w:t>
      </w:r>
      <w:proofErr w:type="gramEnd"/>
      <w:r w:rsidR="00362427">
        <w:t xml:space="preserve"> from the interview transcription (if permission to record is given in an online interview).</w:t>
      </w:r>
      <w:r w:rsidR="006C4F2B">
        <w:t xml:space="preserve"> </w:t>
      </w:r>
      <w:r w:rsidRPr="002E7FA5" w:rsidR="006C4F2B">
        <w:t>Once the interview is complete</w:t>
      </w:r>
      <w:r w:rsidR="006C4F2B">
        <w:t xml:space="preserve">, each </w:t>
      </w:r>
      <w:r w:rsidR="00EC743B">
        <w:t>functionality mentioned can be recorded against the attribute in</w:t>
      </w:r>
      <w:r w:rsidR="00664911">
        <w:t xml:space="preserve"> the </w:t>
      </w:r>
      <w:hyperlink w:history="1" r:id="rId11">
        <w:r w:rsidR="00EE5B87">
          <w:rPr>
            <w:rStyle w:val="Hyperlink"/>
          </w:rPr>
          <w:t>stakeholder response log</w:t>
        </w:r>
      </w:hyperlink>
      <w:r w:rsidR="00AB35BA">
        <w:t>:</w:t>
      </w:r>
      <w:r w:rsidR="00EE5B87">
        <w:t xml:space="preserve"> </w:t>
      </w:r>
      <w:r w:rsidR="00CB1922">
        <w:t>‘</w:t>
      </w:r>
      <w:r w:rsidRPr="00EE5B87" w:rsidR="00EE5B87">
        <w:t>StakeholderELN_FRs</w:t>
      </w:r>
      <w:r w:rsidR="00CB1922">
        <w:t>’</w:t>
      </w:r>
      <w:r w:rsidRPr="00EE5B87" w:rsidR="00EE5B87">
        <w:t xml:space="preserve"> tab</w:t>
      </w:r>
      <w:r w:rsidR="00664911">
        <w:t>.</w:t>
      </w:r>
      <w:r w:rsidR="002E7FA5">
        <w:t xml:space="preserve"> I think it would be too difficult to try and simultaneously populate the log whilst actively listening to the interviewee.</w:t>
      </w:r>
    </w:p>
    <w:p w:rsidR="00906E97" w:rsidP="00174D2C" w:rsidRDefault="00174D2C" w14:paraId="0B2AF851" w14:textId="24CC7DA6">
      <w:pPr>
        <w:pStyle w:val="Heading3"/>
      </w:pPr>
      <w:r>
        <w:lastRenderedPageBreak/>
        <w:t>Sample inventory demand</w:t>
      </w:r>
    </w:p>
    <w:p w:rsidR="00906E97" w:rsidP="00DF3AB5" w:rsidRDefault="00906E97" w14:paraId="29F8D824" w14:textId="41DF031C">
      <w:r>
        <w:t>Focus is on the digital notebooks at this stage, as there seems to be little difference in the functionality of sample inventories</w:t>
      </w:r>
      <w:r w:rsidR="00001FB5">
        <w:t xml:space="preserve"> across platforms. The demand for sample inventories is instead captured in EF-01 &gt; Lab Management Functions &gt; Sample Tracking.</w:t>
      </w:r>
      <w:r w:rsidR="00D009A0">
        <w:t xml:space="preserve"> If however, the </w:t>
      </w:r>
      <w:r w:rsidR="0068360F">
        <w:t xml:space="preserve">interviewee goes into detail on Sample Inventories, this can be captured in </w:t>
      </w:r>
      <w:r w:rsidR="00204BD4">
        <w:t xml:space="preserve">an additional </w:t>
      </w:r>
      <w:r w:rsidR="00EE5B87">
        <w:t xml:space="preserve">tab </w:t>
      </w:r>
      <w:r w:rsidR="00204BD4">
        <w:t xml:space="preserve">of </w:t>
      </w:r>
      <w:r w:rsidR="00EE5B87">
        <w:t xml:space="preserve">the </w:t>
      </w:r>
      <w:hyperlink w:history="1" r:id="rId12">
        <w:r w:rsidRPr="00EE5B87" w:rsidR="00EE5B87">
          <w:rPr>
            <w:rStyle w:val="Hyperlink"/>
          </w:rPr>
          <w:t>stakeholder response log</w:t>
        </w:r>
      </w:hyperlink>
      <w:r w:rsidR="00204BD4">
        <w:t xml:space="preserve">: </w:t>
      </w:r>
      <w:r w:rsidR="00AB35BA">
        <w:t>‘</w:t>
      </w:r>
      <w:r w:rsidRPr="00204BD4" w:rsidR="00204BD4">
        <w:t>StakeholderInventory_FRs</w:t>
      </w:r>
      <w:r w:rsidR="00AB35BA">
        <w:t>’</w:t>
      </w:r>
      <w:r w:rsidR="00204BD4">
        <w:t>.</w:t>
      </w:r>
      <w:r w:rsidR="00372B95">
        <w:t xml:space="preserve"> The attributes (column headers</w:t>
      </w:r>
      <w:r w:rsidR="006277E1">
        <w:t xml:space="preserve"> beyond ‘User’</w:t>
      </w:r>
      <w:r w:rsidR="00372B95">
        <w:t xml:space="preserve">) have been added on an ad-hoc basis, so </w:t>
      </w:r>
      <w:r w:rsidR="008266FF">
        <w:t xml:space="preserve">these can be adjusted if necessary. I’m not anticipating any notable discussion on inventories </w:t>
      </w:r>
      <w:r w:rsidR="00DD5FED">
        <w:t xml:space="preserve">beyond the (shared) DiNo attributes however, within the limited </w:t>
      </w:r>
      <w:r w:rsidR="00726AFD">
        <w:t>timeframe of the interview</w:t>
      </w:r>
      <w:r w:rsidR="008266FF">
        <w:t>.</w:t>
      </w:r>
    </w:p>
    <w:p w:rsidR="00174D2C" w:rsidP="00174D2C" w:rsidRDefault="00174D2C" w14:paraId="2DDE9AC8" w14:textId="5B3BD4C5">
      <w:pPr>
        <w:pStyle w:val="Heading3"/>
      </w:pPr>
      <w:r>
        <w:t>Benefits logging</w:t>
      </w:r>
    </w:p>
    <w:p w:rsidR="006A7CFA" w:rsidP="00174D2C" w:rsidRDefault="005F5C2E" w14:paraId="5E836441" w14:textId="17AD0039">
      <w:r>
        <w:t xml:space="preserve">The final tab in the </w:t>
      </w:r>
      <w:hyperlink w:history="1" r:id="rId13">
        <w:r w:rsidRPr="00EE5B87">
          <w:rPr>
            <w:rStyle w:val="Hyperlink"/>
          </w:rPr>
          <w:t>stakeholder response log</w:t>
        </w:r>
      </w:hyperlink>
      <w:r>
        <w:t>, ‘</w:t>
      </w:r>
      <w:r w:rsidRPr="005F5C2E">
        <w:t>StakeholderBens</w:t>
      </w:r>
      <w:r>
        <w:t>’, is designed to capture where any benefits of DiNo + Sample Inventory uptake can bring benefits</w:t>
      </w:r>
      <w:r w:rsidR="00A90727">
        <w:t xml:space="preserve">, which are categorised </w:t>
      </w:r>
      <w:r w:rsidR="004C0504">
        <w:t xml:space="preserve">by each </w:t>
      </w:r>
      <w:r w:rsidR="00A90727">
        <w:t>benefit categor</w:t>
      </w:r>
      <w:r w:rsidR="004C0504">
        <w:t xml:space="preserve">y. Entries in cells are verbose </w:t>
      </w:r>
      <w:r w:rsidR="00970F58">
        <w:t>free text</w:t>
      </w:r>
      <w:r w:rsidR="00BF57B1">
        <w:t>, as I couldn’t think of a better way to capture this. Therefore, during the interview, if someone mentions either a benefit or disbenefit, it can be jotted down and placed under whichever header (benefit type) best suits it.</w:t>
      </w:r>
    </w:p>
    <w:p w:rsidR="00663988" w:rsidP="00174D2C" w:rsidRDefault="00663988" w14:paraId="265BC427" w14:textId="77777777"/>
    <w:p w:rsidR="006A7CFA" w:rsidP="006A7CFA" w:rsidRDefault="006A7CFA" w14:paraId="0FF43565" w14:textId="77777777">
      <w:pPr>
        <w:pStyle w:val="Heading2"/>
      </w:pPr>
      <w:r>
        <w:t>Secondary objectives</w:t>
      </w:r>
    </w:p>
    <w:p w:rsidR="00AB35BA" w:rsidP="00AB35BA" w:rsidRDefault="00CB1922" w14:paraId="526FF57C" w14:textId="2B6ED2B2">
      <w:pPr>
        <w:pStyle w:val="Heading3"/>
      </w:pPr>
      <w:r>
        <w:t>RDM for NFRs</w:t>
      </w:r>
    </w:p>
    <w:p w:rsidR="00C516B1" w:rsidP="00C8616E" w:rsidRDefault="00C8616E" w14:paraId="365AC030" w14:textId="6A2D7893">
      <w:r>
        <w:t xml:space="preserve">In previous discussions, discussing a researcher’s current workflow has brought out additional considerations around their </w:t>
      </w:r>
      <w:r w:rsidR="00565821">
        <w:t xml:space="preserve">research </w:t>
      </w:r>
      <w:r>
        <w:t>data management</w:t>
      </w:r>
      <w:r w:rsidR="00565821">
        <w:t>. It’s helpful to hear these points to consider the wider picture and any project dependencies. Discussing</w:t>
      </w:r>
      <w:r w:rsidR="007941B9">
        <w:t xml:space="preserve"> their current RDM practice can also highlight issues with data security</w:t>
      </w:r>
      <w:r w:rsidR="00062ACD">
        <w:t xml:space="preserve">, retention etc., which bolsters the case </w:t>
      </w:r>
      <w:r w:rsidR="00221A63">
        <w:t xml:space="preserve">for DiNos and </w:t>
      </w:r>
      <w:r w:rsidR="00886FA2">
        <w:t>may inform NFR</w:t>
      </w:r>
      <w:r w:rsidR="00565821">
        <w:t xml:space="preserve"> </w:t>
      </w:r>
      <w:r w:rsidR="00886FA2">
        <w:t xml:space="preserve">considerations also. </w:t>
      </w:r>
      <w:r w:rsidR="0005550F">
        <w:t xml:space="preserve">As NFRs will be largely determined by a business analyst (BA), this </w:t>
      </w:r>
      <w:r w:rsidR="00B311E0">
        <w:t xml:space="preserve">isn’t of particular concern, hence the secondary objective. Although, it is helpful to build an awareness of NFRs to ensure the BA captures everything. Therefore, </w:t>
      </w:r>
      <w:r w:rsidR="00C95A59">
        <w:t>feeding this information back to the PM is valuable.</w:t>
      </w:r>
    </w:p>
    <w:p w:rsidR="00C516B1" w:rsidP="00C516B1" w:rsidRDefault="00C516B1" w14:paraId="5402E281" w14:textId="5104580D">
      <w:pPr>
        <w:pStyle w:val="Heading3"/>
      </w:pPr>
      <w:r>
        <w:t xml:space="preserve">Previous or current </w:t>
      </w:r>
      <w:proofErr w:type="spellStart"/>
      <w:r>
        <w:t>DiNO</w:t>
      </w:r>
      <w:proofErr w:type="spellEnd"/>
      <w:r>
        <w:t xml:space="preserve"> experience</w:t>
      </w:r>
    </w:p>
    <w:p w:rsidR="00663988" w:rsidP="00C516B1" w:rsidRDefault="00C516B1" w14:paraId="7307BE9F" w14:textId="6ACFB562">
      <w:r>
        <w:t>Simply, in both FR</w:t>
      </w:r>
      <w:r w:rsidR="00663988">
        <w:t>-</w:t>
      </w:r>
      <w:r>
        <w:t xml:space="preserve">capturing tabs, there is a column </w:t>
      </w:r>
      <w:r w:rsidR="00663988">
        <w:t>where any current or previously used DiNo or sample inventory can be noted. Doing so will help us identify ‘power-users’.</w:t>
      </w:r>
    </w:p>
    <w:p w:rsidR="006A7CFA" w:rsidP="00970F58" w:rsidRDefault="00663988" w14:paraId="2055A052" w14:textId="11CD697D">
      <w:pPr>
        <w:pStyle w:val="Heading3"/>
      </w:pPr>
      <w:r>
        <w:t>Ongoing engagement</w:t>
      </w:r>
    </w:p>
    <w:p w:rsidR="0013208F" w:rsidP="00970F58" w:rsidRDefault="00970F58" w14:paraId="4B8E95A3" w14:textId="6776E214">
      <w:r>
        <w:t xml:space="preserve">Finally, if the interviewee </w:t>
      </w:r>
      <w:r w:rsidR="00201FBE">
        <w:t>appears either:</w:t>
      </w:r>
    </w:p>
    <w:p w:rsidR="0013208F" w:rsidP="0013208F" w:rsidRDefault="0013208F" w14:paraId="1FA91AED" w14:textId="77777777">
      <w:pPr>
        <w:pStyle w:val="ListParagraph"/>
        <w:numPr>
          <w:ilvl w:val="0"/>
          <w:numId w:val="3"/>
        </w:numPr>
      </w:pPr>
      <w:r>
        <w:t>Keen to engage further</w:t>
      </w:r>
    </w:p>
    <w:p w:rsidR="00970F58" w:rsidP="0013208F" w:rsidRDefault="0013208F" w14:paraId="1B497425" w14:textId="6E13BC93">
      <w:pPr>
        <w:pStyle w:val="ListParagraph"/>
        <w:numPr>
          <w:ilvl w:val="0"/>
          <w:numId w:val="3"/>
        </w:numPr>
      </w:pPr>
      <w:r>
        <w:t>Particularly helpful on the topic</w:t>
      </w:r>
    </w:p>
    <w:p w:rsidR="00201FBE" w:rsidP="0013208F" w:rsidRDefault="00201FBE" w14:paraId="413EE597" w14:textId="3EC06D5D">
      <w:pPr>
        <w:pStyle w:val="ListParagraph"/>
        <w:numPr>
          <w:ilvl w:val="0"/>
          <w:numId w:val="3"/>
        </w:numPr>
      </w:pPr>
      <w:r>
        <w:t>To have a valuable sphere of influence</w:t>
      </w:r>
    </w:p>
    <w:p w:rsidRPr="00970F58" w:rsidR="00201FBE" w:rsidP="00201FBE" w:rsidRDefault="00201FBE" w14:paraId="17163C5C" w14:textId="65DAA41B">
      <w:r>
        <w:t>See if they will be willing to share their contact details so we can reach out to them specifically in the future.</w:t>
      </w:r>
    </w:p>
    <w:sectPr w:rsidRPr="00970F58" w:rsidR="00201FBE">
      <w:headerReference w:type="even" r:id="rId14"/>
      <w:headerReference w:type="default" r:id="rId15"/>
      <w:headerReference w:type="first" r:id="rId16"/>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NH" w:author="Niki Harratt" w:date="2024-09-30T15:50:26" w:id="206907740">
    <w:p xmlns:w14="http://schemas.microsoft.com/office/word/2010/wordml" xmlns:w="http://schemas.openxmlformats.org/wordprocessingml/2006/main" w:rsidR="67A93E41" w:rsidRDefault="3A745420" w14:paraId="35193DB0" w14:textId="47853135">
      <w:pPr>
        <w:pStyle w:val="CommentText"/>
      </w:pPr>
      <w:r>
        <w:rPr>
          <w:rStyle w:val="CommentReference"/>
        </w:rPr>
        <w:annotationRef/>
      </w:r>
      <w:r w:rsidRPr="48D53F39" w:rsidR="7D52CE01">
        <w:t xml:space="preserve">Include specific licence types as a list so we know what to listen out for? Are they CC or something else? </w:t>
      </w:r>
    </w:p>
  </w:comment>
  <w:comment xmlns:w="http://schemas.openxmlformats.org/wordprocessingml/2006/main" w:initials="NH" w:author="Niki Harratt" w:date="2024-09-30T15:53:11" w:id="1865081075">
    <w:p xmlns:w14="http://schemas.microsoft.com/office/word/2010/wordml" xmlns:w="http://schemas.openxmlformats.org/wordprocessingml/2006/main" w:rsidR="37AE7769" w:rsidRDefault="3EE07D5F" w14:paraId="349C1C19" w14:textId="503EBAB3">
      <w:pPr>
        <w:pStyle w:val="CommentText"/>
      </w:pPr>
      <w:r>
        <w:rPr>
          <w:rStyle w:val="CommentReference"/>
        </w:rPr>
        <w:annotationRef/>
      </w:r>
      <w:r w:rsidRPr="2CD863B7" w:rsidR="3D73D54A">
        <w:t xml:space="preserve">Is access for non-UoM collaborators relevant here? </w:t>
      </w:r>
    </w:p>
  </w:comment>
  <w:comment xmlns:w="http://schemas.openxmlformats.org/wordprocessingml/2006/main" w:initials="NH" w:author="Niki Harratt" w:date="2024-09-30T15:57:54" w:id="795898282">
    <w:p xmlns:w14="http://schemas.microsoft.com/office/word/2010/wordml" xmlns:w="http://schemas.openxmlformats.org/wordprocessingml/2006/main" w:rsidR="31C34FA2" w:rsidRDefault="5E501E9D" w14:paraId="3EBC5F7B" w14:textId="65BF9414">
      <w:pPr>
        <w:pStyle w:val="CommentText"/>
      </w:pPr>
      <w:r>
        <w:rPr>
          <w:rStyle w:val="CommentReference"/>
        </w:rPr>
        <w:annotationRef/>
      </w:r>
      <w:r w:rsidRPr="0F51903E" w:rsidR="2197AFCD">
        <w:t xml:space="preserve">Is this a specific term with a precise meaning/definition within open science? </w:t>
      </w:r>
    </w:p>
    <w:p xmlns:w14="http://schemas.microsoft.com/office/word/2010/wordml" xmlns:w="http://schemas.openxmlformats.org/wordprocessingml/2006/main" w:rsidR="42B051CC" w:rsidRDefault="4A1BD17B" w14:paraId="48FED97E" w14:textId="4640419E">
      <w:pPr>
        <w:pStyle w:val="CommentText"/>
      </w:pPr>
    </w:p>
  </w:comment>
  <w:comment xmlns:w="http://schemas.openxmlformats.org/wordprocessingml/2006/main" w:initials="JB" w:author="James Bird" w:date="2024-09-30T17:01:44" w:id="1948967674">
    <w:p xmlns:w14="http://schemas.microsoft.com/office/word/2010/wordml" xmlns:w="http://schemas.openxmlformats.org/wordprocessingml/2006/main" w:rsidR="71AEE05C" w:rsidRDefault="23B1159C" w14:paraId="7F57658B" w14:textId="2C6A67FD">
      <w:pPr>
        <w:pStyle w:val="CommentText"/>
      </w:pPr>
      <w:r>
        <w:rPr>
          <w:rStyle w:val="CommentReference"/>
        </w:rPr>
        <w:annotationRef/>
      </w:r>
      <w:r w:rsidRPr="119A0A82" w:rsidR="7C327526">
        <w:t>Added a line to the paragraph above pointing out where these are in the .xlsm</w:t>
      </w:r>
    </w:p>
  </w:comment>
  <w:comment xmlns:w="http://schemas.openxmlformats.org/wordprocessingml/2006/main" w:initials="JB" w:author="James Bird" w:date="2024-09-30T17:02:30" w:id="1569214392">
    <w:p xmlns:w14="http://schemas.microsoft.com/office/word/2010/wordml" xmlns:w="http://schemas.openxmlformats.org/wordprocessingml/2006/main" w:rsidR="3C46D86B" w:rsidRDefault="3A7D6250" w14:paraId="2654612F" w14:textId="1CA29235">
      <w:pPr>
        <w:pStyle w:val="CommentText"/>
      </w:pPr>
      <w:r>
        <w:rPr>
          <w:rStyle w:val="CommentReference"/>
        </w:rPr>
        <w:annotationRef/>
      </w:r>
      <w:r w:rsidRPr="2E036FCA" w:rsidR="3393CB78">
        <w:t>Yes! Will add.</w:t>
      </w:r>
    </w:p>
  </w:comment>
  <w:comment xmlns:w="http://schemas.openxmlformats.org/wordprocessingml/2006/main" w:initials="JB" w:author="James Bird" w:date="2024-09-30T17:06:33" w:id="157920616">
    <w:p xmlns:w14="http://schemas.microsoft.com/office/word/2010/wordml" xmlns:w="http://schemas.openxmlformats.org/wordprocessingml/2006/main" w:rsidR="53711D73" w:rsidRDefault="6655AE9B" w14:paraId="0D759031" w14:textId="4FA188F5">
      <w:pPr>
        <w:pStyle w:val="CommentText"/>
      </w:pPr>
      <w:r>
        <w:rPr>
          <w:rStyle w:val="CommentReference"/>
        </w:rPr>
        <w:annotationRef/>
      </w:r>
      <w:r w:rsidRPr="271AA46D" w:rsidR="0C90C64E">
        <w:t>No, I understand it to be a open protocol. I had never heard of this before starting the project. I doubt greatly that it would come up!</w:t>
      </w:r>
    </w:p>
  </w:comment>
</w:comments>
</file>

<file path=word/commentsExtended.xml><?xml version="1.0" encoding="utf-8"?>
<w15:commentsEx xmlns:mc="http://schemas.openxmlformats.org/markup-compatibility/2006" xmlns:w15="http://schemas.microsoft.com/office/word/2012/wordml" mc:Ignorable="w15">
  <w15:commentEx w15:done="1" w15:paraId="35193DB0"/>
  <w15:commentEx w15:done="1" w15:paraId="349C1C19"/>
  <w15:commentEx w15:done="1" w15:paraId="48FED97E"/>
  <w15:commentEx w15:done="1" w15:paraId="7F57658B" w15:paraIdParent="35193DB0"/>
  <w15:commentEx w15:done="1" w15:paraId="2654612F" w15:paraIdParent="349C1C19"/>
  <w15:commentEx w15:done="1" w15:paraId="0D759031" w15:paraIdParent="48FED97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16F25CE" w16cex:dateUtc="2024-09-30T14:50:26.936Z"/>
  <w16cex:commentExtensible w16cex:durableId="613DAC71" w16cex:dateUtc="2024-09-30T14:53:11.131Z"/>
  <w16cex:commentExtensible w16cex:durableId="5975AD39" w16cex:dateUtc="2024-09-30T14:57:54.557Z"/>
  <w16cex:commentExtensible w16cex:durableId="183D7CB7" w16cex:dateUtc="2024-09-30T16:01:44.899Z"/>
  <w16cex:commentExtensible w16cex:durableId="6C86A5C9" w16cex:dateUtc="2024-09-30T16:02:30.207Z"/>
  <w16cex:commentExtensible w16cex:durableId="1C2D63B1" w16cex:dateUtc="2024-09-30T16:06:33.92Z"/>
</w16cex:commentsExtensible>
</file>

<file path=word/commentsIds.xml><?xml version="1.0" encoding="utf-8"?>
<w16cid:commentsIds xmlns:mc="http://schemas.openxmlformats.org/markup-compatibility/2006" xmlns:w16cid="http://schemas.microsoft.com/office/word/2016/wordml/cid" mc:Ignorable="w16cid">
  <w16cid:commentId w16cid:paraId="35193DB0" w16cid:durableId="616F25CE"/>
  <w16cid:commentId w16cid:paraId="349C1C19" w16cid:durableId="613DAC71"/>
  <w16cid:commentId w16cid:paraId="48FED97E" w16cid:durableId="5975AD39"/>
  <w16cid:commentId w16cid:paraId="7F57658B" w16cid:durableId="183D7CB7"/>
  <w16cid:commentId w16cid:paraId="2654612F" w16cid:durableId="6C86A5C9"/>
  <w16cid:commentId w16cid:paraId="0D759031" w16cid:durableId="1C2D63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7148C" w:rsidP="0027148C" w:rsidRDefault="0027148C" w14:paraId="33E0EAAF" w14:textId="77777777">
      <w:r>
        <w:separator/>
      </w:r>
    </w:p>
  </w:endnote>
  <w:endnote w:type="continuationSeparator" w:id="0">
    <w:p w:rsidR="0027148C" w:rsidP="0027148C" w:rsidRDefault="0027148C" w14:paraId="4B899CB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7148C" w:rsidP="0027148C" w:rsidRDefault="0027148C" w14:paraId="1026D6CA" w14:textId="77777777">
      <w:r>
        <w:separator/>
      </w:r>
    </w:p>
  </w:footnote>
  <w:footnote w:type="continuationSeparator" w:id="0">
    <w:p w:rsidR="0027148C" w:rsidP="0027148C" w:rsidRDefault="0027148C" w14:paraId="382D72B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27148C" w:rsidRDefault="0027148C" w14:paraId="63A52238" w14:textId="5191DCE8">
    <w:pPr>
      <w:pStyle w:val="Header"/>
    </w:pPr>
    <w:r>
      <w:rPr>
        <w:noProof/>
      </w:rPr>
      <mc:AlternateContent>
        <mc:Choice Requires="wps">
          <w:drawing>
            <wp:anchor distT="0" distB="0" distL="0" distR="0" simplePos="0" relativeHeight="251659264" behindDoc="0" locked="0" layoutInCell="1" allowOverlap="1" wp14:anchorId="63D490F0" wp14:editId="23A8C245">
              <wp:simplePos x="635" y="635"/>
              <wp:positionH relativeFrom="page">
                <wp:align>center</wp:align>
              </wp:positionH>
              <wp:positionV relativeFrom="page">
                <wp:align>top</wp:align>
              </wp:positionV>
              <wp:extent cx="621030" cy="345440"/>
              <wp:effectExtent l="0" t="0" r="1270" b="10160"/>
              <wp:wrapNone/>
              <wp:docPr id="997975305" name="Text Box 2"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1030" cy="345440"/>
                      </a:xfrm>
                      <a:prstGeom prst="rect">
                        <a:avLst/>
                      </a:prstGeom>
                      <a:noFill/>
                      <a:ln>
                        <a:noFill/>
                      </a:ln>
                    </wps:spPr>
                    <wps:txbx>
                      <w:txbxContent>
                        <w:p w:rsidRPr="0027148C" w:rsidR="0027148C" w:rsidP="0027148C" w:rsidRDefault="0027148C" w14:paraId="4CE9A8A8" w14:textId="3AF819A9">
                          <w:pPr>
                            <w:rPr>
                              <w:rFonts w:ascii="Calibri" w:hAnsi="Calibri" w:eastAsia="Calibri" w:cs="Calibri"/>
                              <w:noProof/>
                              <w:color w:val="000000"/>
                              <w:sz w:val="20"/>
                              <w:szCs w:val="20"/>
                            </w:rPr>
                          </w:pPr>
                          <w:r w:rsidRPr="0027148C">
                            <w:rPr>
                              <w:rFonts w:ascii="Calibri" w:hAnsi="Calibri" w:eastAsia="Calibri" w:cs="Calibri"/>
                              <w:noProof/>
                              <w:color w:val="000000"/>
                              <w:sz w:val="20"/>
                              <w:szCs w:val="20"/>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3D490F0">
              <v:stroke joinstyle="miter"/>
              <v:path gradientshapeok="t" o:connecttype="rect"/>
            </v:shapetype>
            <v:shape id="Text Box 2" style="position:absolute;margin-left:0;margin-top:0;width:48.9pt;height:27.2pt;z-index:251659264;visibility:visible;mso-wrap-style:none;mso-wrap-distance-left:0;mso-wrap-distance-top:0;mso-wrap-distance-right:0;mso-wrap-distance-bottom:0;mso-position-horizontal:center;mso-position-horizontal-relative:page;mso-position-vertical:top;mso-position-vertical-relative:page;v-text-anchor:top" alt="RESTRICTED"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">
              <v:fill o:detectmouseclick="t"/>
              <v:textbox style="mso-fit-shape-to-text:t" inset="0,15pt,0,0">
                <w:txbxContent>
                  <w:p w:rsidRPr="0027148C" w:rsidR="0027148C" w:rsidP="0027148C" w:rsidRDefault="0027148C" w14:paraId="4CE9A8A8" w14:textId="3AF819A9">
                    <w:pPr>
                      <w:rPr>
                        <w:rFonts w:ascii="Calibri" w:hAnsi="Calibri" w:eastAsia="Calibri" w:cs="Calibri"/>
                        <w:noProof/>
                        <w:color w:val="000000"/>
                        <w:sz w:val="20"/>
                        <w:szCs w:val="20"/>
                      </w:rPr>
                    </w:pPr>
                    <w:r w:rsidRPr="0027148C">
                      <w:rPr>
                        <w:rFonts w:ascii="Calibri" w:hAnsi="Calibri" w:eastAsia="Calibri" w:cs="Calibri"/>
                        <w:noProof/>
                        <w:color w:val="000000"/>
                        <w:sz w:val="20"/>
                        <w:szCs w:val="20"/>
                      </w:rPr>
                      <w:t>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27148C" w:rsidRDefault="0027148C" w14:paraId="21D1A5EF" w14:textId="58652691">
    <w:pPr>
      <w:pStyle w:val="Header"/>
    </w:pPr>
    <w:r>
      <w:rPr>
        <w:noProof/>
      </w:rPr>
      <mc:AlternateContent>
        <mc:Choice Requires="wps">
          <w:drawing>
            <wp:anchor distT="0" distB="0" distL="0" distR="0" simplePos="0" relativeHeight="251660288" behindDoc="0" locked="0" layoutInCell="1" allowOverlap="1" wp14:anchorId="7EC2823C" wp14:editId="1F96F701">
              <wp:simplePos x="0" y="0"/>
              <wp:positionH relativeFrom="page">
                <wp:align>center</wp:align>
              </wp:positionH>
              <wp:positionV relativeFrom="page">
                <wp:align>top</wp:align>
              </wp:positionV>
              <wp:extent cx="621030" cy="345440"/>
              <wp:effectExtent l="0" t="0" r="1270" b="10160"/>
              <wp:wrapNone/>
              <wp:docPr id="1474068233" name="Text Box 3"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1030" cy="345440"/>
                      </a:xfrm>
                      <a:prstGeom prst="rect">
                        <a:avLst/>
                      </a:prstGeom>
                      <a:noFill/>
                      <a:ln>
                        <a:noFill/>
                      </a:ln>
                    </wps:spPr>
                    <wps:txbx>
                      <w:txbxContent>
                        <w:p w:rsidRPr="0027148C" w:rsidR="0027148C" w:rsidP="0027148C" w:rsidRDefault="0027148C" w14:paraId="77CA5206" w14:textId="27B99A34">
                          <w:pPr>
                            <w:rPr>
                              <w:rFonts w:ascii="Calibri" w:hAnsi="Calibri" w:eastAsia="Calibri" w:cs="Calibri"/>
                              <w:noProof/>
                              <w:color w:val="000000"/>
                              <w:sz w:val="20"/>
                              <w:szCs w:val="20"/>
                            </w:rPr>
                          </w:pPr>
                          <w:r w:rsidRPr="0027148C">
                            <w:rPr>
                              <w:rFonts w:ascii="Calibri" w:hAnsi="Calibri" w:eastAsia="Calibri" w:cs="Calibri"/>
                              <w:noProof/>
                              <w:color w:val="000000"/>
                              <w:sz w:val="20"/>
                              <w:szCs w:val="20"/>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7EC2823C">
              <v:stroke joinstyle="miter"/>
              <v:path gradientshapeok="t" o:connecttype="rect"/>
            </v:shapetype>
            <v:shape id="Text Box 3" style="position:absolute;margin-left:0;margin-top:0;width:48.9pt;height:27.2pt;z-index:251660288;visibility:visible;mso-wrap-style:none;mso-wrap-distance-left:0;mso-wrap-distance-top:0;mso-wrap-distance-right:0;mso-wrap-distance-bottom:0;mso-position-horizontal:center;mso-position-horizontal-relative:page;mso-position-vertical:top;mso-position-vertical-relative:page;v-text-anchor:top" alt="RESTRICTED"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">
              <v:fill o:detectmouseclick="t"/>
              <v:textbox style="mso-fit-shape-to-text:t" inset="0,15pt,0,0">
                <w:txbxContent>
                  <w:p w:rsidRPr="0027148C" w:rsidR="0027148C" w:rsidP="0027148C" w:rsidRDefault="0027148C" w14:paraId="77CA5206" w14:textId="27B99A34">
                    <w:pPr>
                      <w:rPr>
                        <w:rFonts w:ascii="Calibri" w:hAnsi="Calibri" w:eastAsia="Calibri" w:cs="Calibri"/>
                        <w:noProof/>
                        <w:color w:val="000000"/>
                        <w:sz w:val="20"/>
                        <w:szCs w:val="20"/>
                      </w:rPr>
                    </w:pPr>
                    <w:r w:rsidRPr="0027148C">
                      <w:rPr>
                        <w:rFonts w:ascii="Calibri" w:hAnsi="Calibri" w:eastAsia="Calibri" w:cs="Calibri"/>
                        <w:noProof/>
                        <w:color w:val="000000"/>
                        <w:sz w:val="20"/>
                        <w:szCs w:val="20"/>
                      </w:rPr>
                      <w:t>RESTRICTED</w:t>
                    </w:r>
                  </w:p>
                </w:txbxContent>
              </v:textbox>
              <w10:wrap anchorx="page" anchory="page"/>
            </v:shape>
          </w:pict>
        </mc:Fallback>
      </mc:AlternateContent>
    </w:r>
    <w:r w:rsidR="0053359C">
      <w:t>James Bird</w:t>
    </w:r>
  </w:p>
  <w:p w:rsidR="0053359C" w:rsidRDefault="0053359C" w14:paraId="06329E5D" w14:textId="4AC3B614">
    <w:pPr>
      <w:pStyle w:val="Header"/>
    </w:pPr>
    <w:r>
      <w:t>24/09/24</w:t>
    </w:r>
    <w:r>
      <w:tab/>
    </w:r>
    <w:r>
      <w:tab/>
    </w:r>
    <w:r w:rsidR="004777F0">
      <w:t>v1.0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27148C" w:rsidRDefault="0027148C" w14:paraId="25406660" w14:textId="0E5A01A7">
    <w:pPr>
      <w:pStyle w:val="Header"/>
    </w:pPr>
    <w:r>
      <w:rPr>
        <w:noProof/>
      </w:rPr>
      <mc:AlternateContent>
        <mc:Choice Requires="wps">
          <w:drawing>
            <wp:anchor distT="0" distB="0" distL="0" distR="0" simplePos="0" relativeHeight="251658240" behindDoc="0" locked="0" layoutInCell="1" allowOverlap="1" wp14:anchorId="2DFE0FA7" wp14:editId="4ABC2366">
              <wp:simplePos x="635" y="635"/>
              <wp:positionH relativeFrom="page">
                <wp:align>center</wp:align>
              </wp:positionH>
              <wp:positionV relativeFrom="page">
                <wp:align>top</wp:align>
              </wp:positionV>
              <wp:extent cx="621030" cy="345440"/>
              <wp:effectExtent l="0" t="0" r="1270" b="10160"/>
              <wp:wrapNone/>
              <wp:docPr id="992242093" name="Text Box 1"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1030" cy="345440"/>
                      </a:xfrm>
                      <a:prstGeom prst="rect">
                        <a:avLst/>
                      </a:prstGeom>
                      <a:noFill/>
                      <a:ln>
                        <a:noFill/>
                      </a:ln>
                    </wps:spPr>
                    <wps:txbx>
                      <w:txbxContent>
                        <w:p w:rsidRPr="0027148C" w:rsidR="0027148C" w:rsidP="0027148C" w:rsidRDefault="0027148C" w14:paraId="43E8430C" w14:textId="4060F601">
                          <w:pPr>
                            <w:rPr>
                              <w:rFonts w:ascii="Calibri" w:hAnsi="Calibri" w:eastAsia="Calibri" w:cs="Calibri"/>
                              <w:noProof/>
                              <w:color w:val="000000"/>
                              <w:sz w:val="20"/>
                              <w:szCs w:val="20"/>
                            </w:rPr>
                          </w:pPr>
                          <w:r w:rsidRPr="0027148C">
                            <w:rPr>
                              <w:rFonts w:ascii="Calibri" w:hAnsi="Calibri" w:eastAsia="Calibri" w:cs="Calibri"/>
                              <w:noProof/>
                              <w:color w:val="000000"/>
                              <w:sz w:val="20"/>
                              <w:szCs w:val="20"/>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2DFE0FA7">
              <v:stroke joinstyle="miter"/>
              <v:path gradientshapeok="t" o:connecttype="rect"/>
            </v:shapetype>
            <v:shape id="Text Box 1" style="position:absolute;margin-left:0;margin-top:0;width:48.9pt;height:27.2pt;z-index:251658240;visibility:visible;mso-wrap-style:none;mso-wrap-distance-left:0;mso-wrap-distance-top:0;mso-wrap-distance-right:0;mso-wrap-distance-bottom:0;mso-position-horizontal:center;mso-position-horizontal-relative:page;mso-position-vertical:top;mso-position-vertical-relative:page;v-text-anchor:top" alt="RESTRICTED"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">
              <v:fill o:detectmouseclick="t"/>
              <v:textbox style="mso-fit-shape-to-text:t" inset="0,15pt,0,0">
                <w:txbxContent>
                  <w:p w:rsidRPr="0027148C" w:rsidR="0027148C" w:rsidP="0027148C" w:rsidRDefault="0027148C" w14:paraId="43E8430C" w14:textId="4060F601">
                    <w:pPr>
                      <w:rPr>
                        <w:rFonts w:ascii="Calibri" w:hAnsi="Calibri" w:eastAsia="Calibri" w:cs="Calibri"/>
                        <w:noProof/>
                        <w:color w:val="000000"/>
                        <w:sz w:val="20"/>
                        <w:szCs w:val="20"/>
                      </w:rPr>
                    </w:pPr>
                    <w:r w:rsidRPr="0027148C">
                      <w:rPr>
                        <w:rFonts w:ascii="Calibri" w:hAnsi="Calibri" w:eastAsia="Calibri" w:cs="Calibri"/>
                        <w:noProof/>
                        <w:color w:val="000000"/>
                        <w:sz w:val="20"/>
                        <w:szCs w:val="20"/>
                      </w:rPr>
                      <w:t>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E36A5"/>
    <w:multiLevelType w:val="hybridMultilevel"/>
    <w:tmpl w:val="4D10C72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390535FC"/>
    <w:multiLevelType w:val="hybridMultilevel"/>
    <w:tmpl w:val="9D1CE3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6ABF7074"/>
    <w:multiLevelType w:val="hybridMultilevel"/>
    <w:tmpl w:val="C1765D4A"/>
    <w:lvl w:ilvl="0" w:tplc="08090001">
      <w:start w:val="1"/>
      <w:numFmt w:val="bullet"/>
      <w:lvlText w:val=""/>
      <w:lvlJc w:val="left"/>
      <w:pPr>
        <w:ind w:left="776" w:hanging="360"/>
      </w:pPr>
      <w:rPr>
        <w:rFonts w:hint="default" w:ascii="Symbol" w:hAnsi="Symbol"/>
      </w:rPr>
    </w:lvl>
    <w:lvl w:ilvl="1" w:tplc="08090003" w:tentative="1">
      <w:start w:val="1"/>
      <w:numFmt w:val="bullet"/>
      <w:lvlText w:val="o"/>
      <w:lvlJc w:val="left"/>
      <w:pPr>
        <w:ind w:left="1496" w:hanging="360"/>
      </w:pPr>
      <w:rPr>
        <w:rFonts w:hint="default" w:ascii="Courier New" w:hAnsi="Courier New" w:cs="Courier New"/>
      </w:rPr>
    </w:lvl>
    <w:lvl w:ilvl="2" w:tplc="08090005" w:tentative="1">
      <w:start w:val="1"/>
      <w:numFmt w:val="bullet"/>
      <w:lvlText w:val=""/>
      <w:lvlJc w:val="left"/>
      <w:pPr>
        <w:ind w:left="2216" w:hanging="360"/>
      </w:pPr>
      <w:rPr>
        <w:rFonts w:hint="default" w:ascii="Wingdings" w:hAnsi="Wingdings"/>
      </w:rPr>
    </w:lvl>
    <w:lvl w:ilvl="3" w:tplc="08090001" w:tentative="1">
      <w:start w:val="1"/>
      <w:numFmt w:val="bullet"/>
      <w:lvlText w:val=""/>
      <w:lvlJc w:val="left"/>
      <w:pPr>
        <w:ind w:left="2936" w:hanging="360"/>
      </w:pPr>
      <w:rPr>
        <w:rFonts w:hint="default" w:ascii="Symbol" w:hAnsi="Symbol"/>
      </w:rPr>
    </w:lvl>
    <w:lvl w:ilvl="4" w:tplc="08090003" w:tentative="1">
      <w:start w:val="1"/>
      <w:numFmt w:val="bullet"/>
      <w:lvlText w:val="o"/>
      <w:lvlJc w:val="left"/>
      <w:pPr>
        <w:ind w:left="3656" w:hanging="360"/>
      </w:pPr>
      <w:rPr>
        <w:rFonts w:hint="default" w:ascii="Courier New" w:hAnsi="Courier New" w:cs="Courier New"/>
      </w:rPr>
    </w:lvl>
    <w:lvl w:ilvl="5" w:tplc="08090005" w:tentative="1">
      <w:start w:val="1"/>
      <w:numFmt w:val="bullet"/>
      <w:lvlText w:val=""/>
      <w:lvlJc w:val="left"/>
      <w:pPr>
        <w:ind w:left="4376" w:hanging="360"/>
      </w:pPr>
      <w:rPr>
        <w:rFonts w:hint="default" w:ascii="Wingdings" w:hAnsi="Wingdings"/>
      </w:rPr>
    </w:lvl>
    <w:lvl w:ilvl="6" w:tplc="08090001" w:tentative="1">
      <w:start w:val="1"/>
      <w:numFmt w:val="bullet"/>
      <w:lvlText w:val=""/>
      <w:lvlJc w:val="left"/>
      <w:pPr>
        <w:ind w:left="5096" w:hanging="360"/>
      </w:pPr>
      <w:rPr>
        <w:rFonts w:hint="default" w:ascii="Symbol" w:hAnsi="Symbol"/>
      </w:rPr>
    </w:lvl>
    <w:lvl w:ilvl="7" w:tplc="08090003" w:tentative="1">
      <w:start w:val="1"/>
      <w:numFmt w:val="bullet"/>
      <w:lvlText w:val="o"/>
      <w:lvlJc w:val="left"/>
      <w:pPr>
        <w:ind w:left="5816" w:hanging="360"/>
      </w:pPr>
      <w:rPr>
        <w:rFonts w:hint="default" w:ascii="Courier New" w:hAnsi="Courier New" w:cs="Courier New"/>
      </w:rPr>
    </w:lvl>
    <w:lvl w:ilvl="8" w:tplc="08090005" w:tentative="1">
      <w:start w:val="1"/>
      <w:numFmt w:val="bullet"/>
      <w:lvlText w:val=""/>
      <w:lvlJc w:val="left"/>
      <w:pPr>
        <w:ind w:left="6536" w:hanging="360"/>
      </w:pPr>
      <w:rPr>
        <w:rFonts w:hint="default" w:ascii="Wingdings" w:hAnsi="Wingdings"/>
      </w:rPr>
    </w:lvl>
  </w:abstractNum>
  <w:num w:numId="1" w16cid:durableId="106702251">
    <w:abstractNumId w:val="1"/>
  </w:num>
  <w:num w:numId="2" w16cid:durableId="533812173">
    <w:abstractNumId w:val="0"/>
  </w:num>
  <w:num w:numId="3" w16cid:durableId="484784614">
    <w:abstractNumId w:val="2"/>
  </w:num>
</w:numbering>
</file>

<file path=word/people.xml><?xml version="1.0" encoding="utf-8"?>
<w15:people xmlns:mc="http://schemas.openxmlformats.org/markup-compatibility/2006" xmlns:w15="http://schemas.microsoft.com/office/word/2012/wordml" mc:Ignorable="w15">
  <w15:person w15:author="Niki Harratt">
    <w15:presenceInfo w15:providerId="AD" w15:userId="S::niki.harratt@manchester.ac.uk::255704d0-0b9b-4fc9-b7fd-dd8862bc985a"/>
  </w15:person>
  <w15:person w15:author="James Bird">
    <w15:presenceInfo w15:providerId="AD" w15:userId="S::james.bird@manchester.ac.uk::f8fa3f80-8846-48b9-b0be-749b518323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8C"/>
    <w:rsid w:val="00000231"/>
    <w:rsid w:val="00001FB5"/>
    <w:rsid w:val="000072EF"/>
    <w:rsid w:val="00021ECC"/>
    <w:rsid w:val="00023761"/>
    <w:rsid w:val="00042AE7"/>
    <w:rsid w:val="00051374"/>
    <w:rsid w:val="0005550F"/>
    <w:rsid w:val="00055F8F"/>
    <w:rsid w:val="000563B9"/>
    <w:rsid w:val="0006277D"/>
    <w:rsid w:val="00062ACD"/>
    <w:rsid w:val="0007191A"/>
    <w:rsid w:val="0009746C"/>
    <w:rsid w:val="000A5740"/>
    <w:rsid w:val="000B17C5"/>
    <w:rsid w:val="000B41C8"/>
    <w:rsid w:val="000C0C20"/>
    <w:rsid w:val="000C1003"/>
    <w:rsid w:val="000C6231"/>
    <w:rsid w:val="000D210D"/>
    <w:rsid w:val="000D71AA"/>
    <w:rsid w:val="000E2DD3"/>
    <w:rsid w:val="000F73C2"/>
    <w:rsid w:val="0010246A"/>
    <w:rsid w:val="001079C5"/>
    <w:rsid w:val="00110D99"/>
    <w:rsid w:val="0011380B"/>
    <w:rsid w:val="00116058"/>
    <w:rsid w:val="0013208F"/>
    <w:rsid w:val="001343B1"/>
    <w:rsid w:val="00144E73"/>
    <w:rsid w:val="001466FF"/>
    <w:rsid w:val="00152729"/>
    <w:rsid w:val="00157BC2"/>
    <w:rsid w:val="00174D2C"/>
    <w:rsid w:val="00182108"/>
    <w:rsid w:val="001839A4"/>
    <w:rsid w:val="00184ED6"/>
    <w:rsid w:val="00192B6C"/>
    <w:rsid w:val="001A49D1"/>
    <w:rsid w:val="001A5F89"/>
    <w:rsid w:val="001B188C"/>
    <w:rsid w:val="001B1F1E"/>
    <w:rsid w:val="001B5ED5"/>
    <w:rsid w:val="001C0455"/>
    <w:rsid w:val="001C6CE4"/>
    <w:rsid w:val="001C7D08"/>
    <w:rsid w:val="001D21EA"/>
    <w:rsid w:val="001E7AAE"/>
    <w:rsid w:val="00201087"/>
    <w:rsid w:val="00201FBE"/>
    <w:rsid w:val="00204BD4"/>
    <w:rsid w:val="00205399"/>
    <w:rsid w:val="0021174D"/>
    <w:rsid w:val="00221A63"/>
    <w:rsid w:val="00231D21"/>
    <w:rsid w:val="00255BCB"/>
    <w:rsid w:val="002607BE"/>
    <w:rsid w:val="00267C24"/>
    <w:rsid w:val="0027148C"/>
    <w:rsid w:val="00281DA0"/>
    <w:rsid w:val="0028735A"/>
    <w:rsid w:val="002A34BB"/>
    <w:rsid w:val="002A4A9D"/>
    <w:rsid w:val="002C41C1"/>
    <w:rsid w:val="002D2668"/>
    <w:rsid w:val="002D3B56"/>
    <w:rsid w:val="002D7D2C"/>
    <w:rsid w:val="002E79C5"/>
    <w:rsid w:val="002E7B71"/>
    <w:rsid w:val="002E7FA5"/>
    <w:rsid w:val="002F4F0C"/>
    <w:rsid w:val="003137CE"/>
    <w:rsid w:val="003163DC"/>
    <w:rsid w:val="00316FFA"/>
    <w:rsid w:val="00325F24"/>
    <w:rsid w:val="0033734E"/>
    <w:rsid w:val="003464BE"/>
    <w:rsid w:val="003575D4"/>
    <w:rsid w:val="00362427"/>
    <w:rsid w:val="00366BB5"/>
    <w:rsid w:val="00367752"/>
    <w:rsid w:val="00372B95"/>
    <w:rsid w:val="003741DD"/>
    <w:rsid w:val="00383181"/>
    <w:rsid w:val="00391E6F"/>
    <w:rsid w:val="003C7286"/>
    <w:rsid w:val="003D0DF0"/>
    <w:rsid w:val="003F11EC"/>
    <w:rsid w:val="003F16D5"/>
    <w:rsid w:val="003F7561"/>
    <w:rsid w:val="00403500"/>
    <w:rsid w:val="00405341"/>
    <w:rsid w:val="00412FAC"/>
    <w:rsid w:val="004177BF"/>
    <w:rsid w:val="00425BB0"/>
    <w:rsid w:val="00433A21"/>
    <w:rsid w:val="0043726E"/>
    <w:rsid w:val="004402B0"/>
    <w:rsid w:val="00443355"/>
    <w:rsid w:val="004457A5"/>
    <w:rsid w:val="004506C6"/>
    <w:rsid w:val="004636E1"/>
    <w:rsid w:val="004667F5"/>
    <w:rsid w:val="004719AD"/>
    <w:rsid w:val="00474ADD"/>
    <w:rsid w:val="00475B28"/>
    <w:rsid w:val="004777F0"/>
    <w:rsid w:val="004816D7"/>
    <w:rsid w:val="004B458B"/>
    <w:rsid w:val="004C0504"/>
    <w:rsid w:val="004C2FB3"/>
    <w:rsid w:val="004C3F8D"/>
    <w:rsid w:val="004D50BB"/>
    <w:rsid w:val="00515C0D"/>
    <w:rsid w:val="0052370C"/>
    <w:rsid w:val="00526E49"/>
    <w:rsid w:val="00530E0B"/>
    <w:rsid w:val="0053359C"/>
    <w:rsid w:val="00535E6D"/>
    <w:rsid w:val="00541804"/>
    <w:rsid w:val="00560D31"/>
    <w:rsid w:val="00565821"/>
    <w:rsid w:val="00570433"/>
    <w:rsid w:val="005A01B3"/>
    <w:rsid w:val="005A0536"/>
    <w:rsid w:val="005A3F9F"/>
    <w:rsid w:val="005B582C"/>
    <w:rsid w:val="005B61B3"/>
    <w:rsid w:val="005C104E"/>
    <w:rsid w:val="005C668A"/>
    <w:rsid w:val="005C6E5A"/>
    <w:rsid w:val="005F02EB"/>
    <w:rsid w:val="005F4625"/>
    <w:rsid w:val="005F5C2E"/>
    <w:rsid w:val="005F7FFB"/>
    <w:rsid w:val="0060070E"/>
    <w:rsid w:val="00601E72"/>
    <w:rsid w:val="006277E1"/>
    <w:rsid w:val="00640F19"/>
    <w:rsid w:val="00643C09"/>
    <w:rsid w:val="0064430F"/>
    <w:rsid w:val="00650795"/>
    <w:rsid w:val="0065361C"/>
    <w:rsid w:val="00656A59"/>
    <w:rsid w:val="00663988"/>
    <w:rsid w:val="00664911"/>
    <w:rsid w:val="006739ED"/>
    <w:rsid w:val="00676FD4"/>
    <w:rsid w:val="00680C4E"/>
    <w:rsid w:val="0068360F"/>
    <w:rsid w:val="00686A75"/>
    <w:rsid w:val="00691FD7"/>
    <w:rsid w:val="006A040C"/>
    <w:rsid w:val="006A7CFA"/>
    <w:rsid w:val="006B1213"/>
    <w:rsid w:val="006B549D"/>
    <w:rsid w:val="006C4F2B"/>
    <w:rsid w:val="006C6B17"/>
    <w:rsid w:val="006E0BDE"/>
    <w:rsid w:val="006F030E"/>
    <w:rsid w:val="006F52B8"/>
    <w:rsid w:val="00705F01"/>
    <w:rsid w:val="007114D6"/>
    <w:rsid w:val="0071690F"/>
    <w:rsid w:val="00726AFD"/>
    <w:rsid w:val="007277ED"/>
    <w:rsid w:val="0073239F"/>
    <w:rsid w:val="007602C7"/>
    <w:rsid w:val="00761959"/>
    <w:rsid w:val="007729E8"/>
    <w:rsid w:val="0077792F"/>
    <w:rsid w:val="00785BF8"/>
    <w:rsid w:val="00790905"/>
    <w:rsid w:val="00790DE0"/>
    <w:rsid w:val="007910C1"/>
    <w:rsid w:val="007941B9"/>
    <w:rsid w:val="00794970"/>
    <w:rsid w:val="00796266"/>
    <w:rsid w:val="007A08E5"/>
    <w:rsid w:val="007B4568"/>
    <w:rsid w:val="007B7375"/>
    <w:rsid w:val="007C02E3"/>
    <w:rsid w:val="007D1380"/>
    <w:rsid w:val="007D42BC"/>
    <w:rsid w:val="007E216D"/>
    <w:rsid w:val="007E6730"/>
    <w:rsid w:val="007E7621"/>
    <w:rsid w:val="007F04AA"/>
    <w:rsid w:val="00802B9A"/>
    <w:rsid w:val="008032BC"/>
    <w:rsid w:val="00805F6E"/>
    <w:rsid w:val="00807826"/>
    <w:rsid w:val="0081234C"/>
    <w:rsid w:val="008134EE"/>
    <w:rsid w:val="008266FF"/>
    <w:rsid w:val="00833F2C"/>
    <w:rsid w:val="008462F1"/>
    <w:rsid w:val="00857367"/>
    <w:rsid w:val="008651A4"/>
    <w:rsid w:val="00886FA2"/>
    <w:rsid w:val="00894DC1"/>
    <w:rsid w:val="00895A2C"/>
    <w:rsid w:val="008A2BAC"/>
    <w:rsid w:val="008A3AF9"/>
    <w:rsid w:val="008B1931"/>
    <w:rsid w:val="008C5571"/>
    <w:rsid w:val="008E1192"/>
    <w:rsid w:val="008E1F35"/>
    <w:rsid w:val="008E68A1"/>
    <w:rsid w:val="008F17B0"/>
    <w:rsid w:val="008F2A2B"/>
    <w:rsid w:val="00902C7B"/>
    <w:rsid w:val="0090545A"/>
    <w:rsid w:val="00906E97"/>
    <w:rsid w:val="009527CF"/>
    <w:rsid w:val="009548B4"/>
    <w:rsid w:val="00956455"/>
    <w:rsid w:val="00964937"/>
    <w:rsid w:val="00970F58"/>
    <w:rsid w:val="00973903"/>
    <w:rsid w:val="0098324D"/>
    <w:rsid w:val="009A251C"/>
    <w:rsid w:val="009A269F"/>
    <w:rsid w:val="009C0EA7"/>
    <w:rsid w:val="009C4DA4"/>
    <w:rsid w:val="009D5C63"/>
    <w:rsid w:val="009E3BFE"/>
    <w:rsid w:val="009F32A8"/>
    <w:rsid w:val="009F5B9C"/>
    <w:rsid w:val="00A1386D"/>
    <w:rsid w:val="00A140CB"/>
    <w:rsid w:val="00A15481"/>
    <w:rsid w:val="00A264DF"/>
    <w:rsid w:val="00A31BCB"/>
    <w:rsid w:val="00A4157D"/>
    <w:rsid w:val="00A43A50"/>
    <w:rsid w:val="00A4760D"/>
    <w:rsid w:val="00A6707F"/>
    <w:rsid w:val="00A7021A"/>
    <w:rsid w:val="00A83A6D"/>
    <w:rsid w:val="00A855DB"/>
    <w:rsid w:val="00A90727"/>
    <w:rsid w:val="00A915FD"/>
    <w:rsid w:val="00A93350"/>
    <w:rsid w:val="00AA00FA"/>
    <w:rsid w:val="00AA4FF9"/>
    <w:rsid w:val="00AB1097"/>
    <w:rsid w:val="00AB35BA"/>
    <w:rsid w:val="00AD09BA"/>
    <w:rsid w:val="00AD76AD"/>
    <w:rsid w:val="00AE15C9"/>
    <w:rsid w:val="00AE4D89"/>
    <w:rsid w:val="00AF3523"/>
    <w:rsid w:val="00AF57B8"/>
    <w:rsid w:val="00B00B47"/>
    <w:rsid w:val="00B151AF"/>
    <w:rsid w:val="00B171A7"/>
    <w:rsid w:val="00B21BF1"/>
    <w:rsid w:val="00B311E0"/>
    <w:rsid w:val="00B34AEB"/>
    <w:rsid w:val="00B36651"/>
    <w:rsid w:val="00B45F68"/>
    <w:rsid w:val="00B53E24"/>
    <w:rsid w:val="00B55592"/>
    <w:rsid w:val="00B61E3E"/>
    <w:rsid w:val="00B62B71"/>
    <w:rsid w:val="00B6713D"/>
    <w:rsid w:val="00B726B3"/>
    <w:rsid w:val="00B90601"/>
    <w:rsid w:val="00B96FE5"/>
    <w:rsid w:val="00BA2A79"/>
    <w:rsid w:val="00BA4840"/>
    <w:rsid w:val="00BA7D5B"/>
    <w:rsid w:val="00BC441C"/>
    <w:rsid w:val="00BD6019"/>
    <w:rsid w:val="00BF57B1"/>
    <w:rsid w:val="00C01B74"/>
    <w:rsid w:val="00C041AF"/>
    <w:rsid w:val="00C06A73"/>
    <w:rsid w:val="00C20420"/>
    <w:rsid w:val="00C27587"/>
    <w:rsid w:val="00C32480"/>
    <w:rsid w:val="00C32A2F"/>
    <w:rsid w:val="00C33473"/>
    <w:rsid w:val="00C35398"/>
    <w:rsid w:val="00C408D0"/>
    <w:rsid w:val="00C516B1"/>
    <w:rsid w:val="00C51997"/>
    <w:rsid w:val="00C62986"/>
    <w:rsid w:val="00C64DD6"/>
    <w:rsid w:val="00C73CA0"/>
    <w:rsid w:val="00C834F5"/>
    <w:rsid w:val="00C8616E"/>
    <w:rsid w:val="00C92941"/>
    <w:rsid w:val="00C94FD1"/>
    <w:rsid w:val="00C95A59"/>
    <w:rsid w:val="00C97F8B"/>
    <w:rsid w:val="00CA2B0C"/>
    <w:rsid w:val="00CB1922"/>
    <w:rsid w:val="00CC238E"/>
    <w:rsid w:val="00CC3386"/>
    <w:rsid w:val="00CC7AFF"/>
    <w:rsid w:val="00CD1CD0"/>
    <w:rsid w:val="00CD5F02"/>
    <w:rsid w:val="00CD72B7"/>
    <w:rsid w:val="00CF582B"/>
    <w:rsid w:val="00D009A0"/>
    <w:rsid w:val="00D10841"/>
    <w:rsid w:val="00D20667"/>
    <w:rsid w:val="00D21146"/>
    <w:rsid w:val="00D34EDD"/>
    <w:rsid w:val="00D458A2"/>
    <w:rsid w:val="00D519E4"/>
    <w:rsid w:val="00D60FE7"/>
    <w:rsid w:val="00D62253"/>
    <w:rsid w:val="00D64608"/>
    <w:rsid w:val="00D65A05"/>
    <w:rsid w:val="00D7225A"/>
    <w:rsid w:val="00D84156"/>
    <w:rsid w:val="00D84951"/>
    <w:rsid w:val="00D866E3"/>
    <w:rsid w:val="00DA25EC"/>
    <w:rsid w:val="00DA3478"/>
    <w:rsid w:val="00DA574F"/>
    <w:rsid w:val="00DA58B6"/>
    <w:rsid w:val="00DB000A"/>
    <w:rsid w:val="00DB06B6"/>
    <w:rsid w:val="00DC299B"/>
    <w:rsid w:val="00DD5FED"/>
    <w:rsid w:val="00DF1DA7"/>
    <w:rsid w:val="00DF3AB5"/>
    <w:rsid w:val="00DF731C"/>
    <w:rsid w:val="00E07013"/>
    <w:rsid w:val="00E14EE8"/>
    <w:rsid w:val="00E15CD6"/>
    <w:rsid w:val="00E23047"/>
    <w:rsid w:val="00E25000"/>
    <w:rsid w:val="00E259DD"/>
    <w:rsid w:val="00E35964"/>
    <w:rsid w:val="00E36CB2"/>
    <w:rsid w:val="00E612DB"/>
    <w:rsid w:val="00E71806"/>
    <w:rsid w:val="00E83202"/>
    <w:rsid w:val="00E844CC"/>
    <w:rsid w:val="00E95667"/>
    <w:rsid w:val="00E974BC"/>
    <w:rsid w:val="00EC5E91"/>
    <w:rsid w:val="00EC743B"/>
    <w:rsid w:val="00ED1741"/>
    <w:rsid w:val="00ED1F12"/>
    <w:rsid w:val="00ED520D"/>
    <w:rsid w:val="00ED5AE1"/>
    <w:rsid w:val="00ED5CB2"/>
    <w:rsid w:val="00EE3D8A"/>
    <w:rsid w:val="00EE5B87"/>
    <w:rsid w:val="00EF135F"/>
    <w:rsid w:val="00F11B74"/>
    <w:rsid w:val="00F314CF"/>
    <w:rsid w:val="00F33694"/>
    <w:rsid w:val="00F41D98"/>
    <w:rsid w:val="00F42369"/>
    <w:rsid w:val="00F4458F"/>
    <w:rsid w:val="00F55E75"/>
    <w:rsid w:val="00F55E94"/>
    <w:rsid w:val="00F56C62"/>
    <w:rsid w:val="00F57DC2"/>
    <w:rsid w:val="00F807FC"/>
    <w:rsid w:val="00F8685A"/>
    <w:rsid w:val="00F87C74"/>
    <w:rsid w:val="00F90E42"/>
    <w:rsid w:val="00FB5721"/>
    <w:rsid w:val="00FC5730"/>
    <w:rsid w:val="00FC6097"/>
    <w:rsid w:val="00FD7F9C"/>
    <w:rsid w:val="00FE166E"/>
    <w:rsid w:val="00FF541B"/>
    <w:rsid w:val="15BC4349"/>
    <w:rsid w:val="169C1D02"/>
    <w:rsid w:val="1833C55C"/>
    <w:rsid w:val="1948014D"/>
    <w:rsid w:val="195FB1F1"/>
    <w:rsid w:val="2149F4A7"/>
    <w:rsid w:val="232C42C6"/>
    <w:rsid w:val="25EBBD1E"/>
    <w:rsid w:val="28216F9B"/>
    <w:rsid w:val="2E778FB3"/>
    <w:rsid w:val="3359756F"/>
    <w:rsid w:val="3A583EC9"/>
    <w:rsid w:val="3B170675"/>
    <w:rsid w:val="3D107368"/>
    <w:rsid w:val="3D71DF52"/>
    <w:rsid w:val="47D61B17"/>
    <w:rsid w:val="48019266"/>
    <w:rsid w:val="4C73AF4E"/>
    <w:rsid w:val="5AE998E7"/>
    <w:rsid w:val="65C36F74"/>
    <w:rsid w:val="6C3B3306"/>
    <w:rsid w:val="6DB8748E"/>
    <w:rsid w:val="6FED8990"/>
    <w:rsid w:val="71A36E12"/>
    <w:rsid w:val="75159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F914BF"/>
  <w15:chartTrackingRefBased/>
  <w15:docId w15:val="{5A6915F8-3869-A546-AF80-BE720D9A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7148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148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1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4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4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4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48C"/>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7148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27148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27148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7148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7148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7148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7148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7148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7148C"/>
    <w:rPr>
      <w:rFonts w:eastAsiaTheme="majorEastAsia" w:cstheme="majorBidi"/>
      <w:color w:val="272727" w:themeColor="text1" w:themeTint="D8"/>
    </w:rPr>
  </w:style>
  <w:style w:type="paragraph" w:styleId="Title">
    <w:name w:val="Title"/>
    <w:basedOn w:val="Normal"/>
    <w:next w:val="Normal"/>
    <w:link w:val="TitleChar"/>
    <w:uiPriority w:val="10"/>
    <w:qFormat/>
    <w:rsid w:val="0027148C"/>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7148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7148C"/>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71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48C"/>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27148C"/>
    <w:rPr>
      <w:i/>
      <w:iCs/>
      <w:color w:val="404040" w:themeColor="text1" w:themeTint="BF"/>
    </w:rPr>
  </w:style>
  <w:style w:type="paragraph" w:styleId="ListParagraph">
    <w:name w:val="List Paragraph"/>
    <w:basedOn w:val="Normal"/>
    <w:uiPriority w:val="34"/>
    <w:qFormat/>
    <w:rsid w:val="0027148C"/>
    <w:pPr>
      <w:ind w:left="720"/>
      <w:contextualSpacing/>
    </w:pPr>
  </w:style>
  <w:style w:type="character" w:styleId="IntenseEmphasis">
    <w:name w:val="Intense Emphasis"/>
    <w:basedOn w:val="DefaultParagraphFont"/>
    <w:uiPriority w:val="21"/>
    <w:qFormat/>
    <w:rsid w:val="0027148C"/>
    <w:rPr>
      <w:i/>
      <w:iCs/>
      <w:color w:val="0F4761" w:themeColor="accent1" w:themeShade="BF"/>
    </w:rPr>
  </w:style>
  <w:style w:type="paragraph" w:styleId="IntenseQuote">
    <w:name w:val="Intense Quote"/>
    <w:basedOn w:val="Normal"/>
    <w:next w:val="Normal"/>
    <w:link w:val="IntenseQuoteChar"/>
    <w:uiPriority w:val="30"/>
    <w:qFormat/>
    <w:rsid w:val="0027148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7148C"/>
    <w:rPr>
      <w:i/>
      <w:iCs/>
      <w:color w:val="0F4761" w:themeColor="accent1" w:themeShade="BF"/>
    </w:rPr>
  </w:style>
  <w:style w:type="character" w:styleId="IntenseReference">
    <w:name w:val="Intense Reference"/>
    <w:basedOn w:val="DefaultParagraphFont"/>
    <w:uiPriority w:val="32"/>
    <w:qFormat/>
    <w:rsid w:val="0027148C"/>
    <w:rPr>
      <w:b/>
      <w:bCs/>
      <w:smallCaps/>
      <w:color w:val="0F4761" w:themeColor="accent1" w:themeShade="BF"/>
      <w:spacing w:val="5"/>
    </w:rPr>
  </w:style>
  <w:style w:type="paragraph" w:styleId="Header">
    <w:name w:val="header"/>
    <w:basedOn w:val="Normal"/>
    <w:link w:val="HeaderChar"/>
    <w:uiPriority w:val="99"/>
    <w:unhideWhenUsed/>
    <w:rsid w:val="0027148C"/>
    <w:pPr>
      <w:tabs>
        <w:tab w:val="center" w:pos="4513"/>
        <w:tab w:val="right" w:pos="9026"/>
      </w:tabs>
    </w:pPr>
  </w:style>
  <w:style w:type="character" w:styleId="HeaderChar" w:customStyle="1">
    <w:name w:val="Header Char"/>
    <w:basedOn w:val="DefaultParagraphFont"/>
    <w:link w:val="Header"/>
    <w:uiPriority w:val="99"/>
    <w:rsid w:val="0027148C"/>
  </w:style>
  <w:style w:type="character" w:styleId="Hyperlink">
    <w:name w:val="Hyperlink"/>
    <w:basedOn w:val="DefaultParagraphFont"/>
    <w:uiPriority w:val="99"/>
    <w:unhideWhenUsed/>
    <w:rsid w:val="001839A4"/>
    <w:rPr>
      <w:color w:val="467886" w:themeColor="hyperlink"/>
      <w:u w:val="single"/>
    </w:rPr>
  </w:style>
  <w:style w:type="character" w:styleId="UnresolvedMention">
    <w:name w:val="Unresolved Mention"/>
    <w:basedOn w:val="DefaultParagraphFont"/>
    <w:uiPriority w:val="99"/>
    <w:semiHidden/>
    <w:unhideWhenUsed/>
    <w:rsid w:val="001839A4"/>
    <w:rPr>
      <w:color w:val="605E5C"/>
      <w:shd w:val="clear" w:color="auto" w:fill="E1DFDD"/>
    </w:rPr>
  </w:style>
  <w:style w:type="table" w:styleId="TableGrid">
    <w:name w:val="Table Grid"/>
    <w:basedOn w:val="TableNormal"/>
    <w:uiPriority w:val="39"/>
    <w:rsid w:val="006507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BA4840"/>
    <w:rPr>
      <w:color w:val="96607D" w:themeColor="followedHyperlink"/>
      <w:u w:val="single"/>
    </w:rPr>
  </w:style>
  <w:style w:type="paragraph" w:styleId="Footer">
    <w:name w:val="footer"/>
    <w:basedOn w:val="Normal"/>
    <w:link w:val="FooterChar"/>
    <w:uiPriority w:val="99"/>
    <w:unhideWhenUsed/>
    <w:rsid w:val="0053359C"/>
    <w:pPr>
      <w:tabs>
        <w:tab w:val="center" w:pos="4513"/>
        <w:tab w:val="right" w:pos="9026"/>
      </w:tabs>
    </w:pPr>
  </w:style>
  <w:style w:type="character" w:styleId="FooterChar" w:customStyle="1">
    <w:name w:val="Footer Char"/>
    <w:basedOn w:val="DefaultParagraphFont"/>
    <w:link w:val="Footer"/>
    <w:uiPriority w:val="99"/>
    <w:rsid w:val="00533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82904">
      <w:bodyDiv w:val="1"/>
      <w:marLeft w:val="0"/>
      <w:marRight w:val="0"/>
      <w:marTop w:val="0"/>
      <w:marBottom w:val="0"/>
      <w:divBdr>
        <w:top w:val="none" w:sz="0" w:space="0" w:color="auto"/>
        <w:left w:val="none" w:sz="0" w:space="0" w:color="auto"/>
        <w:bottom w:val="none" w:sz="0" w:space="0" w:color="auto"/>
        <w:right w:val="none" w:sz="0" w:space="0" w:color="auto"/>
      </w:divBdr>
    </w:div>
    <w:div w:id="1108695783">
      <w:bodyDiv w:val="1"/>
      <w:marLeft w:val="0"/>
      <w:marRight w:val="0"/>
      <w:marTop w:val="0"/>
      <w:marBottom w:val="0"/>
      <w:divBdr>
        <w:top w:val="none" w:sz="0" w:space="0" w:color="auto"/>
        <w:left w:val="none" w:sz="0" w:space="0" w:color="auto"/>
        <w:bottom w:val="none" w:sz="0" w:space="0" w:color="auto"/>
        <w:right w:val="none" w:sz="0" w:space="0" w:color="auto"/>
      </w:divBdr>
    </w:div>
    <w:div w:id="123839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vemanchesterac.sharepoint.com/:x:/r/sites/UOM-RIT-RLP/Shared%20Documents/New%20RLP/Open,%20Reproducible%20and%20Responsible%20Research/ORR12%20Digital%20Notebooks%20%26%20Sample%20Inventories/02%20Definition/Functional%20Requirements/Stakeholders_FRs_Bens.xlsm?d=w9d0e97af6a054764832f14b4d0730ed5&amp;csf=1&amp;web=1&amp;e=veDSwD" TargetMode="External"/><Relationship Id="rId18" Type="http://schemas.openxmlformats.org/officeDocument/2006/relationships/theme" Target="theme/theme1.xml"/><Relationship Id="rId3" Type="http://schemas.openxmlformats.org/officeDocument/2006/relationships/settings" Target="settings.xml"/><Relationship Id="R9d6c6aa1021a405d" Type="http://schemas.microsoft.com/office/2011/relationships/people" Target="people.xml"/><Relationship Id="R0903231be8c643e4" Type="http://schemas.microsoft.com/office/2016/09/relationships/commentsIds" Target="commentsIds.xml"/><Relationship Id="R92b2c601ad174841" Type="http://schemas.openxmlformats.org/officeDocument/2006/relationships/hyperlink" Target="https://miro.com/app/board/uXjVLdds0oo=/" TargetMode="External"/><Relationship Id="rId21" Type="http://schemas.openxmlformats.org/officeDocument/2006/relationships/customXml" Target="../customXml/item3.xml"/><Relationship Id="rId12" Type="http://schemas.openxmlformats.org/officeDocument/2006/relationships/hyperlink" Target="https://livemanchesterac.sharepoint.com/:x:/r/sites/UOM-RIT-RLP/Shared%20Documents/New%20RLP/Open,%20Reproducible%20and%20Responsible%20Research/ORR12%20Digital%20Notebooks%20%26%20Sample%20Inventories/02%20Definition/Functional%20Requirements/Stakeholders_FRs_Bens.xlsm?d=w9d0e97af6a054764832f14b4d0730ed5&amp;csf=1&amp;web=1&amp;e=veDSwD" TargetMode="External"/><Relationship Id="rId17" Type="http://schemas.openxmlformats.org/officeDocument/2006/relationships/fontTable" Target="fontTable.xml"/><Relationship Id="Rdcd3ca8172294661" Type="http://schemas.openxmlformats.org/officeDocument/2006/relationships/comments" Target="comments.xml"/><Relationship Id="R613c84f8907348ea" Type="http://schemas.openxmlformats.org/officeDocument/2006/relationships/hyperlink" Target="https://livemanchesterac.sharepoint.com/:x:/r/sites/UOM-RIT-RLP/Shared%20Documents/New%20RLP/Open,%20Reproducible%20and%20Responsible%20Research/ORR12%20Digital%20Notebooks%20%26%20Sample%20Inventories/02%20Definition/Functional%20Requirements/ELN_Attributes.xlsm?d=we602ba5e81fa4831a31462814116f824&amp;csf=1&amp;web=1&amp;e=4mJRaQ" TargetMode="Externa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customXml" Target="../customXml/item2.xml"/><Relationship Id="Rf20651c5ff5d4aec"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vemanchesterac.sharepoint.com/:x:/r/sites/UOM-RIT-RLP/Shared%20Documents/New%20RLP/Open,%20Reproducible%20and%20Responsible%20Research/ORR12%20Digital%20Notebooks%20%26%20Sample%20Inventories/02%20Definition/Functional%20Requirements/Stakeholders_FRs_Bens.xlsm?d=w9d0e97af6a054764832f14b4d0730ed5&amp;csf=1&amp;web=1&amp;e=veDSwD" TargetMode="External"/><Relationship Id="R9940c0a7418d4f7a"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eader" Target="header2.xml"/><Relationship Id="Rcce5e8ccab424ce8" Type="http://schemas.openxmlformats.org/officeDocument/2006/relationships/hyperlink" Target="https://livemanchesterac.sharepoint.com/:x:/r/sites/UOM-RIT-RLP/Shared%20Documents/New%20RLP/Open,%20Reproducible%20and%20Responsible%20Research/ORR12%20Digital%20Notebooks%20%26%20Sample%20Inventories/02%20Definition/Functional%20Requirements/FRsforScoringv0.5.xlsx?d=wc819202d40ad45ea9528ebf388c66084&amp;csf=1&amp;web=1&amp;e=Evz5gW" TargetMode="External"/><Relationship Id="rId10" Type="http://schemas.openxmlformats.org/officeDocument/2006/relationships/hyperlink" Target="https://www.qualtrics.manchester.ac.uk/jfe/preview/previewId/51afd0fa-3f2c-4112-bd58-0da8ccdb9607/SV_8vTzwbvdC97UZbU?Q_CHL=preview" TargetMode="External"/><Relationship Id="rId19" Type="http://schemas.openxmlformats.org/officeDocument/2006/relationships/customXml" Target="../customXml/item1.xml"/><Relationship Id="rId4"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2593B24D9089459E9F4AEF488D0E49" ma:contentTypeVersion="16" ma:contentTypeDescription="Create a new document." ma:contentTypeScope="" ma:versionID="5995fb873ede70f83f732b3379e57711">
  <xsd:schema xmlns:xsd="http://www.w3.org/2001/XMLSchema" xmlns:xs="http://www.w3.org/2001/XMLSchema" xmlns:p="http://schemas.microsoft.com/office/2006/metadata/properties" xmlns:ns2="3b9c7e33-038b-41d9-aee2-080fa3cfafb8" xmlns:ns3="9042142e-d53c-4433-8841-0b917120b5c6" targetNamespace="http://schemas.microsoft.com/office/2006/metadata/properties" ma:root="true" ma:fieldsID="6f239c54455bae65c456f4402cfccd4d" ns2:_="" ns3:_="">
    <xsd:import namespace="3b9c7e33-038b-41d9-aee2-080fa3cfafb8"/>
    <xsd:import namespace="9042142e-d53c-4433-8841-0b917120b5c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c7e33-038b-41d9-aee2-080fa3cfaf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7cc6cf4-952a-47e5-824b-fd30242c1fb8}" ma:internalName="TaxCatchAll" ma:showField="CatchAllData" ma:web="3b9c7e33-038b-41d9-aee2-080fa3cfafb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42142e-d53c-4433-8841-0b917120b5c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b9c7e33-038b-41d9-aee2-080fa3cfafb8" xsi:nil="true"/>
    <lcf76f155ced4ddcb4097134ff3c332f xmlns="9042142e-d53c-4433-8841-0b917120b5c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407DD9-32DA-4ED3-9F44-BE0D1915DE5A}"/>
</file>

<file path=customXml/itemProps2.xml><?xml version="1.0" encoding="utf-8"?>
<ds:datastoreItem xmlns:ds="http://schemas.openxmlformats.org/officeDocument/2006/customXml" ds:itemID="{829E28F6-D0D3-42DC-9778-EDE503B2D6CE}"/>
</file>

<file path=customXml/itemProps3.xml><?xml version="1.0" encoding="utf-8"?>
<ds:datastoreItem xmlns:ds="http://schemas.openxmlformats.org/officeDocument/2006/customXml" ds:itemID="{D354FE81-99C6-4137-8CE7-1FCF22F1DF4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Bird</dc:creator>
  <cp:keywords/>
  <dc:description/>
  <cp:lastModifiedBy>James Bird</cp:lastModifiedBy>
  <cp:revision>187</cp:revision>
  <dcterms:created xsi:type="dcterms:W3CDTF">2024-09-24T08:59:00Z</dcterms:created>
  <dcterms:modified xsi:type="dcterms:W3CDTF">2024-09-30T16:06:47Z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3b2469ad,3b7be509,57dc7f09</vt:lpwstr>
  </property>
  <property fmtid="{D5CDD505-2E9C-101B-9397-08002B2CF9AE}" pid="3" name="ClassificationContentMarkingHeaderFontProps">
    <vt:lpwstr>#000000,10,Calibri</vt:lpwstr>
  </property>
  <property fmtid="{D5CDD505-2E9C-101B-9397-08002B2CF9AE}" pid="4" name="ClassificationContentMarkingHeaderText">
    <vt:lpwstr>RESTRICTED</vt:lpwstr>
  </property>
  <property fmtid="{D5CDD505-2E9C-101B-9397-08002B2CF9AE}" pid="5" name="MSIP_Label_334199b4-0652-44c2-94dd-79f67ef4d6bd_Enabled">
    <vt:lpwstr>true</vt:lpwstr>
  </property>
  <property fmtid="{D5CDD505-2E9C-101B-9397-08002B2CF9AE}" pid="6" name="MSIP_Label_334199b4-0652-44c2-94dd-79f67ef4d6bd_SetDate">
    <vt:lpwstr>2024-09-24T09:00:32Z</vt:lpwstr>
  </property>
  <property fmtid="{D5CDD505-2E9C-101B-9397-08002B2CF9AE}" pid="7" name="MSIP_Label_334199b4-0652-44c2-94dd-79f67ef4d6bd_Method">
    <vt:lpwstr>Privileged</vt:lpwstr>
  </property>
  <property fmtid="{D5CDD505-2E9C-101B-9397-08002B2CF9AE}" pid="8" name="MSIP_Label_334199b4-0652-44c2-94dd-79f67ef4d6bd_Name">
    <vt:lpwstr>Restricted (P)</vt:lpwstr>
  </property>
  <property fmtid="{D5CDD505-2E9C-101B-9397-08002B2CF9AE}" pid="9" name="MSIP_Label_334199b4-0652-44c2-94dd-79f67ef4d6bd_SiteId">
    <vt:lpwstr>c152cb07-614e-4abb-818a-f035cfa91a77</vt:lpwstr>
  </property>
  <property fmtid="{D5CDD505-2E9C-101B-9397-08002B2CF9AE}" pid="10" name="MSIP_Label_334199b4-0652-44c2-94dd-79f67ef4d6bd_ActionId">
    <vt:lpwstr>c7fe6c1f-4479-45c1-b882-ed48ac22148d</vt:lpwstr>
  </property>
  <property fmtid="{D5CDD505-2E9C-101B-9397-08002B2CF9AE}" pid="11" name="MSIP_Label_334199b4-0652-44c2-94dd-79f67ef4d6bd_ContentBits">
    <vt:lpwstr>1</vt:lpwstr>
  </property>
  <property fmtid="{D5CDD505-2E9C-101B-9397-08002B2CF9AE}" pid="12" name="ContentTypeId">
    <vt:lpwstr>0x010100C22593B24D9089459E9F4AEF488D0E49</vt:lpwstr>
  </property>
</Properties>
</file>