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6"/>
        </w:rPr>
        <w:br/>
        <w:br/>
        <w:br/>
        <w:t>POC Avantages Sportifs</w:t>
      </w:r>
    </w:p>
    <w:p>
      <w:pPr>
        <w:jc w:val="center"/>
      </w:pPr>
      <w:r>
        <w:rPr>
          <w:i/>
          <w:sz w:val="28"/>
        </w:rPr>
        <w:t>Sport Data Solution — Pipeline ETL bout-en-bout</w:t>
        <w:br/>
      </w:r>
    </w:p>
    <w:p>
      <w:pPr>
        <w:jc w:val="center"/>
      </w:pPr>
      <w:r>
        <w:rPr>
          <w:sz w:val="26"/>
        </w:rPr>
        <w:br/>
        <w:br/>
        <w:br/>
        <w:br/>
        <w:br/>
        <w:br/>
        <w:br/>
        <w:t>Projet OpenClassrooms P12 — Data Engineer</w:t>
        <w:br/>
        <w:t>Option B</w:t>
        <w:br/>
        <w:br/>
        <w:t>Morgan Le Gall</w:t>
        <w:br/>
        <w:t>Juin 2026</w:t>
      </w:r>
    </w:p>
    <w:p>
      <w:r>
        <w:br w:type="page"/>
      </w:r>
    </w:p>
    <w:p>
      <w:pPr>
        <w:pStyle w:val="Heading1"/>
      </w:pPr>
      <w:r>
        <w:rPr>
          <w:color w:val="1F3A5F"/>
        </w:rPr>
        <w:t>1. Contexte et objectifs</w:t>
      </w:r>
    </w:p>
    <w:p>
      <w:r>
        <w:rPr>
          <w:b w:val="0"/>
          <w:i w:val="0"/>
          <w:sz w:val="22"/>
        </w:rPr>
        <w:t>Sport Data Solution est une start-up qui développe des solutions de monitoring sportif. Juliette, cofondatrice, souhaite tester un dispositif d'avantages pour ses 162 salariés afin d'encourager la pratique sportive :</w:t>
      </w:r>
    </w:p>
    <w:p>
      <w:pPr>
        <w:pStyle w:val="ListBullet"/>
      </w:pPr>
      <w:r>
        <w:t>Prime sportive : +5 % du salaire annuel brut pour les salariés venant au bureau en mode actif (marche, course, vélo, trottinette).</w:t>
      </w:r>
    </w:p>
    <w:p>
      <w:pPr>
        <w:pStyle w:val="ListBullet"/>
      </w:pPr>
      <w:r>
        <w:t>5 journées bien-être par an pour les salariés ayant ≥ 15 activités physiques déclarées sur 12 mois.</w:t>
      </w:r>
    </w:p>
    <w:p>
      <w:r>
        <w:rPr>
          <w:b w:val="0"/>
          <w:i w:val="0"/>
          <w:sz w:val="22"/>
        </w:rPr>
        <w:t>Le POC livre un pipeline ETL bout-en-bout qui prouve la faisabilité technique, garantit la qualité des données, et calcule l'impact financier des deux avantages. La consigne exige une démo live (modifier le taux de prime, insérer une activité en direct) et une restitution PowerBI.</w:t>
      </w:r>
    </w:p>
    <w:p>
      <w:pPr>
        <w:pStyle w:val="Heading2"/>
      </w:pPr>
      <w:r>
        <w:rPr>
          <w:color w:val="1F3A5F"/>
        </w:rPr>
        <w:t>Livrables</w:t>
      </w:r>
    </w:p>
    <w:p>
      <w:pPr>
        <w:pStyle w:val="ListBullet"/>
      </w:pPr>
      <w:r>
        <w:t>Code source sur GitHub avec README détaillé.</w:t>
      </w:r>
    </w:p>
    <w:p>
      <w:pPr>
        <w:pStyle w:val="ListBullet"/>
      </w:pPr>
      <w:r>
        <w:t>Pipeline orchestré (Kestra) avec monitoring et alertes.</w:t>
      </w:r>
    </w:p>
    <w:p>
      <w:pPr>
        <w:pStyle w:val="ListBullet"/>
      </w:pPr>
      <w:r>
        <w:t>Dashboard PowerBI consommant la base de données.</w:t>
      </w:r>
    </w:p>
    <w:p>
      <w:pPr>
        <w:pStyle w:val="ListBullet"/>
      </w:pPr>
      <w:r>
        <w:t>Support de présentation pour la soutenance.</w:t>
      </w:r>
    </w:p>
    <w:p>
      <w:r>
        <w:br w:type="page"/>
      </w:r>
    </w:p>
    <w:p>
      <w:pPr>
        <w:pStyle w:val="Heading1"/>
      </w:pPr>
      <w:r>
        <w:rPr>
          <w:color w:val="1F3A5F"/>
        </w:rPr>
        <w:t>2. Architecture technique</w:t>
      </w:r>
    </w:p>
    <w:p>
      <w:r>
        <w:rPr>
          <w:b w:val="0"/>
          <w:i w:val="0"/>
          <w:sz w:val="22"/>
        </w:rPr>
        <w:t>Stack retenue après comparaison :</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rPr>
              <w:t>Brique</w:t>
            </w:r>
          </w:p>
        </w:tc>
        <w:tc>
          <w:tcPr>
            <w:tcW w:type="dxa" w:w="3249"/>
          </w:tcPr>
          <w:p>
            <w:r>
              <w:rPr>
                <w:b/>
              </w:rPr>
              <w:t>Choix</w:t>
            </w:r>
          </w:p>
        </w:tc>
        <w:tc>
          <w:tcPr>
            <w:tcW w:type="dxa" w:w="3249"/>
          </w:tcPr>
          <w:p>
            <w:r>
              <w:rPr>
                <w:b/>
              </w:rPr>
              <w:t>Justification</w:t>
            </w:r>
          </w:p>
        </w:tc>
      </w:tr>
      <w:tr>
        <w:tc>
          <w:tcPr>
            <w:tcW w:type="dxa" w:w="3249"/>
          </w:tcPr>
          <w:p>
            <w:r>
              <w:t>Orchestration</w:t>
            </w:r>
          </w:p>
        </w:tc>
        <w:tc>
          <w:tcPr>
            <w:tcW w:type="dxa" w:w="3249"/>
          </w:tcPr>
          <w:p>
            <w:r>
              <w:t>Kestra 0.19</w:t>
            </w:r>
          </w:p>
        </w:tc>
        <w:tc>
          <w:tcPr>
            <w:tcW w:type="dxa" w:w="3249"/>
          </w:tcPr>
          <w:p>
            <w:r>
              <w:t>Flow YAML versionné, replay natif (exigence consigne), UI de monitoring.</w:t>
            </w:r>
          </w:p>
        </w:tc>
      </w:tr>
      <w:tr>
        <w:tc>
          <w:tcPr>
            <w:tcW w:type="dxa" w:w="3249"/>
          </w:tcPr>
          <w:p>
            <w:r>
              <w:t>Base de données</w:t>
            </w:r>
          </w:p>
        </w:tc>
        <w:tc>
          <w:tcPr>
            <w:tcW w:type="dxa" w:w="3249"/>
          </w:tcPr>
          <w:p>
            <w:r>
              <w:t>PostgreSQL 16</w:t>
            </w:r>
          </w:p>
        </w:tc>
        <w:tc>
          <w:tcPr>
            <w:tcW w:type="dxa" w:w="3249"/>
          </w:tcPr>
          <w:p>
            <w:r>
              <w:t>Rôles, Row Level Security, triggers d'audit — adapté aux PII RH.</w:t>
            </w:r>
          </w:p>
        </w:tc>
      </w:tr>
      <w:tr>
        <w:tc>
          <w:tcPr>
            <w:tcW w:type="dxa" w:w="3249"/>
          </w:tcPr>
          <w:p>
            <w:r>
              <w:t>Langage</w:t>
            </w:r>
          </w:p>
        </w:tc>
        <w:tc>
          <w:tcPr>
            <w:tcW w:type="dxa" w:w="3249"/>
          </w:tcPr>
          <w:p>
            <w:r>
              <w:t>Python 3.11</w:t>
            </w:r>
          </w:p>
        </w:tc>
        <w:tc>
          <w:tcPr>
            <w:tcW w:type="dxa" w:w="3249"/>
          </w:tcPr>
          <w:p>
            <w:r>
              <w:t>pandas / SQLAlchemy / Faker / Great Expectations.</w:t>
            </w:r>
          </w:p>
        </w:tc>
      </w:tr>
      <w:tr>
        <w:tc>
          <w:tcPr>
            <w:tcW w:type="dxa" w:w="3249"/>
          </w:tcPr>
          <w:p>
            <w:r>
              <w:t>Tests qualité</w:t>
            </w:r>
          </w:p>
        </w:tc>
        <w:tc>
          <w:tcPr>
            <w:tcW w:type="dxa" w:w="3249"/>
          </w:tcPr>
          <w:p>
            <w:r>
              <w:t>Great Expectations 1.x</w:t>
            </w:r>
          </w:p>
        </w:tc>
        <w:tc>
          <w:tcPr>
            <w:tcW w:type="dxa" w:w="3249"/>
          </w:tcPr>
          <w:p>
            <w:r>
              <w:t>Cité dans la note de cadrage. Suite déclarative, rapport JSON.</w:t>
            </w:r>
          </w:p>
        </w:tc>
      </w:tr>
      <w:tr>
        <w:tc>
          <w:tcPr>
            <w:tcW w:type="dxa" w:w="3249"/>
          </w:tcPr>
          <w:p>
            <w:r>
              <w:t>Géocodage</w:t>
            </w:r>
          </w:p>
        </w:tc>
        <w:tc>
          <w:tcPr>
            <w:tcW w:type="dxa" w:w="3249"/>
          </w:tcPr>
          <w:p>
            <w:r>
              <w:t>Google Maps Distance Matrix</w:t>
            </w:r>
          </w:p>
        </w:tc>
        <w:tc>
          <w:tcPr>
            <w:tcW w:type="dxa" w:w="3249"/>
          </w:tcPr>
          <w:p>
            <w:r>
              <w:t>+ cache PG + fallback haversine. 162 appels par run = quasi gratuit.</w:t>
            </w:r>
          </w:p>
        </w:tc>
      </w:tr>
      <w:tr>
        <w:tc>
          <w:tcPr>
            <w:tcW w:type="dxa" w:w="3249"/>
          </w:tcPr>
          <w:p>
            <w:r>
              <w:t>Notification</w:t>
            </w:r>
          </w:p>
        </w:tc>
        <w:tc>
          <w:tcPr>
            <w:tcW w:type="dxa" w:w="3249"/>
          </w:tcPr>
          <w:p>
            <w:r>
              <w:t>Slack Incoming Webhook</w:t>
            </w:r>
          </w:p>
        </w:tc>
        <w:tc>
          <w:tcPr>
            <w:tcW w:type="dxa" w:w="3249"/>
          </w:tcPr>
          <w:p>
            <w:r>
              <w:t>+ fallback fichier si le webhook répond en erreur.</w:t>
            </w:r>
          </w:p>
        </w:tc>
      </w:tr>
      <w:tr>
        <w:tc>
          <w:tcPr>
            <w:tcW w:type="dxa" w:w="3249"/>
          </w:tcPr>
          <w:p>
            <w:r>
              <w:t>Restitution</w:t>
            </w:r>
          </w:p>
        </w:tc>
        <w:tc>
          <w:tcPr>
            <w:tcW w:type="dxa" w:w="3249"/>
          </w:tcPr>
          <w:p>
            <w:r>
              <w:t>PowerBI Desktop</w:t>
            </w:r>
          </w:p>
        </w:tc>
        <w:tc>
          <w:tcPr>
            <w:tcW w:type="dxa" w:w="3249"/>
          </w:tcPr>
          <w:p>
            <w:r>
              <w:t>Connecteur PG natif, paramètres dynamiques pour la démo live.</w:t>
            </w:r>
          </w:p>
        </w:tc>
      </w:tr>
      <w:tr>
        <w:tc>
          <w:tcPr>
            <w:tcW w:type="dxa" w:w="3249"/>
          </w:tcPr>
          <w:p>
            <w:r>
              <w:t>Conteneurisation</w:t>
            </w:r>
          </w:p>
        </w:tc>
        <w:tc>
          <w:tcPr>
            <w:tcW w:type="dxa" w:w="3249"/>
          </w:tcPr>
          <w:p>
            <w:r>
              <w:t>Docker Compose</w:t>
            </w:r>
          </w:p>
        </w:tc>
        <w:tc>
          <w:tcPr>
            <w:tcW w:type="dxa" w:w="3249"/>
          </w:tcPr>
          <w:p>
            <w:r>
              <w:t>Une commande pour reconstruire la stack from scratch.</w:t>
            </w:r>
          </w:p>
        </w:tc>
      </w:tr>
    </w:tbl>
    <w:p>
      <w:pPr>
        <w:pStyle w:val="Heading2"/>
      </w:pPr>
      <w:r>
        <w:rPr>
          <w:color w:val="1F3A5F"/>
        </w:rPr>
        <w:t>Schémas PostgreSQL (pattern dbt-like)</w:t>
      </w:r>
    </w:p>
    <w:p>
      <w:pPr>
        <w:pStyle w:val="ListBullet"/>
      </w:pPr>
      <w:r>
        <w:t>raw — copie 1:1 des XLSX. Jamais modifiée (audit trail).</w:t>
      </w:r>
    </w:p>
    <w:p>
      <w:pPr>
        <w:pStyle w:val="ListBullet"/>
      </w:pPr>
      <w:r>
        <w:t>staging — typage strict + contraintes CHECK + clés étrangères.</w:t>
      </w:r>
    </w:p>
    <w:p>
      <w:pPr>
        <w:pStyle w:val="ListBullet"/>
      </w:pPr>
      <w:r>
        <w:t>marts — tables consommées par PowerBI : eligibility_prime, eligibility_wellbeing, kpi_by_bu.</w:t>
      </w:r>
    </w:p>
    <w:p>
      <w:pPr>
        <w:pStyle w:val="ListBullet"/>
      </w:pPr>
      <w:r>
        <w:t>audit — run_log (volumétrie/durée par étape) et eligibility_changes (traçabilité RGPD).</w:t>
      </w:r>
    </w:p>
    <w:p>
      <w:pPr>
        <w:pStyle w:val="ListBullet"/>
      </w:pPr>
      <w:r>
        <w:t>cache — gmaps_distance pour idempotence + maîtrise du coût API.</w:t>
      </w:r>
    </w:p>
    <w:p>
      <w:pPr>
        <w:pStyle w:val="Heading2"/>
      </w:pPr>
      <w:r>
        <w:rPr>
          <w:color w:val="1F3A5F"/>
        </w:rPr>
        <w:t>Flux du pipeline</w:t>
      </w:r>
    </w:p>
    <w:p>
      <w:r>
        <w:rPr>
          <w:b w:val="0"/>
          <w:i w:val="0"/>
          <w:sz w:val="22"/>
        </w:rPr>
        <w:t>Le flow Kestra enchaîne sept étapes : extraction RH, extraction sport, génération des activités (Strava-like), validation géographique, validation qualité Great Expectations, calcul des avantages, notification Slack. Une défaillance à n'importe quelle étape interrompt le flow et déclenche une alerte mail.</w:t>
      </w:r>
    </w:p>
    <w:p>
      <w:r>
        <w:br w:type="page"/>
      </w:r>
    </w:p>
    <w:p>
      <w:pPr>
        <w:pStyle w:val="Heading1"/>
      </w:pPr>
      <w:r>
        <w:rPr>
          <w:color w:val="1F3A5F"/>
        </w:rPr>
        <w:t>3. Données</w:t>
      </w:r>
    </w:p>
    <w:p>
      <w:pPr>
        <w:pStyle w:val="Heading2"/>
      </w:pPr>
      <w:r>
        <w:rPr>
          <w:color w:val="1F3A5F"/>
        </w:rPr>
        <w:t>Sources</w:t>
      </w:r>
    </w:p>
    <w:p>
      <w:pPr>
        <w:pStyle w:val="ListBullet"/>
      </w:pPr>
      <w:r>
        <w:t>Données+RH.xlsx (162 lignes × 11 colonnes) — ID, nom, prénom, date naissance, BU, date embauche, salaire brut, contrat, CP, adresse, moyen de déplacement.</w:t>
      </w:r>
    </w:p>
    <w:p>
      <w:pPr>
        <w:pStyle w:val="ListBullet"/>
      </w:pPr>
      <w:r>
        <w:t>Données+Sportive.xlsx (1000 lignes × 2 colonnes) — ID salarié, sport déclaré (nombreux NULL filtrés à l'extraction).</w:t>
      </w:r>
    </w:p>
    <w:p>
      <w:pPr>
        <w:pStyle w:val="ListBullet"/>
      </w:pPr>
      <w:r>
        <w:t>Activités sportives — générées par src/generate/activities.py (Faker + numpy) sur les 12 derniers mois, environ 4 000 lignes, cohérentes avec le sport déclaré de chaque salarié.</w:t>
      </w:r>
    </w:p>
    <w:p>
      <w:pPr>
        <w:pStyle w:val="Heading2"/>
      </w:pPr>
      <w:r>
        <w:rPr>
          <w:color w:val="1F3A5F"/>
        </w:rPr>
        <w:t>Données sensibles (PII)</w:t>
      </w:r>
    </w:p>
    <w:p>
      <w:r>
        <w:rPr>
          <w:b w:val="0"/>
          <w:i w:val="0"/>
          <w:sz w:val="22"/>
        </w:rPr>
        <w:t>Le fichier RH contient des PII (nom, salaire, adresse). Le projet applique :</w:t>
      </w:r>
    </w:p>
    <w:p>
      <w:pPr>
        <w:pStyle w:val="ListBullet"/>
      </w:pPr>
      <w:r>
        <w:t>Aucun fichier XLSX versionné — .gitignore strict.</w:t>
      </w:r>
    </w:p>
    <w:p>
      <w:pPr>
        <w:pStyle w:val="ListBullet"/>
      </w:pPr>
      <w:r>
        <w:t>Trois rôles PG distincts : etl_writer (R/W), analyst_reader / powerbi_reader (read marts only, jamais d'accès à staging.employees).</w:t>
      </w:r>
    </w:p>
    <w:p>
      <w:pPr>
        <w:pStyle w:val="ListBullet"/>
      </w:pPr>
      <w:r>
        <w:t>Pseudonymisation : SHA-256 salé du couple nom+prénom pour les analystes.</w:t>
      </w:r>
    </w:p>
    <w:p>
      <w:pPr>
        <w:pStyle w:val="ListBullet"/>
      </w:pPr>
      <w:r>
        <w:t>Row Level Security activée sur staging.employees.</w:t>
      </w:r>
    </w:p>
    <w:p>
      <w:pPr>
        <w:pStyle w:val="ListBullet"/>
      </w:pPr>
      <w:r>
        <w:t>Triggers d'audit sur les marts → trace exhaustive des calculs.</w:t>
      </w:r>
    </w:p>
    <w:p>
      <w:pPr>
        <w:pStyle w:val="ListBullet"/>
      </w:pPr>
      <w:r>
        <w:t>Inserts paramétrés (SQLAlchemy) — aucune concaténation SQL.</w:t>
      </w:r>
    </w:p>
    <w:p>
      <w:r>
        <w:br w:type="page"/>
      </w:r>
    </w:p>
    <w:p>
      <w:pPr>
        <w:pStyle w:val="Heading1"/>
      </w:pPr>
      <w:r>
        <w:rPr>
          <w:color w:val="1F3A5F"/>
        </w:rPr>
        <w:t>4. Qualité des données</w:t>
      </w:r>
    </w:p>
    <w:p>
      <w:r>
        <w:rPr>
          <w:b w:val="0"/>
          <w:i w:val="0"/>
          <w:sz w:val="22"/>
        </w:rPr>
        <w:t>Trois lignes de défense complémentaires garantissent l'intégrité :</w:t>
      </w:r>
    </w:p>
    <w:p>
      <w:pPr>
        <w:pStyle w:val="Heading2"/>
      </w:pPr>
      <w:r>
        <w:rPr>
          <w:color w:val="1F3A5F"/>
        </w:rPr>
        <w:t>Ligne 1 — Contraintes SQL (au chargement)</w:t>
      </w:r>
    </w:p>
    <w:p>
      <w:pPr>
        <w:pStyle w:val="ListBullet"/>
      </w:pPr>
      <w:r>
        <w:t>salaire_brut &gt; 0, jours_cp &gt;= 0.</w:t>
      </w:r>
    </w:p>
    <w:p>
      <w:pPr>
        <w:pStyle w:val="ListBullet"/>
      </w:pPr>
      <w:r>
        <w:t>moyen_deplacement IN (enum fermé) — valeur inconnue → erreur immédiate.</w:t>
      </w:r>
    </w:p>
    <w:p>
      <w:pPr>
        <w:pStyle w:val="ListBullet"/>
      </w:pPr>
      <w:r>
        <w:t>end_dt &gt; start_dt, distance_m IS NULL OR distance_m &gt;= 0.</w:t>
      </w:r>
    </w:p>
    <w:p>
      <w:pPr>
        <w:pStyle w:val="ListBullet"/>
      </w:pPr>
      <w:r>
        <w:t>Clés étrangères vérifiées (id_employee de staging.activities doit exister).</w:t>
      </w:r>
    </w:p>
    <w:p>
      <w:pPr>
        <w:pStyle w:val="Heading2"/>
      </w:pPr>
      <w:r>
        <w:rPr>
          <w:color w:val="1F3A5F"/>
        </w:rPr>
        <w:t>Ligne 2 — Great Expectations (avant calculs)</w:t>
      </w:r>
    </w:p>
    <w:p>
      <w:r>
        <w:rPr>
          <w:b w:val="0"/>
          <w:i w:val="0"/>
          <w:sz w:val="22"/>
        </w:rPr>
        <w:t>Suite déclarative sur employees et activities. Le rapport JSON est écrit dans data/ge_docs/ avec un timestamp par run. Tout échec lève une exception qui interrompt le pipeline Kestra et déclenche l'alerte mail.</w:t>
      </w:r>
    </w:p>
    <w:p>
      <w:pPr>
        <w:pStyle w:val="ListBullet"/>
      </w:pPr>
      <w:r>
        <w:t>Unicité de id_employee.</w:t>
      </w:r>
    </w:p>
    <w:p>
      <w:pPr>
        <w:pStyle w:val="ListBullet"/>
      </w:pPr>
      <w:r>
        <w:t>salaire_brut ∈ [10k, 300k €].</w:t>
      </w:r>
    </w:p>
    <w:p>
      <w:pPr>
        <w:pStyle w:val="ListBullet"/>
      </w:pPr>
      <w:r>
        <w:t>moyen_deplacement ∈ enum.</w:t>
      </w:r>
    </w:p>
    <w:p>
      <w:pPr>
        <w:pStyle w:val="ListBullet"/>
      </w:pPr>
      <w:r>
        <w:t>Dates d'activités non futures, distance ∈ [0, 200 km].</w:t>
      </w:r>
    </w:p>
    <w:p>
      <w:pPr>
        <w:pStyle w:val="Heading2"/>
      </w:pPr>
      <w:r>
        <w:rPr>
          <w:color w:val="1F3A5F"/>
        </w:rPr>
        <w:t>Ligne 3 — Validation métier géographique</w:t>
      </w:r>
    </w:p>
    <w:p>
      <w:r>
        <w:rPr>
          <w:b w:val="0"/>
          <w:i w:val="0"/>
          <w:sz w:val="22"/>
        </w:rPr>
        <w:t>Pour les salariés déclarant venir en mode actif, Google Maps Distance Matrix calcule la distance domicile → entreprise. Au-delà d'un seuil (15 km marche, 25 km vélo), la déclaration est flaguée is_declaration_suspect = TRUE → le salarié n'est pas éligible à la prime, et l'anomalie remonte au dashboard.</w:t>
      </w:r>
    </w:p>
    <w:p>
      <w:r>
        <w:br w:type="page"/>
      </w:r>
    </w:p>
    <w:p>
      <w:pPr>
        <w:pStyle w:val="Heading1"/>
      </w:pPr>
      <w:r>
        <w:rPr>
          <w:color w:val="1F3A5F"/>
        </w:rPr>
        <w:t>5. Calculs métier</w:t>
      </w:r>
    </w:p>
    <w:p>
      <w:pPr>
        <w:pStyle w:val="Heading2"/>
      </w:pPr>
      <w:r>
        <w:rPr>
          <w:color w:val="1F3A5F"/>
        </w:rPr>
        <w:t>Prime sportive</w:t>
      </w:r>
    </w:p>
    <w:p>
      <w:r>
        <w:rPr>
          <w:b w:val="0"/>
          <w:i/>
          <w:sz w:val="22"/>
        </w:rPr>
        <w:t>Formule (SQL paramétré, UPSERT idempotent) :</w:t>
      </w:r>
    </w:p>
    <w:p>
      <w:r>
        <w:rPr>
          <w:b w:val="0"/>
          <w:i w:val="0"/>
          <w:sz w:val="22"/>
        </w:rPr>
        <w:t>prime_amount = prime_rate × salaire_brut  SI  moyen_deplacement ∈ {Marche/running, Vélo/Trottinette}  ET  is_declaration_suspect = FALSE</w:t>
      </w:r>
    </w:p>
    <w:p>
      <w:pPr>
        <w:pStyle w:val="Heading2"/>
      </w:pPr>
      <w:r>
        <w:rPr>
          <w:color w:val="1F3A5F"/>
        </w:rPr>
        <w:t>Jours bien-être</w:t>
      </w:r>
    </w:p>
    <w:p>
      <w:r>
        <w:rPr>
          <w:b w:val="0"/>
          <w:i w:val="0"/>
          <w:sz w:val="22"/>
        </w:rPr>
        <w:t>5 jours accordés au salarié si COUNT(activités sur 365 derniers jours) ≥ wellbeing_threshold (15 par défaut).</w:t>
      </w:r>
    </w:p>
    <w:p>
      <w:pPr>
        <w:pStyle w:val="Heading2"/>
      </w:pPr>
      <w:r>
        <w:rPr>
          <w:color w:val="1F3A5F"/>
        </w:rPr>
        <w:t>Paramètres ajustables sans redéploiement</w:t>
      </w:r>
    </w:p>
    <w:p>
      <w:r>
        <w:rPr>
          <w:b w:val="0"/>
          <w:i w:val="0"/>
          <w:sz w:val="22"/>
        </w:rPr>
        <w:t>Les deux paramètres clés (prime_rate, wellbeing_threshold) sont des inputs Kestra — modifiables au moment du Execute dans l'UI ou via l'API. C'est cette propriété qui rend la démo live possible.</w:t>
      </w:r>
    </w:p>
    <w:p>
      <w:r>
        <w:br w:type="page"/>
      </w:r>
    </w:p>
    <w:p>
      <w:pPr>
        <w:pStyle w:val="Heading1"/>
      </w:pPr>
      <w:r>
        <w:rPr>
          <w:color w:val="1F3A5F"/>
        </w:rPr>
        <w:t>6. Monitoring et observabilité</w:t>
      </w:r>
    </w:p>
    <w:p>
      <w:pPr>
        <w:pStyle w:val="ListBullet"/>
      </w:pPr>
      <w:r>
        <w:t>Table audit.run_log : 1 ligne par étape avec rows_in, rows_out, duration_ms, status, message. Visualisable dans une page dédiée PowerBI.</w:t>
      </w:r>
    </w:p>
    <w:p>
      <w:pPr>
        <w:pStyle w:val="ListBullet"/>
      </w:pPr>
      <w:r>
        <w:t>UI Kestra : graphe d'exécution, logs en temps réel, replay manuel.</w:t>
      </w:r>
    </w:p>
    <w:p>
      <w:pPr>
        <w:pStyle w:val="ListBullet"/>
      </w:pPr>
      <w:r>
        <w:t>Alerte mail (errors:) déclenchée sur tout échec.</w:t>
      </w:r>
    </w:p>
    <w:p>
      <w:pPr>
        <w:pStyle w:val="ListBullet"/>
      </w:pPr>
      <w:r>
        <w:t>Cache.gmaps_distance : aussi un signal de santé — un cache vide après plusieurs runs trahit un problème d'API key.</w:t>
      </w:r>
    </w:p>
    <w:p>
      <w:r>
        <w:br w:type="page"/>
      </w:r>
    </w:p>
    <w:p>
      <w:pPr>
        <w:pStyle w:val="Heading1"/>
      </w:pPr>
      <w:r>
        <w:rPr>
          <w:color w:val="1F3A5F"/>
        </w:rPr>
        <w:t>7. Sécurité et RGPD</w:t>
      </w:r>
    </w:p>
    <w:p>
      <w:pPr>
        <w:pStyle w:val="ListBullet"/>
      </w:pPr>
      <w:r>
        <w:t>Données RH considérées sensibles dès la phase de design.</w:t>
      </w:r>
    </w:p>
    <w:p>
      <w:pPr>
        <w:pStyle w:val="ListBullet"/>
      </w:pPr>
      <w:r>
        <w:t>Aucun secret versionné — .env git-ignored, .env.example en placeholders.</w:t>
      </w:r>
    </w:p>
    <w:p>
      <w:pPr>
        <w:pStyle w:val="ListBullet"/>
      </w:pPr>
      <w:r>
        <w:t>Chiffrement at-rest : volume PG sur disque chiffré (BitLocker sous Windows).</w:t>
      </w:r>
    </w:p>
    <w:p>
      <w:pPr>
        <w:pStyle w:val="ListBullet"/>
      </w:pPr>
      <w:r>
        <w:t>Pseudonymisation pour les analystes (SHA-256 salé).</w:t>
      </w:r>
    </w:p>
    <w:p>
      <w:pPr>
        <w:pStyle w:val="ListBullet"/>
      </w:pPr>
      <w:r>
        <w:t>Audit trail RGPD via triggers + table audit.eligibility_changes (qui a calculé quoi, quand, avec quels paramètres).</w:t>
      </w:r>
    </w:p>
    <w:p>
      <w:pPr>
        <w:pStyle w:val="ListBullet"/>
      </w:pPr>
      <w:r>
        <w:t>Script forget_employee.py prévu pour le droit à l'oubli (next step prod).</w:t>
      </w:r>
    </w:p>
    <w:p>
      <w:pPr>
        <w:pStyle w:val="ListBullet"/>
      </w:pPr>
      <w:r>
        <w:t>Row Level Security pour interdire la lecture brute de staging.employees.</w:t>
      </w:r>
    </w:p>
    <w:p>
      <w:r>
        <w:br w:type="page"/>
      </w:r>
    </w:p>
    <w:p>
      <w:pPr>
        <w:pStyle w:val="Heading1"/>
      </w:pPr>
      <w:r>
        <w:rPr>
          <w:color w:val="1F3A5F"/>
        </w:rPr>
        <w:t>8. Tests automatisés</w:t>
      </w:r>
    </w:p>
    <w:p>
      <w:r>
        <w:rPr>
          <w:b w:val="0"/>
          <w:i w:val="0"/>
          <w:sz w:val="22"/>
        </w:rPr>
        <w:t>Tests pytest organisés en deux familles :</w:t>
      </w:r>
    </w:p>
    <w:p>
      <w:pPr>
        <w:pStyle w:val="ListBullet"/>
      </w:pPr>
      <w:r>
        <w:t>Unitaires (rapides, sans DB) : normalisation transport, hash PII, haversine, formatage Slack, distributions du générateur.</w:t>
      </w:r>
    </w:p>
    <w:p>
      <w:pPr>
        <w:pStyle w:val="ListBullet"/>
      </w:pPr>
      <w:r>
        <w:t>Intégration (RUN_INTEGRATION=1 + Postgres) : golden values des calculs métier, seuil bien-être à la frontière, changement de taux de prime.</w:t>
      </w:r>
    </w:p>
    <w:p>
      <w:r>
        <w:rPr>
          <w:b w:val="0"/>
          <w:i w:val="0"/>
          <w:sz w:val="22"/>
        </w:rPr>
        <w:t>Stratégie golden values : 3 cas câblés manuellement —</w:t>
      </w:r>
    </w:p>
    <w:p>
      <w:pPr>
        <w:pStyle w:val="ListBullet"/>
      </w:pPr>
      <w:r>
        <w:t>Transport actif + déclaration cohérente → éligible (1 500 € pour 30 k brut).</w:t>
      </w:r>
    </w:p>
    <w:p>
      <w:pPr>
        <w:pStyle w:val="ListBullet"/>
      </w:pPr>
      <w:r>
        <w:t>Transport actif + suspect → non éligible (raison explicite).</w:t>
      </w:r>
    </w:p>
    <w:p>
      <w:pPr>
        <w:pStyle w:val="ListBullet"/>
      </w:pPr>
      <w:r>
        <w:t>Transport non actif → non éligible.</w:t>
      </w:r>
    </w:p>
    <w:p>
      <w:r>
        <w:br w:type="page"/>
      </w:r>
    </w:p>
    <w:p>
      <w:pPr>
        <w:pStyle w:val="Heading1"/>
      </w:pPr>
      <w:r>
        <w:rPr>
          <w:color w:val="1F3A5F"/>
        </w:rPr>
        <w:t>9. Démo soutenance — scénarios</w:t>
      </w:r>
    </w:p>
    <w:p>
      <w:r>
        <w:rPr>
          <w:b w:val="0"/>
          <w:i w:val="0"/>
          <w:sz w:val="22"/>
        </w:rPr>
        <w:t>Conformément à la consigne OC, deux scénarios sont prêts (scripts/demo.sh) :</w:t>
      </w:r>
    </w:p>
    <w:p>
      <w:pPr>
        <w:pStyle w:val="Heading2"/>
      </w:pPr>
      <w:r>
        <w:rPr>
          <w:color w:val="1F3A5F"/>
        </w:rPr>
        <w:t>Scénario A — changement du taux de prime</w:t>
      </w:r>
    </w:p>
    <w:p>
      <w:pPr>
        <w:pStyle w:val="ListBullet"/>
      </w:pPr>
      <w:r>
        <w:t>Run du flow avec prime_rate = 0.05.</w:t>
      </w:r>
    </w:p>
    <w:p>
      <w:pPr>
        <w:pStyle w:val="ListBullet"/>
      </w:pPr>
      <w:r>
        <w:t>Lecture des KPI dans PowerBI : coût total = X €.</w:t>
      </w:r>
    </w:p>
    <w:p>
      <w:pPr>
        <w:pStyle w:val="ListBullet"/>
      </w:pPr>
      <w:r>
        <w:t>Re-run avec prime_rate = 0.07.</w:t>
      </w:r>
    </w:p>
    <w:p>
      <w:pPr>
        <w:pStyle w:val="ListBullet"/>
      </w:pPr>
      <w:r>
        <w:t>Refresh PowerBI : coût total recalculé. La table marts.eligibility_prime garde les deux versions via le champ run_id pour comparaison.</w:t>
      </w:r>
    </w:p>
    <w:p>
      <w:pPr>
        <w:pStyle w:val="Heading2"/>
      </w:pPr>
      <w:r>
        <w:rPr>
          <w:color w:val="1F3A5F"/>
        </w:rPr>
        <w:t>Scénario B — nouvelle activité en live</w:t>
      </w:r>
    </w:p>
    <w:p>
      <w:pPr>
        <w:pStyle w:val="ListBullet"/>
      </w:pPr>
      <w:r>
        <w:t>INSERT manuel dans staging.activities (script ou SQL direct).</w:t>
      </w:r>
    </w:p>
    <w:p>
      <w:pPr>
        <w:pStyle w:val="ListBullet"/>
      </w:pPr>
      <w:r>
        <w:t>Re-run de l'étape post_slack uniquement.</w:t>
      </w:r>
    </w:p>
    <w:p>
      <w:pPr>
        <w:pStyle w:val="ListBullet"/>
      </w:pPr>
      <w:r>
        <w:t>Vérification : message reçu dans #sport-data + ligne visible dans PowerBI (page Détail Bien-être).</w:t>
      </w:r>
    </w:p>
    <w:p>
      <w:r>
        <w:br w:type="page"/>
      </w:r>
    </w:p>
    <w:p>
      <w:pPr>
        <w:pStyle w:val="Heading1"/>
      </w:pPr>
      <w:r>
        <w:rPr>
          <w:color w:val="1F3A5F"/>
        </w:rPr>
        <w:t>10. Limites et perspectives</w:t>
      </w:r>
    </w:p>
    <w:p>
      <w:pPr>
        <w:pStyle w:val="Heading2"/>
      </w:pPr>
      <w:r>
        <w:rPr>
          <w:color w:val="1F3A5F"/>
        </w:rPr>
        <w:t>Hors scope du POC</w:t>
      </w:r>
    </w:p>
    <w:p>
      <w:pPr>
        <w:pStyle w:val="ListBullet"/>
      </w:pPr>
      <w:r>
        <w:t>Pas d'intégration vraie Strava (générateur Faker + numpy à la place).</w:t>
      </w:r>
    </w:p>
    <w:p>
      <w:pPr>
        <w:pStyle w:val="ListBullet"/>
      </w:pPr>
      <w:r>
        <w:t>Pas de CI/CD (GitHub Actions est la prochaine étape).</w:t>
      </w:r>
    </w:p>
    <w:p>
      <w:pPr>
        <w:pStyle w:val="ListBullet"/>
      </w:pPr>
      <w:r>
        <w:t>Pas de scale-out (Kubernetes, Spark) — surdimensionné pour 162 employés.</w:t>
      </w:r>
    </w:p>
    <w:p>
      <w:pPr>
        <w:pStyle w:val="Heading2"/>
      </w:pPr>
      <w:r>
        <w:rPr>
          <w:color w:val="1F3A5F"/>
        </w:rPr>
        <w:t>Perspectives</w:t>
      </w:r>
    </w:p>
    <w:p>
      <w:pPr>
        <w:pStyle w:val="ListBullet"/>
      </w:pPr>
      <w:r>
        <w:t>Connexion API Strava réelle (OAuth) en remplacement du générateur.</w:t>
      </w:r>
    </w:p>
    <w:p>
      <w:pPr>
        <w:pStyle w:val="ListBullet"/>
      </w:pPr>
      <w:r>
        <w:t>TTL sur le cache Google Maps (rafraîchissement périodique).</w:t>
      </w:r>
    </w:p>
    <w:p>
      <w:pPr>
        <w:pStyle w:val="ListBullet"/>
      </w:pPr>
      <w:r>
        <w:t>Image Docker custom avec dépendances pré-installées (gain ~30 s/étape).</w:t>
      </w:r>
    </w:p>
    <w:p>
      <w:pPr>
        <w:pStyle w:val="ListBullet"/>
      </w:pPr>
      <w:r>
        <w:t>Dashboard temps réel via Kestra → Grafana plutôt que PowerBI mensuel.</w:t>
      </w:r>
    </w:p>
    <w:p>
      <w:pPr>
        <w:pStyle w:val="ListBullet"/>
      </w:pPr>
      <w:r>
        <w:t>Politique de rotation du sel PII + ré-hash automatique.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