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28"/>
        </w:rPr>
        <w:t>UNIVERSIDAD CAPITAL DE ESTUDIOS SUPERIORES</w:t>
      </w:r>
    </w:p>
    <w:p/>
    <w:p>
      <w:pPr>
        <w:jc w:val="center"/>
      </w:pPr>
      <w:r>
        <w:rPr>
          <w:rFonts w:ascii="Arial" w:hAnsi="Arial"/>
          <w:sz w:val="24"/>
        </w:rPr>
        <w:t>INGENIERÍA EN SISTEMAS COMPUTACIONALES</w:t>
      </w:r>
    </w:p>
    <w:p/>
    <w:p/>
    <w:p>
      <w:pPr>
        <w:jc w:val="center"/>
      </w:pPr>
      <w:r>
        <w:rPr>
          <w:rFonts w:ascii="Arial" w:hAnsi="Arial"/>
          <w:b/>
          <w:sz w:val="32"/>
        </w:rPr>
        <w:t>DESARROLLO E IMPLEMENTACIÓN DE UN SISTEMA WEB DE RECLUTAMIENTO DE PERSONAL PARA LA UNIVERSIDAD CAPITAL DE ESTUDIOS SUPERIORES</w:t>
      </w:r>
    </w:p>
    <w:p/>
    <w:p/>
    <w:p>
      <w:pPr>
        <w:jc w:val="center"/>
      </w:pPr>
      <w:r>
        <w:rPr>
          <w:rFonts w:ascii="Arial" w:hAnsi="Arial"/>
          <w:sz w:val="24"/>
        </w:rPr>
        <w:t>REPORTE DE RESIDENCIAS PROFESIONALES</w:t>
      </w:r>
    </w:p>
    <w:p/>
    <w:p>
      <w:pPr>
        <w:jc w:val="center"/>
      </w:pPr>
      <w:r>
        <w:rPr>
          <w:rFonts w:ascii="Arial" w:hAnsi="Arial"/>
          <w:color w:val="B40000"/>
          <w:sz w:val="24"/>
        </w:rPr>
        <w:t>[NOMBRE DEL AUTOR — PENDIENTE DE CONFIRMACIÓN]</w:t>
      </w:r>
    </w:p>
    <w:p>
      <w:pPr>
        <w:jc w:val="center"/>
      </w:pPr>
      <w:r>
        <w:rPr>
          <w:rFonts w:ascii="Arial" w:hAnsi="Arial"/>
          <w:color w:val="B40000"/>
          <w:sz w:val="22"/>
        </w:rPr>
        <w:t>Matrícula: [MATRÍCULA — PENDIENTE]</w:t>
      </w:r>
    </w:p>
    <w:p/>
    <w:p>
      <w:pPr>
        <w:jc w:val="center"/>
      </w:pPr>
      <w:r>
        <w:rPr>
          <w:rFonts w:ascii="Arial" w:hAnsi="Arial"/>
          <w:color w:val="B40000"/>
          <w:sz w:val="22"/>
        </w:rPr>
        <w:t>Asesor: [NOMBRE DEL ASESOR — PENDIENTE DE CONFIRMACIÓN]</w:t>
      </w:r>
    </w:p>
    <w:p/>
    <w:p/>
    <w:p>
      <w:pPr>
        <w:jc w:val="center"/>
      </w:pPr>
      <w:r>
        <w:rPr>
          <w:rFonts w:ascii="Arial" w:hAnsi="Arial"/>
          <w:sz w:val="22"/>
        </w:rPr>
        <w:t>Zamora, Michoacán — Octubre 2026</w:t>
      </w:r>
    </w:p>
    <w:p>
      <w:pPr>
        <w:jc w:val="center"/>
      </w:pPr>
      <w:r>
        <w:rPr>
          <w:i/>
          <w:color w:val="808080"/>
          <w:sz w:val="18"/>
        </w:rPr>
        <w:t>[NOTA: Portada provisional — formato sin plantilla institucional confirmada. Los datos entre corchetes requieren confirmación del autor/asesor.]</w:t>
      </w:r>
    </w:p>
    <w:p>
      <w:r>
        <w:br w:type="page"/>
      </w:r>
    </w:p>
    <w:p>
      <w:pPr>
        <w:pStyle w:val="Heading1"/>
      </w:pPr>
      <w:r>
        <w:t>RESUMEN</w:t>
      </w:r>
    </w:p>
    <w:p>
      <w:pPr>
        <w:jc w:val="both"/>
      </w:pPr>
      <w:r>
        <w:rPr>
          <w:rFonts w:ascii="Arial" w:hAnsi="Arial"/>
          <w:sz w:val="22"/>
        </w:rPr>
        <w:t>El presente trabajo documenta el desarrollo e implementación de UCES Plataforma de Talento, una aplicación web de tipo MVP (</w:t>
      </w:r>
      <w:r>
        <w:rPr>
          <w:i/>
        </w:rPr>
        <w:t>Minimum Viable Product</w:t>
      </w:r>
      <w:r>
        <w:rPr>
          <w:rFonts w:ascii="Arial" w:hAnsi="Arial"/>
          <w:sz w:val="22"/>
        </w:rP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pPr>
        <w:jc w:val="both"/>
      </w:pPr>
      <w:r>
        <w:rPr>
          <w:rFonts w:ascii="Arial" w:hAnsi="Arial"/>
          <w:sz w:val="22"/>
        </w:rP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evolutivo, desarrollado en ocho iteraciones documentadas entre diciembre de 2025 y mayo de 2026, tomando como base de especificación el análisis y diseño previo elaborado por Arciniega Robles (2026) en el Trabajo A.</w:t>
      </w:r>
    </w:p>
    <w:p>
      <w:pPr>
        <w:jc w:val="both"/>
      </w:pPr>
      <w:r>
        <w:rPr>
          <w:rFonts w:ascii="Arial" w:hAnsi="Arial"/>
          <w:sz w:val="22"/>
        </w:rP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pPr>
        <w:jc w:val="both"/>
      </w:pPr>
      <w:r>
        <w:rPr>
          <w:rFonts w:ascii="Arial" w:hAnsi="Arial"/>
          <w:sz w:val="22"/>
        </w:rP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 por clasificación psicométrica, la inoperatividad del rol de revisor, la falta de notificaciones automáticas y la imposibilidad de verificar el comportamiento del sistema ante expiración de sesión prolongada.</w:t>
      </w:r>
    </w:p>
    <w:p>
      <w:pPr>
        <w:jc w:val="both"/>
      </w:pPr>
      <w:r>
        <w:rPr>
          <w:rFonts w:ascii="Arial" w:hAnsi="Arial"/>
          <w:sz w:val="22"/>
        </w:rP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pPr>
        <w:jc w:val="both"/>
      </w:pPr>
      <w:r>
        <w:rPr>
          <w:b/>
        </w:rPr>
        <w:t>Palabras clave:</w:t>
      </w:r>
      <w:r>
        <w:rPr>
          <w:rFonts w:ascii="Arial" w:hAnsi="Arial"/>
          <w:sz w:val="22"/>
        </w:rPr>
        <w:t xml:space="preserve"> plataforma web, reclutamiento universitario, prototipado evolutivo, evaluación psicométrica, Supabase, Next.js, MVP.</w:t>
      </w:r>
    </w:p>
    <w:p>
      <w:r>
        <w:br w:type="page"/>
      </w:r>
    </w:p>
    <w:p>
      <w:pPr>
        <w:pStyle w:val="Heading1"/>
      </w:pPr>
      <w:r>
        <w:t>ABSTRACT</w:t>
      </w:r>
    </w:p>
    <w:p>
      <w:pPr>
        <w:jc w:val="both"/>
      </w:pPr>
      <w:r>
        <w:rPr>
          <w:rFonts w:ascii="Arial" w:hAnsi="Arial"/>
          <w:sz w:val="22"/>
        </w:rPr>
        <w:t>This work documents the development and implementation of UCES Plataforma de Talento, a Minimum Viable Product (MVP) web application designed to digitalize the recruitment and pre-screening process of the Human Resources department at the Universidad Capital de Estudios Superiores (UCES), Zamora, Michoacán, Mexico. The original problem consisted of the absence of a structured evaluation stage prior to the in-person interview, which resulted in high administrative workload and candidate review without standardized competency data.</w:t>
      </w:r>
    </w:p>
    <w:p>
      <w:pPr>
        <w:jc w:val="both"/>
      </w:pPr>
      <w:r>
        <w:rPr>
          <w:rFonts w:ascii="Arial" w:hAnsi="Arial"/>
          <w:sz w:val="22"/>
        </w:rPr>
        <w:t>The general objective was to develop a functional platform that centralizes and digitalizes the main activities of the process, including candidate registration with cryptographic CURP protection, administration of a psychometric assessment based on the Big Five personality model, time-limited knowledge evaluations, practical evidence uploads, and administrative review of results. The development methodology was evolutionary prototyping, carried out in eight documented iterations between December 2025 and May 2026, using as its specification baseline the analysis and design document previously produced by Arciniega Robles (2026).</w:t>
      </w:r>
    </w:p>
    <w:p>
      <w:pPr>
        <w:jc w:val="both"/>
      </w:pPr>
      <w:r>
        <w:rPr>
          <w:rFonts w:ascii="Arial" w:hAnsi="Arial"/>
          <w:sz w:val="22"/>
        </w:rPr>
        <w:t>The primary technologies used were Next.js 16.1.1 with App Router, TypeScript 5, React 19, Tailwind CSS, shadcn/ui, Supabase (PostgreSQL 16, Auth, Storage), and deployment on Vercel. The relational data model comprises 13 tables with Row Level Security enabled on all of them, and the API exposes 13 Route Handlers protected through server-side JWT verification and role confirmation.</w:t>
      </w:r>
    </w:p>
    <w:p>
      <w:pPr>
        <w:jc w:val="both"/>
      </w:pPr>
      <w:r>
        <w:rPr>
          <w:rFonts w:ascii="Arial" w:hAnsi="Arial"/>
          <w:sz w:val="22"/>
        </w:rPr>
        <w:t>Functional validation was conducted through 22 documented test cases: 16 approved (72.7%), 2 partially approved (9.1%), 3 partial due to the absence of a dedicated REST endpoint in the relevant components (13.6%), and 1 blocked due to environment constraints (4.5%). Five discrepancies between the Trabajo A design and the resulting implementation were identified, characterized, and documented. The main MVP limitations include the absence of automatic filtering by psychometric classification, the inoperative reviewer role, the lack of automated notifications, and the inability to test session timeout behavior under extended conditions.</w:t>
      </w:r>
    </w:p>
    <w:p>
      <w:pPr>
        <w:jc w:val="both"/>
      </w:pPr>
      <w:r>
        <w:rPr>
          <w:rFonts w:ascii="Arial" w:hAnsi="Arial"/>
          <w:sz w:val="22"/>
        </w:rPr>
        <w:t>The system fulfills the general objective and five of the seven specific objectives fully; the remaining two are fulfilled with documented caveats related to discrepancies D-01 and D-02. The MVP is concluded to constitute a solid, functional, and extensible technical foundation for the digitalized management of UCES's recruitment process.</w:t>
      </w:r>
    </w:p>
    <w:p>
      <w:pPr>
        <w:jc w:val="both"/>
      </w:pPr>
      <w:r>
        <w:rPr>
          <w:b/>
        </w:rPr>
        <w:t>Keywords:</w:t>
      </w:r>
      <w:r>
        <w:rPr>
          <w:rFonts w:ascii="Arial" w:hAnsi="Arial"/>
          <w:sz w:val="22"/>
        </w:rPr>
        <w:t xml:space="preserve"> web platform, university recruitment, evolutionary prototyping, psychometric assessment, Supabase, Next.js, MVP.</w:t>
      </w:r>
    </w:p>
    <w:p>
      <w:r>
        <w:br w:type="page"/>
      </w:r>
    </w:p>
    <w:p>
      <w:pPr>
        <w:pStyle w:val="Heading1"/>
      </w:pPr>
      <w:r>
        <w:t>ÍNDICE GENERAL</w:t>
      </w:r>
    </w:p>
    <w:p>
      <w:pPr>
        <w:jc w:val="center"/>
      </w:pPr>
      <w:r>
        <w:rPr>
          <w:i/>
          <w:color w:val="0000B4"/>
          <w:sz w:val="20"/>
        </w:rPr>
        <w:t>[ÍNDICE GENERAL — Actualizar con Word: Referencias → Tabla de contenido → Actualizar tabla]</w:t>
      </w:r>
    </w:p>
    <w:p>
      <w:r>
        <w:rPr>
          <w:i/>
          <w:color w:val="0000B4"/>
          <w:sz w:val="20"/>
        </w:rPr>
        <w:t>[ÍNDICE DE FIGURAS — Insertar con: Referencias → Insertar tabla de ilustraciones]</w:t>
      </w:r>
    </w:p>
    <w:p>
      <w:r>
        <w:rPr>
          <w:i/>
          <w:color w:val="0000B4"/>
          <w:sz w:val="20"/>
        </w:rPr>
        <w:t>[ÍNDICE DE TABLAS — Insertar con: Referencias → Insertar tabla de ilustraciones → Tipo: Tabla]</w:t>
      </w:r>
    </w:p>
    <w:p>
      <w:r>
        <w:br w:type="page"/>
      </w:r>
    </w:p>
    <w:p>
      <w:pPr>
        <w:pStyle w:val="Heading1"/>
      </w:pPr>
      <w:r>
        <w:t>Capítulo I. Introducción y generalidades del proyecto</w:t>
      </w:r>
    </w:p>
    <w:p>
      <w:pPr>
        <w:pStyle w:val="Heading2"/>
      </w:pPr>
      <w:r>
        <w:t>1.1 Antecedentes del proyecto</w:t>
      </w:r>
    </w:p>
    <w:p>
      <w:pPr>
        <w:jc w:val="both"/>
      </w:pPr>
      <w:r>
        <w:rPr>
          <w:rFonts w:ascii="Arial" w:hAnsi="Arial"/>
          <w:sz w:val="22"/>
        </w:rP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incorporación de personal de forma periódica.</w:t>
      </w:r>
    </w:p>
    <w:p>
      <w:pPr>
        <w:jc w:val="both"/>
      </w:pPr>
      <w:r>
        <w:rPr>
          <w:rFonts w:ascii="Arial" w:hAnsi="Arial"/>
          <w:sz w:val="22"/>
        </w:rP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serían convocados a entrevista.</w:t>
      </w:r>
    </w:p>
    <w:p>
      <w:pPr>
        <w:jc w:val="both"/>
      </w:pPr>
      <w:r>
        <w:rPr>
          <w:rFonts w:ascii="Arial" w:hAnsi="Arial"/>
          <w:sz w:val="22"/>
        </w:rP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específicas.</w:t>
      </w:r>
    </w:p>
    <w:p>
      <w:pPr>
        <w:jc w:val="both"/>
      </w:pPr>
      <w:r>
        <w:rPr>
          <w:rFonts w:ascii="Arial" w:hAnsi="Arial"/>
          <w:sz w:val="22"/>
        </w:rP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vacante. El propósito era proporcionar al personal de Recursos Humanos información organizada y comparables sobre los candidatos, de forma que la entrevista pudiera concentrarse en los aspectos que los instrumentos digitales no permiten evaluar.</w:t>
      </w:r>
    </w:p>
    <w:p>
      <w:pPr>
        <w:jc w:val="both"/>
      </w:pPr>
      <w:r>
        <w:rPr>
          <w:rFonts w:ascii="Arial" w:hAnsi="Arial"/>
          <w:sz w:val="22"/>
        </w:rP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rPr>
          <w:rFonts w:ascii="Arial" w:hAnsi="Arial"/>
          <w:sz w:val="22"/>
        </w:rP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pPr>
        <w:jc w:val="both"/>
      </w:pPr>
      <w:r>
        <w:rPr>
          <w:rFonts w:ascii="Arial" w:hAnsi="Arial"/>
          <w:sz w:val="22"/>
        </w:rP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pPr>
        <w:pStyle w:val="Heading2"/>
      </w:pPr>
      <w:r>
        <w:t>1.2 Descripción general del sistema</w:t>
      </w:r>
    </w:p>
    <w:p>
      <w:pPr>
        <w:jc w:val="both"/>
      </w:pPr>
      <w:r>
        <w:rPr>
          <w:rFonts w:ascii="Arial" w:hAnsi="Arial"/>
          <w:sz w:val="22"/>
        </w:rP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pPr>
        <w:jc w:val="both"/>
      </w:pPr>
      <w:r>
        <w:rPr>
          <w:rFonts w:ascii="Arial" w:hAnsi="Arial"/>
          <w:sz w:val="22"/>
        </w:rP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estructuras de datos que circulan por la aplicación. La interfaz de usuario se construyó con Tailwind CSS y la biblioteca de componentes shadcn/ui, que provee elementos accesibles y estilizados basados en Radix UI.</w:t>
      </w:r>
    </w:p>
    <w:p>
      <w:pPr>
        <w:jc w:val="both"/>
      </w:pPr>
      <w:r>
        <w:rPr>
          <w:rFonts w:ascii="Arial" w:hAnsi="Arial"/>
          <w:sz w:val="22"/>
        </w:rP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 la base de datos, renovación de certificados TLS— al proveedor del servicio.</w:t>
      </w:r>
    </w:p>
    <w:p>
      <w:pPr>
        <w:jc w:val="both"/>
      </w:pPr>
      <w:r>
        <w:rPr>
          <w:rFonts w:ascii="Arial" w:hAnsi="Arial"/>
          <w:sz w:val="22"/>
        </w:rP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rPr>
          <w:rFonts w:ascii="Arial" w:hAnsi="Arial"/>
          <w:sz w:val="22"/>
        </w:rPr>
        <w:t xml:space="preserve"> mediante la función de base de datos </w:t>
      </w:r>
      <w:r>
        <w:rPr>
          <w:rFonts w:ascii="Courier New" w:hAnsi="Courier New"/>
          <w:sz w:val="18"/>
        </w:rPr>
        <w:t>get_my_role()</w:t>
      </w:r>
      <w:r>
        <w:rPr>
          <w:rFonts w:ascii="Arial" w:hAnsi="Arial"/>
          <w:sz w:val="22"/>
        </w:rP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pPr>
        <w:jc w:val="both"/>
      </w:pPr>
      <w:r>
        <w:rPr>
          <w:rFonts w:ascii="Arial" w:hAnsi="Arial"/>
          <w:sz w:val="22"/>
        </w:rP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documentadas durante el desarrollo del proyecto. El sistema calcula automáticamente un resumen de resultados por rasgo al concluir la evaluación y lo almacena como dato estructurado para consulta del administrador.</w:t>
      </w:r>
    </w:p>
    <w:p>
      <w:pPr>
        <w:jc w:val="both"/>
      </w:pPr>
      <w:r>
        <w:rPr>
          <w:rFonts w:ascii="Arial" w:hAnsi="Arial"/>
          <w:sz w:val="22"/>
        </w:rP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pPr>
        <w:pStyle w:val="Heading2"/>
      </w:pPr>
      <w:r>
        <w:t>1.3 Objetivo general</w:t>
      </w:r>
    </w:p>
    <w:p>
      <w:pPr>
        <w:jc w:val="both"/>
      </w:pPr>
      <w:r>
        <w:rPr>
          <w:rFonts w:ascii="Arial" w:hAnsi="Arial"/>
          <w:sz w:val="22"/>
        </w:rP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pPr>
        <w:pStyle w:val="Heading2"/>
      </w:pPr>
      <w:r>
        <w:t>1.4 Objetivos específicos</w:t>
      </w:r>
    </w:p>
    <w:p>
      <w:pPr>
        <w:jc w:val="both"/>
      </w:pPr>
      <w:r>
        <w:rPr>
          <w:b/>
        </w:rPr>
        <w:t>OE-01.</w:t>
      </w:r>
      <w:r>
        <w:rPr>
          <w:rFonts w:ascii="Arial" w:hAnsi="Arial"/>
          <w:sz w:val="22"/>
        </w:rPr>
        <w:t xml:space="preserve"> 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pPr>
        <w:jc w:val="both"/>
      </w:pPr>
      <w:r>
        <w:rPr>
          <w:b/>
        </w:rPr>
        <w:t>OE-02.</w:t>
      </w:r>
      <w:r>
        <w:rPr>
          <w:rFonts w:ascii="Arial" w:hAnsi="Arial"/>
          <w:sz w:val="22"/>
        </w:rPr>
        <w:t xml:space="preserve"> 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pPr>
        <w:jc w:val="both"/>
      </w:pPr>
      <w:r>
        <w:rPr>
          <w:b/>
        </w:rPr>
        <w:t>OE-03.</w:t>
      </w:r>
      <w:r>
        <w:rPr>
          <w:rFonts w:ascii="Arial" w:hAnsi="Arial"/>
          <w:sz w:val="22"/>
        </w:rPr>
        <w:t xml:space="preserve"> 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pPr>
        <w:jc w:val="both"/>
      </w:pPr>
      <w:r>
        <w:rPr>
          <w:b/>
        </w:rPr>
        <w:t>OE-04.</w:t>
      </w:r>
      <w:r>
        <w:rPr>
          <w:rFonts w:ascii="Arial" w:hAnsi="Arial"/>
          <w:sz w:val="22"/>
        </w:rPr>
        <w:t xml:space="preserve"> 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pPr>
        <w:jc w:val="both"/>
      </w:pPr>
      <w:r>
        <w:rPr>
          <w:b/>
        </w:rPr>
        <w:t>OE-05.</w:t>
      </w:r>
      <w:r>
        <w:rPr>
          <w:rFonts w:ascii="Arial" w:hAnsi="Arial"/>
          <w:sz w:val="22"/>
        </w:rPr>
        <w:t xml:space="preserve"> 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pPr>
        <w:jc w:val="both"/>
      </w:pPr>
      <w:r>
        <w:rPr>
          <w:b/>
        </w:rPr>
        <w:t>OE-06.</w:t>
      </w:r>
      <w:r>
        <w:rPr>
          <w:rFonts w:ascii="Arial" w:hAnsi="Arial"/>
          <w:sz w:val="22"/>
        </w:rPr>
        <w:t xml:space="preserve"> 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pPr>
        <w:jc w:val="both"/>
      </w:pPr>
      <w:r>
        <w:rPr>
          <w:b/>
        </w:rPr>
        <w:t>OE-07.</w:t>
      </w:r>
      <w:r>
        <w:rPr>
          <w:rFonts w:ascii="Arial" w:hAnsi="Arial"/>
          <w:sz w:val="22"/>
        </w:rPr>
        <w:t xml:space="preserve"> Desplegar el sistema en un entorno accesible públicamente mediante Vercel, con las variables de entorno sensibles correctamente configuradas en la plataforma y la infraestructura de Supabase vinculada al proyecto.</w:t>
      </w:r>
    </w:p>
    <w:p>
      <w:pPr>
        <w:pStyle w:val="Heading2"/>
      </w:pPr>
      <w:r>
        <w:t>1.5 Justificación</w:t>
      </w:r>
    </w:p>
    <w:p>
      <w:pPr>
        <w:jc w:val="both"/>
      </w:pPr>
      <w:r>
        <w:rPr>
          <w:rFonts w:ascii="Arial" w:hAnsi="Arial"/>
          <w:sz w:val="22"/>
        </w:rP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pPr>
        <w:jc w:val="both"/>
      </w:pPr>
      <w:r>
        <w:rPr>
          <w:rFonts w:ascii="Arial" w:hAnsi="Arial"/>
          <w:sz w:val="22"/>
        </w:rP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pPr>
        <w:jc w:val="both"/>
      </w:pPr>
      <w:r>
        <w:rPr>
          <w:rFonts w:ascii="Arial" w:hAnsi="Arial"/>
          <w:sz w:val="22"/>
        </w:rP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pPr>
        <w:jc w:val="both"/>
      </w:pPr>
      <w:r>
        <w:rPr>
          <w:rFonts w:ascii="Arial" w:hAnsi="Arial"/>
          <w:sz w:val="22"/>
        </w:rP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funcional, evaluable y extensible, que cumple el propósito de digitalizar el flujo principal del proceso.</w:t>
      </w:r>
    </w:p>
    <w:p>
      <w:pPr>
        <w:jc w:val="both"/>
      </w:pPr>
      <w:r>
        <w:rPr>
          <w:rFonts w:ascii="Arial" w:hAnsi="Arial"/>
          <w:sz w:val="22"/>
        </w:rP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pPr>
        <w:pStyle w:val="Heading2"/>
      </w:pPr>
      <w:r>
        <w:t>1.6 Alcance y limitaciones del proyecto</w:t>
      </w:r>
    </w:p>
    <w:p>
      <w:pPr>
        <w:pStyle w:val="Heading3"/>
      </w:pPr>
      <w:r>
        <w:t>Funcionalidades dentro del alcance</w:t>
      </w:r>
    </w:p>
    <w:p>
      <w:pPr>
        <w:jc w:val="both"/>
      </w:pPr>
      <w:r>
        <w:rPr>
          <w:b/>
        </w:rPr>
        <w:t>Módulo de registro y autenticación.</w:t>
      </w:r>
      <w:r>
        <w:rPr>
          <w:rFonts w:ascii="Arial" w:hAnsi="Arial"/>
          <w:sz w:val="22"/>
        </w:rP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pPr>
        <w:jc w:val="both"/>
      </w:pPr>
      <w:r>
        <w:rPr>
          <w:b/>
        </w:rPr>
        <w:t>Módulo de evaluación psicométrica.</w:t>
      </w:r>
      <w:r>
        <w:rPr>
          <w:rFonts w:ascii="Arial" w:hAnsi="Arial"/>
          <w:sz w:val="22"/>
        </w:rP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pPr>
        <w:jc w:val="both"/>
      </w:pPr>
      <w:r>
        <w:rPr>
          <w:b/>
        </w:rPr>
        <w:t>Módulo del candidato.</w:t>
      </w:r>
      <w:r>
        <w:rPr>
          <w:rFonts w:ascii="Arial" w:hAnsi="Arial"/>
          <w:sz w:val="22"/>
        </w:rP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pPr>
        <w:jc w:val="both"/>
      </w:pPr>
      <w:r>
        <w:rPr>
          <w:b/>
        </w:rPr>
        <w:t>Panel administrativo.</w:t>
      </w:r>
      <w:r>
        <w:rPr>
          <w:rFonts w:ascii="Arial" w:hAnsi="Arial"/>
          <w:sz w:val="22"/>
        </w:rP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pPr>
        <w:jc w:val="both"/>
      </w:pPr>
      <w:r>
        <w:rPr>
          <w:b/>
        </w:rPr>
        <w:t>Infraestructura de seguridad.</w:t>
      </w:r>
      <w:r>
        <w:rPr>
          <w:rFonts w:ascii="Arial" w:hAnsi="Arial"/>
          <w:sz w:val="22"/>
        </w:rP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pPr>
        <w:jc w:val="both"/>
      </w:pPr>
      <w:r>
        <w:rPr>
          <w:b/>
        </w:rPr>
        <w:t>Despliegue.</w:t>
      </w:r>
      <w:r>
        <w:rPr>
          <w:rFonts w:ascii="Arial" w:hAnsi="Arial"/>
          <w:sz w:val="22"/>
        </w:rPr>
        <w:t xml:space="preserve"> La aplicación está configurada para desplegarse en Vercel con gestión de variables de entorno en la plataforma y la base de datos administrada por Supabase.</w:t>
      </w:r>
    </w:p>
    <w:p>
      <w:pPr>
        <w:pStyle w:val="Heading3"/>
      </w:pPr>
      <w:r>
        <w:t>Funcionalidades fuera del alcance del MVP</w:t>
      </w:r>
    </w:p>
    <w:p>
      <w:pPr>
        <w:jc w:val="both"/>
      </w:pPr>
      <w:r>
        <w:rPr>
          <w:b/>
        </w:rPr>
        <w:t>Restricción de postulación por clasificación psicométrica.</w:t>
      </w:r>
      <w:r>
        <w:rPr>
          <w:rFonts w:ascii="Arial" w:hAnsi="Arial"/>
          <w:sz w:val="22"/>
        </w:rPr>
        <w:t xml:space="preserve"> El endpoint </w:t>
      </w:r>
      <w:r>
        <w:rPr>
          <w:rFonts w:ascii="Courier New" w:hAnsi="Courier New"/>
          <w:sz w:val="18"/>
        </w:rPr>
        <w:t>POST /api/vacancies/[id]/apply</w:t>
      </w:r>
      <w:r>
        <w:rPr>
          <w:rFonts w:ascii="Arial" w:hAnsi="Arial"/>
          <w:sz w:val="22"/>
        </w:rP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pPr>
        <w:jc w:val="both"/>
      </w:pPr>
      <w:r>
        <w:rPr>
          <w:b/>
        </w:rPr>
        <w:t>Interfaz administrativa para tareas prácticas.</w:t>
      </w:r>
      <w:r>
        <w:rPr>
          <w:rFonts w:ascii="Arial" w:hAnsi="Arial"/>
          <w:sz w:val="22"/>
        </w:rPr>
        <w:t xml:space="preserve"> La tabla </w:t>
      </w:r>
      <w:r>
        <w:rPr>
          <w:rFonts w:ascii="Courier New" w:hAnsi="Courier New"/>
          <w:sz w:val="18"/>
        </w:rPr>
        <w:t>practical_tasks</w:t>
      </w:r>
      <w:r>
        <w:rPr>
          <w:rFonts w:ascii="Arial" w:hAnsi="Arial"/>
          <w:sz w:val="22"/>
        </w:rP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pPr>
        <w:jc w:val="both"/>
      </w:pPr>
      <w:r>
        <w:rPr>
          <w:b/>
        </w:rPr>
        <w:t>Rol de revisor.</w:t>
      </w:r>
      <w:r>
        <w:rPr>
          <w:rFonts w:ascii="Arial" w:hAnsi="Arial"/>
          <w:sz w:val="22"/>
        </w:rPr>
        <w:t xml:space="preserve"> El esquema original contempló un tercer rol (</w:t>
      </w:r>
      <w:r>
        <w:rPr>
          <w:rFonts w:ascii="Courier New" w:hAnsi="Courier New"/>
          <w:sz w:val="18"/>
        </w:rPr>
        <w:t>reviewer</w:t>
      </w:r>
      <w:r>
        <w:rPr>
          <w:rFonts w:ascii="Arial" w:hAnsi="Arial"/>
          <w:sz w:val="22"/>
        </w:rPr>
        <w:t>) para usuarios que pudieran revisar evaluaciones sin privilegios administrativos completos. Este rol no está implementado operativamente; las funciones de revisión están asociadas exclusivamente al rol de administrador.</w:t>
      </w:r>
    </w:p>
    <w:p>
      <w:pPr>
        <w:jc w:val="both"/>
      </w:pPr>
      <w:r>
        <w:rPr>
          <w:b/>
        </w:rPr>
        <w:t>Módulo de estadísticas en la interfaz.</w:t>
      </w:r>
      <w:r>
        <w:rPr>
          <w:rFonts w:ascii="Arial" w:hAnsi="Arial"/>
          <w:sz w:val="22"/>
        </w:rPr>
        <w:t xml:space="preserve"> El sistema incluye un endpoint funcional </w:t>
      </w:r>
      <w:r>
        <w:rPr>
          <w:rFonts w:ascii="Courier New" w:hAnsi="Courier New"/>
          <w:sz w:val="18"/>
        </w:rPr>
        <w:t>GET /api/admin/vacancies/[id]/stats</w:t>
      </w:r>
      <w:r>
        <w:rPr>
          <w:rFonts w:ascii="Arial" w:hAnsi="Arial"/>
          <w:sz w:val="22"/>
        </w:rPr>
        <w:t xml:space="preserve"> que retorna el conteo de postulaciones e intentos por vacante, pero no existe una vista en el panel que consuma estos datos. Su integración se propone como trabajo futuro.</w:t>
      </w:r>
    </w:p>
    <w:p>
      <w:pPr>
        <w:jc w:val="both"/>
      </w:pPr>
      <w:r>
        <w:rPr>
          <w:b/>
        </w:rPr>
        <w:t>Middleware de protección de rutas en el servidor.</w:t>
      </w:r>
      <w:r>
        <w:rPr>
          <w:rFonts w:ascii="Arial" w:hAnsi="Arial"/>
          <w:sz w:val="22"/>
        </w:rPr>
        <w:t xml:space="preserve"> El proyecto no incluye un archivo </w:t>
      </w:r>
      <w:r>
        <w:rPr>
          <w:rFonts w:ascii="Courier New" w:hAnsi="Courier New"/>
          <w:sz w:val="18"/>
        </w:rPr>
        <w:t>middleware.ts</w:t>
      </w:r>
      <w:r>
        <w:rPr>
          <w:rFonts w:ascii="Arial" w:hAnsi="Arial"/>
          <w:sz w:val="22"/>
        </w:rP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pPr>
        <w:jc w:val="both"/>
      </w:pPr>
      <w:r>
        <w:rPr>
          <w:b/>
        </w:rPr>
        <w:t>Notificaciones automáticas.</w:t>
      </w:r>
      <w:r>
        <w:rPr>
          <w:rFonts w:ascii="Arial" w:hAnsi="Arial"/>
          <w:sz w:val="22"/>
        </w:rP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pPr>
        <w:jc w:val="both"/>
      </w:pPr>
      <w:r>
        <w:rPr>
          <w:b/>
        </w:rPr>
        <w:t>Validación psicométrica formal.</w:t>
      </w:r>
      <w:r>
        <w:rPr>
          <w:rFonts w:ascii="Arial" w:hAnsi="Arial"/>
          <w:sz w:val="22"/>
        </w:rP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pPr>
        <w:pStyle w:val="Heading2"/>
      </w:pPr>
      <w:r>
        <w:t>1.7 Organización del documento</w:t>
      </w:r>
    </w:p>
    <w:p>
      <w:pPr>
        <w:jc w:val="both"/>
      </w:pPr>
      <w:r>
        <w:rPr>
          <w:rFonts w:ascii="Arial" w:hAnsi="Arial"/>
          <w:sz w:val="22"/>
        </w:rP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pPr>
        <w:jc w:val="both"/>
      </w:pPr>
      <w:r>
        <w:rPr>
          <w:rFonts w:ascii="Arial" w:hAnsi="Arial"/>
          <w:sz w:val="22"/>
        </w:rPr>
        <w:t xml:space="preserve">El </w:t>
      </w:r>
      <w:r>
        <w:rPr>
          <w:b/>
        </w:rPr>
        <w:t>Capítulo II</w:t>
      </w:r>
      <w:r>
        <w:rPr>
          <w:rFonts w:ascii="Arial" w:hAnsi="Arial"/>
          <w:sz w:val="22"/>
        </w:rPr>
        <w:t xml:space="preserve"> describe el contexto organizacional del proyecto: la institución receptora de las residencias, el área de adscripción, la problemática identificada en el proceso de reclutamiento y los requerimientos generales que orientaron el desarrollo.</w:t>
      </w:r>
    </w:p>
    <w:p>
      <w:pPr>
        <w:jc w:val="both"/>
      </w:pPr>
      <w:r>
        <w:rPr>
          <w:rFonts w:ascii="Arial" w:hAnsi="Arial"/>
          <w:sz w:val="22"/>
        </w:rPr>
        <w:t xml:space="preserve">El </w:t>
      </w:r>
      <w:r>
        <w:rPr>
          <w:b/>
        </w:rPr>
        <w:t>Capítulo III</w:t>
      </w:r>
      <w:r>
        <w:rPr>
          <w:rFonts w:ascii="Arial" w:hAnsi="Arial"/>
          <w:sz w:val="22"/>
        </w:rP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pPr>
        <w:jc w:val="both"/>
      </w:pPr>
      <w:r>
        <w:rPr>
          <w:rFonts w:ascii="Arial" w:hAnsi="Arial"/>
          <w:sz w:val="22"/>
        </w:rPr>
        <w:t xml:space="preserve">El </w:t>
      </w:r>
      <w:r>
        <w:rPr>
          <w:b/>
        </w:rPr>
        <w:t>Capítulo IV</w:t>
      </w:r>
      <w:r>
        <w:rPr>
          <w:rFonts w:ascii="Arial" w:hAnsi="Arial"/>
          <w:sz w:val="22"/>
        </w:rP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pPr>
        <w:jc w:val="both"/>
      </w:pPr>
      <w:r>
        <w:rPr>
          <w:rFonts w:ascii="Arial" w:hAnsi="Arial"/>
          <w:sz w:val="22"/>
        </w:rPr>
        <w:t xml:space="preserve">El </w:t>
      </w:r>
      <w:r>
        <w:rPr>
          <w:b/>
        </w:rPr>
        <w:t>Capítulo V</w:t>
      </w:r>
      <w:r>
        <w:rPr>
          <w:rFonts w:ascii="Arial" w:hAnsi="Arial"/>
          <w:sz w:val="22"/>
        </w:rP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pPr>
        <w:jc w:val="both"/>
      </w:pPr>
      <w:r>
        <w:rPr>
          <w:rFonts w:ascii="Arial" w:hAnsi="Arial"/>
          <w:sz w:val="22"/>
        </w:rPr>
        <w:t xml:space="preserve">El </w:t>
      </w:r>
      <w:r>
        <w:rPr>
          <w:b/>
        </w:rPr>
        <w:t>Capítulo VI</w:t>
      </w:r>
      <w:r>
        <w:rPr>
          <w:rFonts w:ascii="Arial" w:hAnsi="Arial"/>
          <w:sz w:val="22"/>
        </w:rP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pPr>
        <w:jc w:val="both"/>
      </w:pPr>
      <w:r>
        <w:rPr>
          <w:rFonts w:ascii="Arial" w:hAnsi="Arial"/>
          <w:sz w:val="22"/>
        </w:rPr>
        <w:t xml:space="preserve">El </w:t>
      </w:r>
      <w:r>
        <w:rPr>
          <w:b/>
        </w:rPr>
        <w:t>Capítulo VII</w:t>
      </w:r>
      <w:r>
        <w:rPr>
          <w:rFonts w:ascii="Arial" w:hAnsi="Arial"/>
          <w:sz w:val="22"/>
        </w:rPr>
        <w:t xml:space="preserve"> presenta las conclusiones del proyecto: el análisis del cumplimiento de los objetivos específicos, las competencias adquiridas durante las residencias, las limitaciones del MVP actual y las recomendaciones para etapas futuras del sistema.</w:t>
      </w:r>
    </w:p>
    <w:p>
      <w:pPr>
        <w:jc w:val="both"/>
      </w:pPr>
      <w:r>
        <w:rPr>
          <w:rFonts w:ascii="Arial" w:hAnsi="Arial"/>
          <w:sz w:val="22"/>
        </w:rPr>
        <w:t xml:space="preserve">El documento cierra con la sección de </w:t>
      </w:r>
      <w:r>
        <w:rPr>
          <w:b/>
        </w:rPr>
        <w:t>Referencias bibliográficas</w:t>
      </w:r>
      <w:r>
        <w:rPr>
          <w:rFonts w:ascii="Arial" w:hAnsi="Arial"/>
          <w:sz w:val="22"/>
        </w:rPr>
        <w:t xml:space="preserve"> y los </w:t>
      </w:r>
      <w:r>
        <w:rPr>
          <w:b/>
        </w:rPr>
        <w:t>Anexos</w:t>
      </w:r>
      <w:r>
        <w:rPr>
          <w:rFonts w:ascii="Arial" w:hAnsi="Arial"/>
          <w:sz w:val="22"/>
        </w:rP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r>
        <w:br w:type="page"/>
      </w:r>
    </w:p>
    <w:p>
      <w:pPr>
        <w:pStyle w:val="Heading1"/>
      </w:pPr>
      <w:r>
        <w:t>Capítulo II. Contexto organizacional</w:t>
      </w:r>
    </w:p>
    <w:p>
      <w:pPr>
        <w:pStyle w:val="Heading2"/>
      </w:pPr>
      <w:r>
        <w:t>2.1 Descripción general de UCES y su contexto institucional</w:t>
      </w:r>
    </w:p>
    <w:p>
      <w:pPr>
        <w:jc w:val="both"/>
      </w:pPr>
      <w:r>
        <w:rPr>
          <w:rFonts w:ascii="Arial" w:hAnsi="Arial"/>
          <w:sz w:val="22"/>
        </w:rP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una decisión de selección.</w:t>
      </w:r>
    </w:p>
    <w:p>
      <w:pPr>
        <w:ind w:left="567" w:right="283"/>
        <w:pBdr>
          <w:left w:val="single" w:sz="12" w:space="12" w:color="888888"/>
        </w:pBdr>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pPr>
        <w:jc w:val="both"/>
      </w:pPr>
      <w:r>
        <w:rPr>
          <w:rFonts w:ascii="Arial" w:hAnsi="Arial"/>
          <w:sz w:val="22"/>
        </w:rPr>
        <w:t>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las condiciones de trabajo de este departamento.</w:t>
      </w:r>
    </w:p>
    <w:p>
      <w:pPr>
        <w:jc w:val="both"/>
      </w:pPr>
      <w:r>
        <w:rPr>
          <w:rFonts w:ascii="Arial" w:hAnsi="Arial"/>
          <w:sz w:val="22"/>
        </w:rP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 que no haya sido declarada o verificada.</w:t>
      </w:r>
    </w:p>
    <w:p>
      <w:pPr>
        <w:pStyle w:val="Heading2"/>
      </w:pPr>
      <w:r>
        <w:t>2.2 Función del departamento de Recursos Humanos</w:t>
      </w:r>
    </w:p>
    <w:p>
      <w:pPr>
        <w:jc w:val="both"/>
      </w:pPr>
      <w:r>
        <w:rPr>
          <w:rFonts w:ascii="Arial" w:hAnsi="Arial"/>
          <w:sz w:val="22"/>
        </w:rP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 criterios de evaluación que deben aplicarse de forma razonablemente consistente entre los distintos candidatos.</w:t>
      </w:r>
    </w:p>
    <w:p>
      <w:pPr>
        <w:jc w:val="both"/>
      </w:pPr>
      <w:r>
        <w:rPr>
          <w:rFonts w:ascii="Arial" w:hAnsi="Arial"/>
          <w:sz w:val="22"/>
        </w:rP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para ocupar el cargo disponible.</w:t>
      </w:r>
    </w:p>
    <w:p>
      <w:pPr>
        <w:jc w:val="both"/>
      </w:pPr>
      <w:r>
        <w:rPr>
          <w:rFonts w:ascii="Arial" w:hAnsi="Arial"/>
          <w:sz w:val="22"/>
        </w:rP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reflejan directamente en el historial declarado, la revisión individual de documentos se vuelve un cuello de botella que puede afectar tanto la velocidad como la consistencia del proceso de selección.</w:t>
      </w:r>
    </w:p>
    <w:p>
      <w:pPr>
        <w:jc w:val="both"/>
      </w:pPr>
      <w:r>
        <w:rPr>
          <w:rFonts w:ascii="Arial" w:hAnsi="Arial"/>
          <w:sz w:val="22"/>
        </w:rP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oportunidades concretas de mejora que orientaron el diseño del sistema.</w:t>
      </w:r>
    </w:p>
    <w:p>
      <w:pPr>
        <w:pStyle w:val="Heading2"/>
      </w:pPr>
      <w:r>
        <w:t>2.3 Procedimiento de reclutamiento previo a la plataforma</w:t>
      </w:r>
    </w:p>
    <w:p>
      <w:pPr>
        <w:jc w:val="both"/>
      </w:pPr>
      <w:r>
        <w:rPr>
          <w:rFonts w:ascii="Arial" w:hAnsi="Arial"/>
          <w:sz w:val="22"/>
        </w:rP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pPr>
        <w:jc w:val="both"/>
      </w:pPr>
      <w:r>
        <w:rPr>
          <w:rFonts w:ascii="Arial" w:hAnsi="Arial"/>
          <w:sz w:val="22"/>
        </w:rP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pPr>
        <w:jc w:val="both"/>
      </w:pPr>
      <w:r>
        <w:rPr>
          <w:rFonts w:ascii="Arial" w:hAnsi="Arial"/>
          <w:sz w:val="22"/>
        </w:rP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conocimientos actuales ni explorar dimensiones de su perfil que podrían ser relevantes para el desempeño en el puesto.</w:t>
      </w:r>
    </w:p>
    <w:p>
      <w:pPr>
        <w:jc w:val="both"/>
      </w:pPr>
      <w:r>
        <w:rPr>
          <w:rFonts w:ascii="Arial" w:hAnsi="Arial"/>
          <w:sz w:val="22"/>
        </w:rP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objetivos que requieren enfoques distintos y que compiten por el tiempo disponible en una sola sesión.</w:t>
      </w:r>
    </w:p>
    <w:p>
      <w:pPr>
        <w:jc w:val="both"/>
      </w:pPr>
      <w:r>
        <w:rPr>
          <w:rFonts w:ascii="Arial" w:hAnsi="Arial"/>
          <w:sz w:val="22"/>
        </w:rP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pPr>
        <w:jc w:val="both"/>
      </w:pPr>
      <w:r>
        <w:rPr>
          <w:rFonts w:ascii="Arial" w:hAnsi="Arial"/>
          <w:sz w:val="22"/>
        </w:rP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múltiples vacantes activas se realiza simultáneamente.</w:t>
      </w:r>
    </w:p>
    <w:p>
      <w:pPr>
        <w:pStyle w:val="Heading2"/>
      </w:pPr>
      <w:r>
        <w:t>2.4 Identificación de necesidades y oportunidades de mejora</w:t>
      </w:r>
    </w:p>
    <w:p>
      <w:pPr>
        <w:jc w:val="both"/>
      </w:pPr>
      <w:r>
        <w:rPr>
          <w:rFonts w:ascii="Arial" w:hAnsi="Arial"/>
          <w:sz w:val="22"/>
        </w:rP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pPr>
        <w:jc w:val="both"/>
      </w:pPr>
      <w:r>
        <w:rPr>
          <w:rFonts w:ascii="Arial" w:hAnsi="Arial"/>
          <w:sz w:val="22"/>
        </w:rP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ameritan ser convocados a entrevista, y preparar esa conversación con elementos más específicos sobre cada perfil.</w:t>
      </w:r>
    </w:p>
    <w:p>
      <w:pPr>
        <w:jc w:val="both"/>
      </w:pPr>
      <w:r>
        <w:rPr>
          <w:rFonts w:ascii="Arial" w:hAnsi="Arial"/>
          <w:sz w:val="22"/>
        </w:rP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rPr>
          <w:rFonts w:ascii="Arial" w:hAnsi="Arial"/>
          <w:sz w:val="22"/>
        </w:rPr>
        <w:t xml:space="preserve"> </w:t>
      </w:r>
      <w:r>
        <w:rPr>
          <w:i/>
        </w:rPr>
        <w:t>La incorporación de este instrumento al expediente del proyecto requiere obtener el cuestionario original para documentar su procedencia.</w:t>
      </w:r>
      <w:r>
        <w:rPr>
          <w:rFonts w:ascii="Arial" w:hAnsi="Arial"/>
          <w:sz w:val="22"/>
        </w:rP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pPr>
        <w:jc w:val="both"/>
      </w:pPr>
      <w:r>
        <w:rPr>
          <w:rFonts w:ascii="Arial" w:hAnsi="Arial"/>
          <w:sz w:val="22"/>
        </w:rP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participa en la revisión de los candidatos.</w:t>
      </w:r>
    </w:p>
    <w:p>
      <w:pPr>
        <w:jc w:val="both"/>
      </w:pPr>
      <w:r>
        <w:rPr>
          <w:rFonts w:ascii="Arial" w:hAnsi="Arial"/>
          <w:sz w:val="22"/>
        </w:rP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plataforma.</w:t>
      </w:r>
    </w:p>
    <w:p>
      <w:pPr>
        <w:pStyle w:val="Heading2"/>
      </w:pPr>
      <w:r>
        <w:t>2.5 Participación de los actores institucionales y técnicos</w:t>
      </w:r>
    </w:p>
    <w:p>
      <w:pPr>
        <w:jc w:val="both"/>
      </w:pPr>
      <w:r>
        <w:rPr>
          <w:rFonts w:ascii="Arial" w:hAnsi="Arial"/>
          <w:sz w:val="22"/>
        </w:rP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pPr>
        <w:jc w:val="both"/>
      </w:pPr>
      <w:r>
        <w:rPr>
          <w:rFonts w:ascii="Arial" w:hAnsi="Arial"/>
          <w:sz w:val="22"/>
        </w:rPr>
        <w:t xml:space="preserve">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desarrollador. </w:t>
      </w:r>
      <w:r>
        <w:rPr>
          <w:b/>
        </w:rPr>
        <w:t>[EV-01, EV-06]</w:t>
      </w:r>
      <w:r>
        <w:rPr>
          <w:rFonts w:ascii="Arial" w:hAnsi="Arial"/>
          <w:sz w:val="22"/>
        </w:rP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pPr>
        <w:jc w:val="both"/>
      </w:pPr>
      <w:r>
        <w:rPr>
          <w:rFonts w:ascii="Arial" w:hAnsi="Arial"/>
          <w:sz w:val="22"/>
        </w:rP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pPr>
        <w:jc w:val="both"/>
      </w:pPr>
      <w:r>
        <w:rPr>
          <w:rFonts w:ascii="Arial" w:hAnsi="Arial"/>
          <w:sz w:val="22"/>
        </w:rP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rPr>
          <w:rFonts w:ascii="Arial" w:hAnsi="Arial"/>
          <w:sz w:val="22"/>
        </w:rPr>
        <w:t xml:space="preserve"> </w:t>
      </w:r>
      <w:r>
        <w:rPr>
          <w:i/>
        </w:rPr>
        <w:t>Los datos formales de los asesores —nombres, cargos y firmas— se incorporarán en la página de firmas del documento una vez disponible la carta de adscripción.</w:t>
      </w:r>
    </w:p>
    <w:p>
      <w:pPr>
        <w:pStyle w:val="Heading2"/>
      </w:pPr>
      <w:r>
        <w:t>2.6 Propuesta de transformación del proceso de reclutamiento</w:t>
      </w:r>
    </w:p>
    <w:p>
      <w:pPr>
        <w:jc w:val="both"/>
      </w:pPr>
      <w:r>
        <w:rPr>
          <w:rFonts w:ascii="Arial" w:hAnsi="Arial"/>
          <w:sz w:val="22"/>
        </w:rP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pPr>
        <w:jc w:val="both"/>
      </w:pPr>
      <w:r>
        <w:rPr>
          <w:rFonts w:ascii="Arial" w:hAnsi="Arial"/>
          <w:sz w:val="22"/>
        </w:rPr>
        <w:t>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estructurados → administrador registra decisión.</w:t>
      </w:r>
    </w:p>
    <w:p>
      <w:pPr>
        <w:jc w:val="both"/>
      </w:pPr>
      <w:r>
        <w:rPr>
          <w:rFonts w:ascii="Arial" w:hAnsi="Arial"/>
          <w:sz w:val="22"/>
        </w:rP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 el candidato adjuntó; y del resumen psicométrico organizado por rasgo con clasificación.</w:t>
      </w:r>
    </w:p>
    <w:p>
      <w:pPr>
        <w:jc w:val="both"/>
      </w:pPr>
      <w:r>
        <w:rPr>
          <w:rFonts w:ascii="Arial" w:hAnsi="Arial"/>
          <w:sz w:val="22"/>
        </w:rP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 psicométrico favorable pero con resultados bajos en la evaluación de conocimientos puede requerir aclaraciones sobre su experiencia práctica. La plataforma no interpreta estos datos: los presenta y deja la interpretación al criterio del evaluador.</w:t>
      </w:r>
    </w:p>
    <w:p>
      <w:pPr>
        <w:jc w:val="both"/>
      </w:pPr>
      <w:r>
        <w:rPr>
          <w:rFonts w:ascii="Arial" w:hAnsi="Arial"/>
          <w:sz w:val="22"/>
        </w:rP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filtro automático sin supervisión humana.</w:t>
      </w:r>
    </w:p>
    <w:p>
      <w:pPr>
        <w:pStyle w:val="Heading2"/>
      </w:pPr>
      <w:r>
        <w:t>2.7 Alcance organizacional y consideraciones de implementación</w:t>
      </w:r>
    </w:p>
    <w:p>
      <w:pPr>
        <w:jc w:val="both"/>
      </w:pPr>
      <w:r>
        <w:rPr>
          <w:rFonts w:ascii="Arial" w:hAnsi="Arial"/>
          <w:sz w:val="22"/>
        </w:rP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 Recursos Humanos.</w:t>
      </w:r>
    </w:p>
    <w:p>
      <w:pPr>
        <w:jc w:val="both"/>
      </w:pPr>
      <w:r>
        <w:rPr>
          <w:rFonts w:ascii="Arial" w:hAnsi="Arial"/>
          <w:sz w:val="22"/>
        </w:rP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pPr>
        <w:jc w:val="both"/>
      </w:pPr>
      <w:r>
        <w:rPr>
          <w:rFonts w:ascii="Arial" w:hAnsi="Arial"/>
          <w:sz w:val="22"/>
        </w:rPr>
        <w:t>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inicial de las evaluaciones —preguntas, opciones de respuesta, tiempo límite— debe realizarse por el administrador antes de que la vacante esté disponible para los postulantes.</w:t>
      </w:r>
    </w:p>
    <w:p>
      <w:pPr>
        <w:jc w:val="both"/>
      </w:pPr>
      <w:r>
        <w:rPr>
          <w:rFonts w:ascii="Arial" w:hAnsi="Arial"/>
          <w:sz w:val="22"/>
        </w:rP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candidatos, la usabilidad del panel de administración en condiciones de uso real, la pertinencia de las preguntas configuradas para cada vacante.</w:t>
      </w:r>
    </w:p>
    <w:p>
      <w:pPr>
        <w:jc w:val="both"/>
      </w:pPr>
      <w:r>
        <w:rPr>
          <w:rFonts w:ascii="Arial" w:hAnsi="Arial"/>
          <w:sz w:val="22"/>
        </w:rP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 de seguridad apropiados para el alcance del MVP; sin embargo, la definición de las políticas institucionales de gestión de datos personales es una responsabilidad que corresponde al área receptora, no al sistema mismo.</w:t>
      </w:r>
    </w:p>
    <w:p>
      <w:pPr>
        <w:pStyle w:val="Heading2"/>
      </w:pPr>
      <w:r>
        <w:t>2.8 Conclusiones del capítulo</w:t>
      </w:r>
    </w:p>
    <w:p>
      <w:pPr>
        <w:jc w:val="both"/>
      </w:pPr>
      <w:r>
        <w:rPr>
          <w:rFonts w:ascii="Arial" w:hAnsi="Arial"/>
          <w:sz w:val="22"/>
        </w:rP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pPr>
        <w:jc w:val="both"/>
      </w:pPr>
      <w:r>
        <w:rPr>
          <w:rFonts w:ascii="Arial" w:hAnsi="Arial"/>
          <w:sz w:val="22"/>
        </w:rP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correspondencia no es casual: refleja que las decisiones de diseño del sistema partieron de un análisis del proceso que se buscaba apoyar, no de una selección arbitraria de funcionalidades.</w:t>
      </w:r>
    </w:p>
    <w:p>
      <w:pPr>
        <w:jc w:val="both"/>
      </w:pPr>
      <w:r>
        <w:rPr>
          <w:rFonts w:ascii="Arial" w:hAnsi="Arial"/>
          <w:sz w:val="22"/>
        </w:rP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pPr>
        <w:jc w:val="both"/>
      </w:pPr>
      <w:r>
        <w:rPr>
          <w:rFonts w:ascii="Arial" w:hAnsi="Arial"/>
          <w:sz w:val="22"/>
        </w:rP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r>
        <w:br w:type="page"/>
      </w:r>
    </w:p>
    <w:p>
      <w:pPr>
        <w:pStyle w:val="Heading1"/>
      </w:pPr>
      <w:r>
        <w:t>Capítulo III. Marco teórico y fundamentos tecnológicos</w:t>
      </w:r>
    </w:p>
    <w:p>
      <w:pPr>
        <w:pStyle w:val="Heading2"/>
      </w:pPr>
      <w:r>
        <w:t>3.1 Ingeniería de software y desarrollo de aplicaciones web</w:t>
      </w:r>
    </w:p>
    <w:p>
      <w:pPr>
        <w:jc w:val="both"/>
      </w:pPr>
      <w:r>
        <w:rPr>
          <w:rFonts w:ascii="Arial" w:hAnsi="Arial"/>
          <w:sz w:val="22"/>
        </w:rP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 de calidad, dentro de restricciones reales de tiempo y recursos.</w:t>
      </w:r>
    </w:p>
    <w:p>
      <w:pPr>
        <w:jc w:val="both"/>
      </w:pPr>
      <w:r>
        <w:rPr>
          <w:rFonts w:ascii="Arial" w:hAnsi="Arial"/>
          <w:sz w:val="22"/>
        </w:rPr>
        <w:t>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influye de manera directa en cómo se administra la incertidumbre sobre los requisitos, cómo se gestiona la retroalimentación del cliente y qué tipo de artefactos se producen en cada etapa.</w:t>
      </w:r>
    </w:p>
    <w:p>
      <w:pPr>
        <w:jc w:val="both"/>
      </w:pPr>
      <w:r>
        <w:rPr>
          <w:rFonts w:ascii="Arial" w:hAnsi="Arial"/>
          <w:sz w:val="22"/>
        </w:rP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latencia de red, la naturaleza sin estado del protocolo HTTP, la ejecución de código en entornos distintos —cliente y servidor— y los mecanismos específicos de autenticación y autorización que este modelo de despliegue impone.</w:t>
      </w:r>
    </w:p>
    <w:p>
      <w:pPr>
        <w:jc w:val="both"/>
      </w:pPr>
      <w:r>
        <w:rPr>
          <w:rFonts w:ascii="Arial" w:hAnsi="Arial"/>
          <w:sz w:val="22"/>
        </w:rP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pPr>
        <w:pStyle w:val="Heading2"/>
      </w:pPr>
      <w:r>
        <w:t>3.2 Arquitectura de aplicaciones web modernas</w:t>
      </w:r>
    </w:p>
    <w:p>
      <w:pPr>
        <w:jc w:val="both"/>
      </w:pPr>
      <w:r>
        <w:rPr>
          <w:rFonts w:ascii="Arial" w:hAnsi="Arial"/>
          <w:sz w:val="22"/>
        </w:rP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pPr>
        <w:jc w:val="both"/>
      </w:pPr>
      <w:r>
        <w:rPr>
          <w:rFonts w:ascii="Arial" w:hAnsi="Arial"/>
          <w:sz w:val="22"/>
        </w:rP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única (SPA, por sus siglas en inglés), mejora la fluidez de la experiencia de usuario pero traslada responsabilidades de renderizado al navegador, lo que puede afectar el tiempo de carga inicial y el posicionamiento en motores de búsqueda.</w:t>
      </w:r>
    </w:p>
    <w:p>
      <w:pPr>
        <w:jc w:val="both"/>
      </w:pPr>
      <w:r>
        <w:rPr>
          <w:rFonts w:ascii="Arial" w:hAnsi="Arial"/>
          <w:sz w:val="22"/>
        </w:rP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tiempo real, componentes que dependen de la sesión del usuario— se ejecutan como código cliente. Este modelo híbrido busca equilibrar el rendimiento percibido por el usuario, los tiempos de carga y la complejidad de la lógica del sistema.</w:t>
      </w:r>
    </w:p>
    <w:p>
      <w:pPr>
        <w:jc w:val="both"/>
      </w:pPr>
      <w:r>
        <w:rPr>
          <w:rFonts w:ascii="Arial" w:hAnsi="Arial"/>
          <w:sz w:val="22"/>
        </w:rP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arquitectura de seguridad en profundidad es la que se empleó en UCES Plataforma de Talento, como se describirá en detalle en el Capítulo V.</w:t>
      </w:r>
    </w:p>
    <w:p>
      <w:pPr>
        <w:pStyle w:val="Heading2"/>
      </w:pPr>
      <w:r>
        <w:t>3.3 Next.js, React y TypeScript</w:t>
      </w:r>
    </w:p>
    <w:p>
      <w:pPr>
        <w:pStyle w:val="Heading3"/>
      </w:pPr>
      <w:r>
        <w:t>3.3.1 React y el modelo de componentes</w:t>
      </w:r>
    </w:p>
    <w:p>
      <w:pPr>
        <w:jc w:val="both"/>
      </w:pPr>
      <w:r>
        <w:rPr>
          <w:rFonts w:ascii="Arial" w:hAnsi="Arial"/>
          <w:sz w:val="22"/>
        </w:rP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rPr>
          <w:rFonts w:ascii="Arial" w:hAnsi="Arial"/>
          <w:sz w:val="22"/>
        </w:rPr>
        <w:t>) y devuelve una descripción de la interfaz. Esta descripción se escribe en JSX, una extensión de la sintaxis de JavaScript que permite expresar estructuras similares a HTML dentro del código.</w:t>
      </w:r>
    </w:p>
    <w:p>
      <w:pPr>
        <w:jc w:val="both"/>
      </w:pPr>
      <w:r>
        <w:rPr>
          <w:rFonts w:ascii="Arial" w:hAnsi="Arial"/>
          <w:sz w:val="22"/>
        </w:rP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repetitivo en operaciones comunes como enviar formularios y mostrar estados de carga (Meta Open Source, 2024b).</w:t>
      </w:r>
    </w:p>
    <w:p>
      <w:pPr>
        <w:pStyle w:val="Heading3"/>
      </w:pPr>
      <w:r>
        <w:t>3.3.2 Next.js y el App Router</w:t>
      </w:r>
    </w:p>
    <w:p>
      <w:pPr>
        <w:jc w:val="both"/>
      </w:pPr>
      <w:r>
        <w:rPr>
          <w:rFonts w:ascii="Arial" w:hAnsi="Arial"/>
          <w:sz w:val="22"/>
        </w:rP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rPr>
          <w:rFonts w:ascii="Arial" w:hAnsi="Arial"/>
          <w:sz w:val="22"/>
        </w:rPr>
        <w:t xml:space="preserve"> definen tanto las rutas de la aplicación como el tipo de renderizado que aplica a cada una.</w:t>
      </w:r>
    </w:p>
    <w:p>
      <w:pPr>
        <w:jc w:val="both"/>
      </w:pPr>
      <w:r>
        <w:rPr>
          <w:rFonts w:ascii="Arial" w:hAnsi="Arial"/>
          <w:sz w:val="22"/>
        </w:rPr>
        <w:t xml:space="preserve">El App Router distingue dos tipos de componentes según dónde se ejecutan. Los </w:t>
      </w:r>
      <w:r>
        <w:rPr>
          <w:b/>
        </w:rPr>
        <w:t>Server Components</w:t>
      </w:r>
      <w:r>
        <w:rPr>
          <w:rFonts w:ascii="Arial" w:hAnsi="Arial"/>
          <w:sz w:val="22"/>
        </w:rP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rPr>
          <w:rFonts w:ascii="Arial" w:hAnsi="Arial"/>
          <w:sz w:val="22"/>
        </w:rPr>
        <w:t xml:space="preserve">, marcados con la directiva </w:t>
      </w:r>
      <w:r>
        <w:rPr>
          <w:rFonts w:ascii="Courier New" w:hAnsi="Courier New"/>
          <w:sz w:val="18"/>
        </w:rPr>
        <w:t>"use client"</w:t>
      </w:r>
      <w:r>
        <w:rPr>
          <w:rFonts w:ascii="Arial" w:hAnsi="Arial"/>
          <w:sz w:val="22"/>
        </w:rPr>
        <w:t xml:space="preserve"> al inicio del archivo, se envían al navegador y pueden usar los </w:t>
      </w:r>
      <w:r>
        <w:rPr>
          <w:i/>
        </w:rPr>
        <w:t>hooks</w:t>
      </w:r>
      <w:r>
        <w:rPr>
          <w:rFonts w:ascii="Arial" w:hAnsi="Arial"/>
          <w:sz w:val="22"/>
        </w:rPr>
        <w:t xml:space="preserve"> de React —como </w:t>
      </w:r>
      <w:r>
        <w:rPr>
          <w:rFonts w:ascii="Courier New" w:hAnsi="Courier New"/>
          <w:sz w:val="18"/>
        </w:rPr>
        <w:t>useState</w:t>
      </w:r>
      <w:r>
        <w:rPr>
          <w:rFonts w:ascii="Arial" w:hAnsi="Arial"/>
          <w:sz w:val="22"/>
        </w:rPr>
        <w:t xml:space="preserve"> o </w:t>
      </w:r>
      <w:r>
        <w:rPr>
          <w:rFonts w:ascii="Courier New" w:hAnsi="Courier New"/>
          <w:sz w:val="18"/>
        </w:rPr>
        <w:t>useEffect</w:t>
      </w:r>
      <w:r>
        <w:rPr>
          <w:rFonts w:ascii="Arial" w:hAnsi="Arial"/>
          <w:sz w:val="22"/>
        </w:rPr>
        <w:t>— para gestionar estado local e interacciones del usuario. Esta distinción permite que las vistas con datos sensibles o que requieren consultas a la base de datos se procesen en el servidor, mientras que las partes interactivas se hidratan en el cliente.</w:t>
      </w:r>
    </w:p>
    <w:p>
      <w:pPr>
        <w:jc w:val="both"/>
      </w:pPr>
      <w:r>
        <w:rPr>
          <w:rFonts w:ascii="Arial" w:hAnsi="Arial"/>
          <w:sz w:val="22"/>
        </w:rPr>
        <w:t xml:space="preserve">En UCES Plataforma de Talento, los Route Handlers —archivos </w:t>
      </w:r>
      <w:r>
        <w:rPr>
          <w:rFonts w:ascii="Courier New" w:hAnsi="Courier New"/>
          <w:sz w:val="18"/>
        </w:rPr>
        <w:t>route.ts</w:t>
      </w:r>
      <w:r>
        <w:rPr>
          <w:rFonts w:ascii="Arial" w:hAnsi="Arial"/>
          <w:sz w:val="22"/>
        </w:rPr>
        <w:t xml:space="preserve"> ubicados dentro de </w:t>
      </w:r>
      <w:r>
        <w:rPr>
          <w:rFonts w:ascii="Courier New" w:hAnsi="Courier New"/>
          <w:sz w:val="18"/>
        </w:rPr>
        <w:t>app/api/</w:t>
      </w:r>
      <w:r>
        <w:rPr>
          <w:rFonts w:ascii="Arial" w:hAnsi="Arial"/>
          <w:sz w:val="22"/>
        </w:rPr>
        <w:t>— actúan como los endpoints de la API. Cada archivo exporta funciones con los nombres de los métodos HTTP que maneja (</w:t>
      </w:r>
      <w:r>
        <w:rPr>
          <w:rFonts w:ascii="Courier New" w:hAnsi="Courier New"/>
          <w:sz w:val="18"/>
        </w:rPr>
        <w:t>GET</w:t>
      </w:r>
      <w:r>
        <w:rPr>
          <w:rFonts w:ascii="Arial" w:hAnsi="Arial"/>
          <w:sz w:val="22"/>
        </w:rPr>
        <w:t xml:space="preserve">, </w:t>
      </w:r>
      <w:r>
        <w:rPr>
          <w:rFonts w:ascii="Courier New" w:hAnsi="Courier New"/>
          <w:sz w:val="18"/>
        </w:rPr>
        <w:t>POST</w:t>
      </w:r>
      <w:r>
        <w:rPr>
          <w:rFonts w:ascii="Arial" w:hAnsi="Arial"/>
          <w:sz w:val="22"/>
        </w:rPr>
        <w:t xml:space="preserve">, </w:t>
      </w:r>
      <w:r>
        <w:rPr>
          <w:rFonts w:ascii="Courier New" w:hAnsi="Courier New"/>
          <w:sz w:val="18"/>
        </w:rPr>
        <w:t>PATCH</w:t>
      </w:r>
      <w:r>
        <w:rPr>
          <w:rFonts w:ascii="Arial" w:hAnsi="Arial"/>
          <w:sz w:val="22"/>
        </w:rPr>
        <w:t xml:space="preserve">, </w:t>
      </w:r>
      <w:r>
        <w:rPr>
          <w:rFonts w:ascii="Courier New" w:hAnsi="Courier New"/>
          <w:sz w:val="18"/>
        </w:rPr>
        <w:t>DELETE</w:t>
      </w:r>
      <w:r>
        <w:rPr>
          <w:rFonts w:ascii="Arial" w:hAnsi="Arial"/>
          <w:sz w:val="22"/>
        </w:rPr>
        <w:t xml:space="preserve">). Estas funciones reciben un objeto </w:t>
      </w:r>
      <w:r>
        <w:rPr>
          <w:rFonts w:ascii="Courier New" w:hAnsi="Courier New"/>
          <w:sz w:val="18"/>
        </w:rPr>
        <w:t>Request</w:t>
      </w:r>
      <w:r>
        <w:rPr>
          <w:rFonts w:ascii="Arial" w:hAnsi="Arial"/>
          <w:sz w:val="22"/>
        </w:rPr>
        <w:t xml:space="preserve"> estándar de la Web API y devuelven un objeto </w:t>
      </w:r>
      <w:r>
        <w:rPr>
          <w:rFonts w:ascii="Courier New" w:hAnsi="Courier New"/>
          <w:sz w:val="18"/>
        </w:rPr>
        <w:t>Response</w:t>
      </w:r>
      <w:r>
        <w:rPr>
          <w:rFonts w:ascii="Arial" w:hAnsi="Arial"/>
          <w:sz w:val="22"/>
        </w:rPr>
        <w:t xml:space="preserve"> o una respuesta estructurada mediante el helper </w:t>
      </w:r>
      <w:r>
        <w:rPr>
          <w:rFonts w:ascii="Courier New" w:hAnsi="Courier New"/>
          <w:sz w:val="18"/>
        </w:rPr>
        <w:t>NextResponse</w:t>
      </w:r>
      <w:r>
        <w:rPr>
          <w:rFonts w:ascii="Arial" w:hAnsi="Arial"/>
          <w:sz w:val="22"/>
        </w:rPr>
        <w:t xml:space="preserve"> de Next.js. Este modelo sigue la especificación estándar de la plataforma web, lo que lo hace compatible con los mecanismos de seguridad y validación que aplican a cualquier API HTTP.</w:t>
      </w:r>
    </w:p>
    <w:p>
      <w:pPr>
        <w:pStyle w:val="Heading3"/>
      </w:pPr>
      <w:r>
        <w:t>3.3.3 TypeScript y el tipado estático</w:t>
      </w:r>
    </w:p>
    <w:p>
      <w:pPr>
        <w:jc w:val="both"/>
      </w:pPr>
      <w:r>
        <w:rPr>
          <w:rFonts w:ascii="Arial" w:hAnsi="Arial"/>
          <w:sz w:val="22"/>
        </w:rP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aparecerían durante la ejecución.</w:t>
      </w:r>
    </w:p>
    <w:p>
      <w:pPr>
        <w:jc w:val="both"/>
      </w:pPr>
      <w:r>
        <w:rPr>
          <w:rFonts w:ascii="Arial" w:hAnsi="Arial"/>
          <w:sz w:val="22"/>
        </w:rP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rPr>
          <w:rFonts w:ascii="Arial" w:hAnsi="Arial"/>
          <w:sz w:val="22"/>
        </w:rPr>
        <w:t xml:space="preserve"> y </w:t>
      </w:r>
      <w:r>
        <w:rPr>
          <w:rFonts w:ascii="Courier New" w:hAnsi="Courier New"/>
          <w:sz w:val="18"/>
        </w:rPr>
        <w:t>summary: PsicometricoSummary</w:t>
      </w:r>
      <w:r>
        <w:rPr>
          <w:rFonts w:ascii="Arial" w:hAnsi="Arial"/>
          <w:sz w:val="22"/>
        </w:rPr>
        <w:t>, el componente de React que consume esa respuesta puede declarar que espera exactamente esa forma. Si en algún momento el Route Handler cambia sin actualizar el tipo, el compilador señala la discrepancia antes de que el error llegue al usuario.</w:t>
      </w:r>
    </w:p>
    <w:p>
      <w:pPr>
        <w:jc w:val="both"/>
      </w:pPr>
      <w:r>
        <w:rPr>
          <w:rFonts w:ascii="Arial" w:hAnsi="Arial"/>
          <w:sz w:val="22"/>
        </w:rPr>
        <w:t>En UCES Plataforma de Talento, TypeScript se usó en toda la aplicación, incluyendo las rutas de API, las funciones de biblioteca (</w:t>
      </w:r>
      <w:r>
        <w:rPr>
          <w:rFonts w:ascii="Courier New" w:hAnsi="Courier New"/>
          <w:sz w:val="18"/>
        </w:rPr>
        <w:t>lib/</w:t>
      </w:r>
      <w:r>
        <w:rPr>
          <w:rFonts w:ascii="Arial" w:hAnsi="Arial"/>
          <w:sz w:val="22"/>
        </w:rPr>
        <w:t xml:space="preserve">) y los componentes de interfaz. El tipo </w:t>
      </w:r>
      <w:r>
        <w:rPr>
          <w:rFonts w:ascii="Courier New" w:hAnsi="Courier New"/>
          <w:sz w:val="18"/>
        </w:rPr>
        <w:t>PsicometricoSummary</w:t>
      </w:r>
      <w:r>
        <w:rPr>
          <w:rFonts w:ascii="Arial" w:hAnsi="Arial"/>
          <w:sz w:val="22"/>
        </w:rPr>
        <w:t xml:space="preserve"> definido en </w:t>
      </w:r>
      <w:r>
        <w:rPr>
          <w:rFonts w:ascii="Courier New" w:hAnsi="Courier New"/>
          <w:sz w:val="18"/>
        </w:rPr>
        <w:t>lib/psicometricoResults.ts</w:t>
      </w:r>
      <w:r>
        <w:rPr>
          <w:rFonts w:ascii="Arial" w:hAnsi="Arial"/>
          <w:sz w:val="22"/>
        </w:rP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pPr>
        <w:pStyle w:val="Heading2"/>
      </w:pPr>
      <w:r>
        <w:t>3.4 Supabase y PostgreSQL</w:t>
      </w:r>
    </w:p>
    <w:p>
      <w:pPr>
        <w:pStyle w:val="Heading3"/>
      </w:pPr>
      <w:r>
        <w:t>3.4.1 Backend como Servicio</w:t>
      </w:r>
    </w:p>
    <w:p>
      <w:pPr>
        <w:jc w:val="both"/>
      </w:pPr>
      <w:r>
        <w:rPr>
          <w:rFonts w:ascii="Arial" w:hAnsi="Arial"/>
          <w:sz w:val="22"/>
        </w:rP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servicio al proveedor. El desarrollador interactúa con la plataforma a través de SDKs y APIs documentadas.</w:t>
      </w:r>
    </w:p>
    <w:p>
      <w:pPr>
        <w:jc w:val="both"/>
      </w:pPr>
      <w:r>
        <w:rPr>
          <w:rFonts w:ascii="Arial" w:hAnsi="Arial"/>
          <w:sz w:val="22"/>
        </w:rP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rPr>
          <w:rFonts w:ascii="Arial" w:hAnsi="Arial"/>
          <w:sz w:val="22"/>
        </w:rPr>
        <w:t>). La capa de API que expone Supabase hacia los clientes es generada automáticamente a partir del esquema de la base de datos mediante PostgREST, una herramienta que transforma las tablas y vistas de PostgreSQL en endpoints REST (Supabase, 2024b).</w:t>
      </w:r>
    </w:p>
    <w:p>
      <w:pPr>
        <w:jc w:val="both"/>
      </w:pPr>
      <w:r>
        <w:rPr>
          <w:rFonts w:ascii="Arial" w:hAnsi="Arial"/>
          <w:sz w:val="22"/>
        </w:rP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rPr>
          <w:rFonts w:ascii="Arial" w:hAnsi="Arial"/>
          <w:sz w:val="22"/>
        </w:rPr>
        <w:t xml:space="preserve"> proporciona el cliente que el código de la aplicación usa para interactuar con estas tres capas desde el entorno del navegador y desde los Route Handlers del servidor.</w:t>
      </w:r>
    </w:p>
    <w:p>
      <w:pPr>
        <w:pStyle w:val="Heading3"/>
      </w:pPr>
      <w:r>
        <w:t>3.4.2 PostgreSQL como sistema gestor de bases de datos relacionales</w:t>
      </w:r>
    </w:p>
    <w:p>
      <w:pPr>
        <w:jc w:val="both"/>
      </w:pPr>
      <w:r>
        <w:rPr>
          <w:rFonts w:ascii="Arial" w:hAnsi="Arial"/>
          <w:sz w:val="22"/>
        </w:rP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pPr>
        <w:jc w:val="both"/>
      </w:pPr>
      <w:r>
        <w:rPr>
          <w:rFonts w:ascii="Arial" w:hAnsi="Arial"/>
          <w:sz w:val="22"/>
        </w:rPr>
        <w:t>El modelo relacional organiza los datos en tablas compuestas por filas y columnas. Cada tabla representa una entidad del dominio; las relaciones entre entidades se expresan mediante claves foráneas (</w:t>
      </w:r>
      <w:r>
        <w:rPr>
          <w:i/>
        </w:rPr>
        <w:t>foreign keys</w:t>
      </w:r>
      <w:r>
        <w:rPr>
          <w:rFonts w:ascii="Arial" w:hAnsi="Arial"/>
          <w:sz w:val="22"/>
        </w:rP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rPr>
          <w:rFonts w:ascii="Arial" w:hAnsi="Arial"/>
          <w:sz w:val="22"/>
        </w:rPr>
        <w:t xml:space="preserve"> tiene una clave foránea hacia </w:t>
      </w:r>
      <w:r>
        <w:rPr>
          <w:rFonts w:ascii="Courier New" w:hAnsi="Courier New"/>
          <w:sz w:val="18"/>
        </w:rPr>
        <w:t>applications</w:t>
      </w:r>
      <w:r>
        <w:rPr>
          <w:rFonts w:ascii="Arial" w:hAnsi="Arial"/>
          <w:sz w:val="22"/>
        </w:rPr>
        <w:t xml:space="preserve">, que a su vez apunta a </w:t>
      </w:r>
      <w:r>
        <w:rPr>
          <w:rFonts w:ascii="Courier New" w:hAnsi="Courier New"/>
          <w:sz w:val="18"/>
        </w:rPr>
        <w:t>profiles</w:t>
      </w:r>
      <w:r>
        <w:rPr>
          <w:rFonts w:ascii="Arial" w:hAnsi="Arial"/>
          <w:sz w:val="22"/>
        </w:rPr>
        <w:t xml:space="preserve"> y </w:t>
      </w:r>
      <w:r>
        <w:rPr>
          <w:rFonts w:ascii="Courier New" w:hAnsi="Courier New"/>
          <w:sz w:val="18"/>
        </w:rPr>
        <w:t>vacancies</w:t>
      </w:r>
      <w:r>
        <w:rPr>
          <w:rFonts w:ascii="Arial" w:hAnsi="Arial"/>
          <w:sz w:val="22"/>
        </w:rPr>
        <w:t>. Esta cadena de referencias garantiza que un intento de evaluación no puede existir sin una postulación válida, y que una postulación no puede existir sin un usuario y una vacante registrados.</w:t>
      </w:r>
    </w:p>
    <w:p>
      <w:pPr>
        <w:jc w:val="both"/>
      </w:pPr>
      <w:r>
        <w:rPr>
          <w:rFonts w:ascii="Arial" w:hAnsi="Arial"/>
          <w:sz w:val="22"/>
        </w:rPr>
        <w:t xml:space="preserve">El esquema de la aplicación, definido en </w:t>
      </w:r>
      <w:r>
        <w:rPr>
          <w:rFonts w:ascii="Courier New" w:hAnsi="Courier New"/>
          <w:sz w:val="18"/>
        </w:rPr>
        <w:t>supabase/schema.sql</w:t>
      </w:r>
      <w:r>
        <w:rPr>
          <w:rFonts w:ascii="Arial" w:hAnsi="Arial"/>
          <w:sz w:val="22"/>
        </w:rPr>
        <w:t xml:space="preserve">, declara 13 tablas con sus relaciones, tipos de datos y restricciones. La tabla </w:t>
      </w:r>
      <w:r>
        <w:rPr>
          <w:rFonts w:ascii="Courier New" w:hAnsi="Courier New"/>
          <w:sz w:val="18"/>
        </w:rPr>
        <w:t>attempts</w:t>
      </w:r>
      <w:r>
        <w:rPr>
          <w:rFonts w:ascii="Arial" w:hAnsi="Arial"/>
          <w:sz w:val="22"/>
        </w:rPr>
        <w:t xml:space="preserve">, por ejemplo, incluye columnas </w:t>
      </w:r>
      <w:r>
        <w:rPr>
          <w:rFonts w:ascii="Courier New" w:hAnsi="Courier New"/>
          <w:sz w:val="18"/>
        </w:rPr>
        <w:t>started_at</w:t>
      </w:r>
      <w:r>
        <w:rPr>
          <w:rFonts w:ascii="Arial" w:hAnsi="Arial"/>
          <w:sz w:val="22"/>
        </w:rPr>
        <w:t xml:space="preserve"> y </w:t>
      </w:r>
      <w:r>
        <w:rPr>
          <w:rFonts w:ascii="Courier New" w:hAnsi="Courier New"/>
          <w:sz w:val="18"/>
        </w:rPr>
        <w:t>deadline_at</w:t>
      </w:r>
      <w:r>
        <w:rPr>
          <w:rFonts w:ascii="Arial" w:hAnsi="Arial"/>
          <w:sz w:val="22"/>
        </w:rPr>
        <w:t xml:space="preserve"> de tipo </w:t>
      </w:r>
      <w:r>
        <w:rPr>
          <w:rFonts w:ascii="Courier New" w:hAnsi="Courier New"/>
          <w:sz w:val="18"/>
        </w:rPr>
        <w:t>timestamptz</w:t>
      </w:r>
      <w:r>
        <w:rPr>
          <w:rFonts w:ascii="Arial" w:hAnsi="Arial"/>
          <w:sz w:val="22"/>
        </w:rPr>
        <w:t xml:space="preserve"> para registrar los tiempos con zona horaria, un campo </w:t>
      </w:r>
      <w:r>
        <w:rPr>
          <w:rFonts w:ascii="Courier New" w:hAnsi="Courier New"/>
          <w:sz w:val="18"/>
        </w:rPr>
        <w:t>theory_score</w:t>
      </w:r>
      <w:r>
        <w:rPr>
          <w:rFonts w:ascii="Arial" w:hAnsi="Arial"/>
          <w:sz w:val="22"/>
        </w:rPr>
        <w:t xml:space="preserve"> de tipo </w:t>
      </w:r>
      <w:r>
        <w:rPr>
          <w:rFonts w:ascii="Courier New" w:hAnsi="Courier New"/>
          <w:sz w:val="18"/>
        </w:rPr>
        <w:t>numeric</w:t>
      </w:r>
      <w:r>
        <w:rPr>
          <w:rFonts w:ascii="Arial" w:hAnsi="Arial"/>
          <w:sz w:val="22"/>
        </w:rPr>
        <w:t xml:space="preserve"> para el resultado calculado, y una columna </w:t>
      </w:r>
      <w:r>
        <w:rPr>
          <w:rFonts w:ascii="Courier New" w:hAnsi="Courier New"/>
          <w:sz w:val="18"/>
        </w:rPr>
        <w:t>psychometric_summary</w:t>
      </w:r>
      <w:r>
        <w:rPr>
          <w:rFonts w:ascii="Arial" w:hAnsi="Arial"/>
          <w:sz w:val="22"/>
        </w:rPr>
        <w:t xml:space="preserve"> de tipo </w:t>
      </w:r>
      <w:r>
        <w:rPr>
          <w:rFonts w:ascii="Courier New" w:hAnsi="Courier New"/>
          <w:sz w:val="18"/>
        </w:rPr>
        <w:t>jsonb</w:t>
      </w:r>
      <w:r>
        <w:rPr>
          <w:rFonts w:ascii="Arial" w:hAnsi="Arial"/>
          <w:sz w:val="22"/>
        </w:rP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pPr>
        <w:pStyle w:val="Heading3"/>
      </w:pPr>
      <w:r>
        <w:t>3.4.3 Supabase Auth</w:t>
      </w:r>
    </w:p>
    <w:p>
      <w:pPr>
        <w:jc w:val="both"/>
      </w:pPr>
      <w:r>
        <w:rPr>
          <w:rFonts w:ascii="Arial" w:hAnsi="Arial"/>
          <w:sz w:val="22"/>
        </w:rP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rPr>
          <w:rFonts w:ascii="Arial" w:hAnsi="Arial"/>
          <w:sz w:val="22"/>
        </w:rPr>
        <w:t xml:space="preserve">, separada de las tablas de la aplicación, y provee funciones de base de datos —como </w:t>
      </w:r>
      <w:r>
        <w:rPr>
          <w:rFonts w:ascii="Courier New" w:hAnsi="Courier New"/>
          <w:sz w:val="18"/>
        </w:rPr>
        <w:t>auth.uid()</w:t>
      </w:r>
      <w:r>
        <w:rPr>
          <w:rFonts w:ascii="Arial" w:hAnsi="Arial"/>
          <w:sz w:val="22"/>
        </w:rPr>
        <w:t>— que pueden invocarse desde las políticas de seguridad para identificar al usuario autenticado en el contexto de una consulta SQL.</w:t>
      </w:r>
    </w:p>
    <w:p>
      <w:pPr>
        <w:jc w:val="both"/>
      </w:pPr>
      <w:r>
        <w:rPr>
          <w:rFonts w:ascii="Arial" w:hAnsi="Arial"/>
          <w:sz w:val="22"/>
        </w:rPr>
        <w:t>Cuando un usuario se autentica con correo y contraseña, Supabase Auth verifica las credenciales, genera un par de tokens —un token de acceso de corta duración y un token de renovación (</w:t>
      </w:r>
      <w:r>
        <w:rPr>
          <w:i/>
        </w:rPr>
        <w:t>refresh token</w:t>
      </w:r>
      <w:r>
        <w:rPr>
          <w:rFonts w:ascii="Arial" w:hAnsi="Arial"/>
          <w:sz w:val="22"/>
        </w:rPr>
        <w:t>)— y los entrega al cliente. El token de acceso es un JWT firmado con la clave secreta del proyecto que incluye, entre otros datos, el identificador del usuario (</w:t>
      </w:r>
      <w:r>
        <w:rPr>
          <w:rFonts w:ascii="Courier New" w:hAnsi="Courier New"/>
          <w:sz w:val="18"/>
        </w:rPr>
        <w:t>sub</w:t>
      </w:r>
      <w:r>
        <w:rPr>
          <w:rFonts w:ascii="Arial" w:hAnsi="Arial"/>
          <w:sz w:val="22"/>
        </w:rPr>
        <w:t xml:space="preserve">), el momento de expiración y el rol configurado en Supabase. El cliente adjunta este token en el encabezado </w:t>
      </w:r>
      <w:r>
        <w:rPr>
          <w:rFonts w:ascii="Courier New" w:hAnsi="Courier New"/>
          <w:sz w:val="18"/>
        </w:rPr>
        <w:t>Authorization</w:t>
      </w:r>
      <w:r>
        <w:rPr>
          <w:rFonts w:ascii="Arial" w:hAnsi="Arial"/>
          <w:sz w:val="22"/>
        </w:rPr>
        <w:t xml:space="preserve"> de las solicitudes subsecuentes para que el servidor pueda verificar la identidad sin consultar la base de datos en cada petición.</w:t>
      </w:r>
    </w:p>
    <w:p>
      <w:pPr>
        <w:jc w:val="both"/>
      </w:pPr>
      <w:r>
        <w:rPr>
          <w:rFonts w:ascii="Arial" w:hAnsi="Arial"/>
          <w:sz w:val="22"/>
        </w:rPr>
        <w:t xml:space="preserve">En UCES Plataforma de Talento, el cliente de navegador se instancia en </w:t>
      </w:r>
      <w:r>
        <w:rPr>
          <w:rFonts w:ascii="Courier New" w:hAnsi="Courier New"/>
          <w:sz w:val="18"/>
        </w:rPr>
        <w:t>lib/supabaseClient.ts</w:t>
      </w:r>
      <w:r>
        <w:rPr>
          <w:rFonts w:ascii="Arial" w:hAnsi="Arial"/>
          <w:sz w:val="22"/>
        </w:rPr>
        <w:t xml:space="preserve"> con la clave anónima pública (</w:t>
      </w:r>
      <w:r>
        <w:rPr>
          <w:rFonts w:ascii="Courier New" w:hAnsi="Courier New"/>
          <w:sz w:val="18"/>
        </w:rPr>
        <w:t>NEXT_PUBLIC_SUPABASE_ANON_KEY</w:t>
      </w:r>
      <w:r>
        <w:rPr>
          <w:rFonts w:ascii="Arial" w:hAnsi="Arial"/>
          <w:sz w:val="22"/>
        </w:rPr>
        <w:t xml:space="preserve">), que permite operaciones de lectura sujetas a las políticas de RLS y la autenticación estándar. El cliente de servidor, instanciado en </w:t>
      </w:r>
      <w:r>
        <w:rPr>
          <w:rFonts w:ascii="Courier New" w:hAnsi="Courier New"/>
          <w:sz w:val="18"/>
        </w:rPr>
        <w:t>lib/supabaseServer.ts</w:t>
      </w:r>
      <w:r>
        <w:rPr>
          <w:rFonts w:ascii="Arial" w:hAnsi="Arial"/>
          <w:sz w:val="22"/>
        </w:rPr>
        <w:t xml:space="preserve"> con la clave de rol de servicio (</w:t>
      </w:r>
      <w:r>
        <w:rPr>
          <w:rFonts w:ascii="Courier New" w:hAnsi="Courier New"/>
          <w:sz w:val="18"/>
        </w:rPr>
        <w:t>SUPABASE_SERVICE_ROLE_KEY</w:t>
      </w:r>
      <w:r>
        <w:rPr>
          <w:rFonts w:ascii="Arial" w:hAnsi="Arial"/>
          <w:sz w:val="22"/>
        </w:rPr>
        <w:t>), omite las políticas de RLS y se usa exclusivamente en los Route Handlers donde la lógica de negocio requiere acceso administrativo. Esta separación evita que la clave de servicio —que otorga acceso irrestricto a la base de datos— sea expuesta al navegador.</w:t>
      </w:r>
    </w:p>
    <w:p>
      <w:pPr>
        <w:pStyle w:val="Heading3"/>
      </w:pPr>
      <w:r>
        <w:t>3.4.4 Supabase Storage</w:t>
      </w:r>
    </w:p>
    <w:p>
      <w:pPr>
        <w:jc w:val="both"/>
      </w:pPr>
      <w:r>
        <w:rPr>
          <w:rFonts w:ascii="Arial" w:hAnsi="Arial"/>
          <w:sz w:val="22"/>
        </w:rPr>
        <w:t xml:space="preserve">Supabase Storage es el servicio de almacenamiento de objetos de la plataforma (Supabase, 2024d). Los archivos se organizan en </w:t>
      </w:r>
      <w:r>
        <w:rPr>
          <w:i/>
        </w:rPr>
        <w:t>buckets</w:t>
      </w:r>
      <w:r>
        <w:rPr>
          <w:rFonts w:ascii="Arial" w:hAnsi="Arial"/>
          <w:sz w:val="22"/>
        </w:rPr>
        <w:t>, contenedores lógicos análogos a directorios de alto nivel. Cada bucket puede configurarse como público —sus URLs son accesibles sin autenticación— o privado —el acceso requiere autenticación y se sujeta a políticas de seguridad.</w:t>
      </w:r>
    </w:p>
    <w:p>
      <w:pPr>
        <w:jc w:val="both"/>
      </w:pPr>
      <w:r>
        <w:rPr>
          <w:rFonts w:ascii="Arial" w:hAnsi="Arial"/>
          <w:sz w:val="22"/>
        </w:rP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rPr>
          <w:rFonts w:ascii="Arial" w:hAnsi="Arial"/>
          <w:sz w:val="22"/>
        </w:rPr>
        <w:t>, configurado como privado. Para que un usuario o un administrador pueda acceder a un archivo, el sistema genera una URL firmada (</w:t>
      </w:r>
      <w:r>
        <w:rPr>
          <w:i/>
        </w:rPr>
        <w:t>signed URL</w:t>
      </w:r>
      <w:r>
        <w:rPr>
          <w:rFonts w:ascii="Arial" w:hAnsi="Arial"/>
          <w:sz w:val="22"/>
        </w:rPr>
        <w:t>) con tiempo de expiración mediante la API de Supabase Storage. Este mecanismo garantiza que los archivos no sean accesibles mediante URLs directas predecibles y que solo las partes autorizadas puedan obtener acceso temporal a ellos.</w:t>
      </w:r>
    </w:p>
    <w:p>
      <w:pPr>
        <w:pStyle w:val="Heading3"/>
      </w:pPr>
      <w:r>
        <w:t>3.4.5 Row Level Security</w:t>
      </w:r>
    </w:p>
    <w:p>
      <w:pPr>
        <w:jc w:val="both"/>
      </w:pPr>
      <w:r>
        <w:rPr>
          <w:rFonts w:ascii="Arial" w:hAnsi="Arial"/>
          <w:sz w:val="22"/>
        </w:rP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permitida.</w:t>
      </w:r>
    </w:p>
    <w:p>
      <w:pPr>
        <w:jc w:val="both"/>
      </w:pPr>
      <w:r>
        <w:rPr>
          <w:rFonts w:ascii="Arial" w:hAnsi="Arial"/>
          <w:sz w:val="22"/>
        </w:rP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pPr>
        <w:jc w:val="both"/>
      </w:pPr>
      <w:r>
        <w:rPr>
          <w:rFonts w:ascii="Arial" w:hAnsi="Arial"/>
          <w:sz w:val="22"/>
        </w:rPr>
        <w:t xml:space="preserve">En UCES Plataforma de Talento, RLS está habilitado en todas las tablas de la aplicación. El archivo </w:t>
      </w:r>
      <w:r>
        <w:rPr>
          <w:rFonts w:ascii="Courier New" w:hAnsi="Courier New"/>
          <w:sz w:val="18"/>
        </w:rPr>
        <w:t>supabase/rls.sql</w:t>
      </w:r>
      <w:r>
        <w:rPr>
          <w:rFonts w:ascii="Arial" w:hAnsi="Arial"/>
          <w:sz w:val="22"/>
        </w:rPr>
        <w:t xml:space="preserve"> define las políticas. Por ejemplo, la política </w:t>
      </w:r>
      <w:r>
        <w:rPr>
          <w:rFonts w:ascii="Courier New" w:hAnsi="Courier New"/>
          <w:sz w:val="18"/>
        </w:rPr>
        <w:t>users-manage-own-attempts</w:t>
      </w:r>
      <w:r>
        <w:rPr>
          <w:rFonts w:ascii="Arial" w:hAnsi="Arial"/>
          <w:sz w:val="22"/>
        </w:rPr>
        <w:t xml:space="preserve"> sobre la tabla </w:t>
      </w:r>
      <w:r>
        <w:rPr>
          <w:rFonts w:ascii="Courier New" w:hAnsi="Courier New"/>
          <w:sz w:val="18"/>
        </w:rPr>
        <w:t>attempts</w:t>
      </w:r>
      <w:r>
        <w:rPr>
          <w:rFonts w:ascii="Arial" w:hAnsi="Arial"/>
          <w:sz w:val="22"/>
        </w:rPr>
        <w:t xml:space="preserve"> utiliza una subconsulta que verifica si el </w:t>
      </w:r>
      <w:r>
        <w:rPr>
          <w:rFonts w:ascii="Courier New" w:hAnsi="Courier New"/>
          <w:sz w:val="18"/>
        </w:rPr>
        <w:t>user_id</w:t>
      </w:r>
      <w:r>
        <w:rPr>
          <w:rFonts w:ascii="Arial" w:hAnsi="Arial"/>
          <w:sz w:val="22"/>
        </w:rPr>
        <w:t xml:space="preserve"> de la aplicación asociada al intento coincide con </w:t>
      </w:r>
      <w:r>
        <w:rPr>
          <w:rFonts w:ascii="Courier New" w:hAnsi="Courier New"/>
          <w:sz w:val="18"/>
        </w:rPr>
        <w:t>auth.uid()</w:t>
      </w:r>
      <w:r>
        <w:rPr>
          <w:rFonts w:ascii="Arial" w:hAnsi="Arial"/>
          <w:sz w:val="22"/>
        </w:rP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pPr>
        <w:jc w:val="both"/>
      </w:pPr>
      <w:r>
        <w:rPr>
          <w:rFonts w:ascii="Arial" w:hAnsi="Arial"/>
          <w:sz w:val="22"/>
        </w:rPr>
        <w:t xml:space="preserve">La función </w:t>
      </w:r>
      <w:r>
        <w:rPr>
          <w:rFonts w:ascii="Courier New" w:hAnsi="Courier New"/>
          <w:sz w:val="18"/>
        </w:rPr>
        <w:t>get_my_role()</w:t>
      </w:r>
      <w:r>
        <w:rPr>
          <w:rFonts w:ascii="Arial" w:hAnsi="Arial"/>
          <w:sz w:val="22"/>
        </w:rPr>
        <w:t xml:space="preserve">, definida también en </w:t>
      </w:r>
      <w:r>
        <w:rPr>
          <w:rFonts w:ascii="Courier New" w:hAnsi="Courier New"/>
          <w:sz w:val="18"/>
        </w:rPr>
        <w:t>supabase/rls.sql</w:t>
      </w:r>
      <w:r>
        <w:rPr>
          <w:rFonts w:ascii="Arial" w:hAnsi="Arial"/>
          <w:sz w:val="22"/>
        </w:rPr>
        <w:t xml:space="preserve">, es una función almacenada con la cláusula </w:t>
      </w:r>
      <w:r>
        <w:rPr>
          <w:rFonts w:ascii="Courier New" w:hAnsi="Courier New"/>
          <w:sz w:val="18"/>
        </w:rPr>
        <w:t>SECURITY DEFINER</w:t>
      </w:r>
      <w:r>
        <w:rPr>
          <w:rFonts w:ascii="Arial" w:hAnsi="Arial"/>
          <w:sz w:val="22"/>
        </w:rP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rPr>
          <w:rFonts w:ascii="Arial" w:hAnsi="Arial"/>
          <w:sz w:val="22"/>
        </w:rP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rPr>
          <w:rFonts w:ascii="Arial" w:hAnsi="Arial"/>
          <w:sz w:val="22"/>
        </w:rPr>
        <w:t xml:space="preserve">, la función puede consultar </w:t>
      </w:r>
      <w:r>
        <w:rPr>
          <w:rFonts w:ascii="Courier New" w:hAnsi="Courier New"/>
          <w:sz w:val="18"/>
        </w:rPr>
        <w:t>user_roles</w:t>
      </w:r>
      <w:r>
        <w:rPr>
          <w:rFonts w:ascii="Arial" w:hAnsi="Arial"/>
          <w:sz w:val="22"/>
        </w:rPr>
        <w:t xml:space="preserve"> directamente sin activar sus propias políticas, y devolver únicamente el rol del usuario autenticado, sin exponer información de otros usuarios.</w:t>
      </w:r>
    </w:p>
    <w:p>
      <w:pPr>
        <w:pStyle w:val="Heading2"/>
      </w:pPr>
      <w:r>
        <w:t>3.5 Autenticación y autorización</w:t>
      </w:r>
    </w:p>
    <w:p>
      <w:pPr>
        <w:jc w:val="both"/>
      </w:pPr>
      <w:r>
        <w:rPr>
          <w:rFonts w:ascii="Arial" w:hAnsi="Arial"/>
          <w:sz w:val="22"/>
        </w:rPr>
        <w:t xml:space="preserve">La autenticación y la autorización son dos conceptos de seguridad relacionados pero distintos (OWASP Foundation, 2021). La </w:t>
      </w:r>
      <w:r>
        <w:rPr>
          <w:b/>
        </w:rPr>
        <w:t>autenticación</w:t>
      </w:r>
      <w:r>
        <w:rPr>
          <w:rFonts w:ascii="Arial" w:hAnsi="Arial"/>
          <w:sz w:val="22"/>
        </w:rPr>
        <w:t xml:space="preserve"> responde a la pregunta "¿quién eres?": es el proceso mediante el cual un sistema verifica la identidad de quien solicita acceso. La </w:t>
      </w:r>
      <w:r>
        <w:rPr>
          <w:b/>
        </w:rPr>
        <w:t>autorización</w:t>
      </w:r>
      <w:r>
        <w:rPr>
          <w:rFonts w:ascii="Arial" w:hAnsi="Arial"/>
          <w:sz w:val="22"/>
        </w:rPr>
        <w:t xml:space="preserve"> responde a "¿qué puedes hacer?": una vez que la identidad ha sido establecida, determina qué operaciones tiene permitido realizar esa identidad.</w:t>
      </w:r>
    </w:p>
    <w:p>
      <w:pPr>
        <w:jc w:val="both"/>
      </w:pPr>
      <w:r>
        <w:rPr>
          <w:rFonts w:ascii="Arial" w:hAnsi="Arial"/>
          <w:sz w:val="22"/>
        </w:rP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pPr>
        <w:pStyle w:val="Heading3"/>
      </w:pPr>
      <w:r>
        <w:t>3.5.1 JSON Web Tokens</w:t>
      </w:r>
    </w:p>
    <w:p>
      <w:pPr>
        <w:jc w:val="both"/>
      </w:pPr>
      <w:r>
        <w:rPr>
          <w:rFonts w:ascii="Arial" w:hAnsi="Arial"/>
          <w:sz w:val="22"/>
        </w:rPr>
        <w:t>Un JSON Web Token (JWT) es un estándar abierto (RFC 7519) para representar afirmaciones (</w:t>
      </w:r>
      <w:r>
        <w:rPr>
          <w:i/>
        </w:rPr>
        <w:t>claims</w:t>
      </w:r>
      <w:r>
        <w:rPr>
          <w:rFonts w:ascii="Arial" w:hAnsi="Arial"/>
          <w:sz w:val="22"/>
        </w:rPr>
        <w:t>) de forma segura entre dos partes (Jones, Bradley &amp; Sakimura, 2015). Un JWT está compuesto por tres segmentos codificados en Base64URL y separados por puntos: el encabezado, que especifica el algoritmo de firma; la carga útil (</w:t>
      </w:r>
      <w:r>
        <w:rPr>
          <w:i/>
        </w:rPr>
        <w:t>payload</w:t>
      </w:r>
      <w:r>
        <w:rPr>
          <w:rFonts w:ascii="Arial" w:hAnsi="Arial"/>
          <w:sz w:val="22"/>
        </w:rPr>
        <w:t>), que contiene las afirmaciones; y la firma, que garantiza la integridad del token.</w:t>
      </w:r>
    </w:p>
    <w:p>
      <w:pPr>
        <w:jc w:val="both"/>
      </w:pPr>
      <w:r>
        <w:rPr>
          <w:rFonts w:ascii="Arial" w:hAnsi="Arial"/>
          <w:sz w:val="22"/>
        </w:rPr>
        <w:t xml:space="preserve">Las afirmaciones son pares clave-valor. Algunas están estandarizadas: </w:t>
      </w:r>
      <w:r>
        <w:rPr>
          <w:rFonts w:ascii="Courier New" w:hAnsi="Courier New"/>
          <w:sz w:val="18"/>
        </w:rPr>
        <w:t>sub</w:t>
      </w:r>
      <w:r>
        <w:rPr>
          <w:rFonts w:ascii="Arial" w:hAnsi="Arial"/>
          <w:sz w:val="22"/>
        </w:rPr>
        <w:t xml:space="preserve"> identifica al sujeto del token, </w:t>
      </w:r>
      <w:r>
        <w:rPr>
          <w:rFonts w:ascii="Courier New" w:hAnsi="Courier New"/>
          <w:sz w:val="18"/>
        </w:rPr>
        <w:t>exp</w:t>
      </w:r>
      <w:r>
        <w:rPr>
          <w:rFonts w:ascii="Arial" w:hAnsi="Arial"/>
          <w:sz w:val="22"/>
        </w:rPr>
        <w:t xml:space="preserve"> indica el momento de expiración, </w:t>
      </w:r>
      <w:r>
        <w:rPr>
          <w:rFonts w:ascii="Courier New" w:hAnsi="Courier New"/>
          <w:sz w:val="18"/>
        </w:rPr>
        <w:t>iat</w:t>
      </w:r>
      <w:r>
        <w:rPr>
          <w:rFonts w:ascii="Arial" w:hAnsi="Arial"/>
          <w:sz w:val="22"/>
        </w:rP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pPr>
        <w:jc w:val="both"/>
      </w:pPr>
      <w:r>
        <w:rPr>
          <w:rFonts w:ascii="Arial" w:hAnsi="Arial"/>
          <w:sz w:val="22"/>
        </w:rPr>
        <w:t xml:space="preserve">La propiedad clave de un JWT es que es </w:t>
      </w:r>
      <w:r>
        <w:rPr>
          <w:b/>
        </w:rPr>
        <w:t>autocontenido</w:t>
      </w:r>
      <w:r>
        <w:rPr>
          <w:rFonts w:ascii="Arial" w:hAnsi="Arial"/>
          <w:sz w:val="22"/>
        </w:rP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pPr>
        <w:jc w:val="both"/>
      </w:pPr>
      <w:r>
        <w:rPr>
          <w:rFonts w:ascii="Arial" w:hAnsi="Arial"/>
          <w:sz w:val="22"/>
        </w:rPr>
        <w:t xml:space="preserve">En UCES Plataforma de Talento, Supabase Auth emite JWTs al autenticar a un usuario. Los Route Handlers de administración reciben este token en el encabezado </w:t>
      </w:r>
      <w:r>
        <w:rPr>
          <w:rFonts w:ascii="Courier New" w:hAnsi="Courier New"/>
          <w:sz w:val="18"/>
        </w:rPr>
        <w:t>Authorization</w:t>
      </w:r>
      <w:r>
        <w:rPr>
          <w:rFonts w:ascii="Arial" w:hAnsi="Arial"/>
          <w:sz w:val="22"/>
        </w:rPr>
        <w:t xml:space="preserve"> y lo verifican mediante la función </w:t>
      </w:r>
      <w:r>
        <w:rPr>
          <w:rFonts w:ascii="Courier New" w:hAnsi="Courier New"/>
          <w:sz w:val="18"/>
        </w:rPr>
        <w:t>requireAdmin()</w:t>
      </w:r>
      <w:r>
        <w:rPr>
          <w:rFonts w:ascii="Arial" w:hAnsi="Arial"/>
          <w:sz w:val="22"/>
        </w:rPr>
        <w:t xml:space="preserve"> en </w:t>
      </w:r>
      <w:r>
        <w:rPr>
          <w:rFonts w:ascii="Courier New" w:hAnsi="Courier New"/>
          <w:sz w:val="18"/>
        </w:rPr>
        <w:t>app/api/admin/utils.ts</w:t>
      </w:r>
      <w:r>
        <w:rPr>
          <w:rFonts w:ascii="Arial" w:hAnsi="Arial"/>
          <w:sz w:val="22"/>
        </w:rPr>
        <w:t xml:space="preserve">. Esta función extrae el token del encabezado, llama a </w:t>
      </w:r>
      <w:r>
        <w:rPr>
          <w:rFonts w:ascii="Courier New" w:hAnsi="Courier New"/>
          <w:sz w:val="18"/>
        </w:rPr>
        <w:t>supabase.auth.getUser(token)</w:t>
      </w:r>
      <w:r>
        <w:rPr>
          <w:rFonts w:ascii="Arial" w:hAnsi="Arial"/>
          <w:sz w:val="22"/>
        </w:rPr>
        <w:t xml:space="preserve"> para verificar su validez contra la clave del proyecto, y posteriormente invoca el RPC </w:t>
      </w:r>
      <w:r>
        <w:rPr>
          <w:rFonts w:ascii="Courier New" w:hAnsi="Courier New"/>
          <w:sz w:val="18"/>
        </w:rPr>
        <w:t>get_my_role()</w:t>
      </w:r>
      <w:r>
        <w:rPr>
          <w:rFonts w:ascii="Arial" w:hAnsi="Arial"/>
          <w:sz w:val="22"/>
        </w:rPr>
        <w:t xml:space="preserve"> —usando un cliente instanciado con las credenciales del usuario, no las del servidor— para confirmar que el rol devuelto por la base de datos es </w:t>
      </w:r>
      <w:r>
        <w:rPr>
          <w:rFonts w:ascii="Courier New" w:hAnsi="Courier New"/>
          <w:sz w:val="18"/>
        </w:rPr>
        <w:t>admin</w:t>
      </w:r>
      <w:r>
        <w:rPr>
          <w:rFonts w:ascii="Arial" w:hAnsi="Arial"/>
          <w:sz w:val="22"/>
        </w:rPr>
        <w:t>. Este diseño aplica verificación tanto a nivel del token como a nivel de datos de rol.</w:t>
      </w:r>
    </w:p>
    <w:p>
      <w:pPr>
        <w:pStyle w:val="Heading3"/>
      </w:pPr>
      <w:r>
        <w:t>3.5.2 Control de acceso basado en roles</w:t>
      </w:r>
    </w:p>
    <w:p>
      <w:pPr>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jc w:val="both"/>
      </w:pPr>
      <w:r>
        <w:rPr>
          <w:rFonts w:ascii="Arial" w:hAnsi="Arial"/>
          <w:sz w:val="22"/>
        </w:rPr>
        <w:t xml:space="preserve">El control de acceso basado en roles (RBAC, </w:t>
      </w:r>
      <w:r>
        <w:rPr>
          <w:i/>
        </w:rPr>
        <w:t>Role-Based Access Control</w:t>
      </w:r>
      <w:r>
        <w:rPr>
          <w:rFonts w:ascii="Arial" w:hAnsi="Arial"/>
          <w:sz w:val="22"/>
        </w:rP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pPr>
        <w:jc w:val="both"/>
      </w:pPr>
      <w:r>
        <w:rPr>
          <w:rFonts w:ascii="Arial" w:hAnsi="Arial"/>
          <w:sz w:val="22"/>
        </w:rPr>
        <w:t xml:space="preserve">En UCES Plataforma de Talento, el modelo de roles es sencillo: existen dos roles relevantes en la lógica de la aplicación, </w:t>
      </w:r>
      <w:r>
        <w:rPr>
          <w:rFonts w:ascii="Courier New" w:hAnsi="Courier New"/>
          <w:sz w:val="18"/>
        </w:rPr>
        <w:t>user</w:t>
      </w:r>
      <w:r>
        <w:rPr>
          <w:rFonts w:ascii="Arial" w:hAnsi="Arial"/>
          <w:sz w:val="22"/>
        </w:rPr>
        <w:t xml:space="preserve"> (candidato) y </w:t>
      </w:r>
      <w:r>
        <w:rPr>
          <w:rFonts w:ascii="Courier New" w:hAnsi="Courier New"/>
          <w:sz w:val="18"/>
        </w:rPr>
        <w:t>admin</w:t>
      </w:r>
      <w:r>
        <w:rPr>
          <w:rFonts w:ascii="Arial" w:hAnsi="Arial"/>
          <w:sz w:val="22"/>
        </w:rPr>
        <w:t xml:space="preserve"> (administrador). La tabla </w:t>
      </w:r>
      <w:r>
        <w:rPr>
          <w:rFonts w:ascii="Courier New" w:hAnsi="Courier New"/>
          <w:sz w:val="18"/>
        </w:rPr>
        <w:t>user_roles</w:t>
      </w:r>
      <w:r>
        <w:rPr>
          <w:rFonts w:ascii="Arial" w:hAnsi="Arial"/>
          <w:sz w:val="22"/>
        </w:rPr>
        <w:t xml:space="preserve"> almacena la asignación de un rol a cada usuario identificado por su UUID. La función </w:t>
      </w:r>
      <w:r>
        <w:rPr>
          <w:rFonts w:ascii="Courier New" w:hAnsi="Courier New"/>
          <w:sz w:val="18"/>
        </w:rPr>
        <w:t>get_my_role()</w:t>
      </w:r>
      <w:r>
        <w:rPr>
          <w:rFonts w:ascii="Arial" w:hAnsi="Arial"/>
          <w:sz w:val="22"/>
        </w:rPr>
        <w:t xml:space="preserve"> implementa una lógica de resolución con dos niveles: primero consulta </w:t>
      </w:r>
      <w:r>
        <w:rPr>
          <w:rFonts w:ascii="Courier New" w:hAnsi="Courier New"/>
          <w:sz w:val="18"/>
        </w:rPr>
        <w:t>user_roles</w:t>
      </w:r>
      <w:r>
        <w:rPr>
          <w:rFonts w:ascii="Arial" w:hAnsi="Arial"/>
          <w:sz w:val="22"/>
        </w:rPr>
        <w:t xml:space="preserve"> y, si no encuentra una entrada, cae hacia la columna </w:t>
      </w:r>
      <w:r>
        <w:rPr>
          <w:rFonts w:ascii="Courier New" w:hAnsi="Courier New"/>
          <w:sz w:val="18"/>
        </w:rPr>
        <w:t>role</w:t>
      </w:r>
      <w:r>
        <w:rPr>
          <w:rFonts w:ascii="Arial" w:hAnsi="Arial"/>
          <w:sz w:val="22"/>
        </w:rPr>
        <w:t xml:space="preserve"> de la tabla </w:t>
      </w:r>
      <w:r>
        <w:rPr>
          <w:rFonts w:ascii="Courier New" w:hAnsi="Courier New"/>
          <w:sz w:val="18"/>
        </w:rPr>
        <w:t>profiles</w:t>
      </w:r>
      <w:r>
        <w:rPr>
          <w:rFonts w:ascii="Arial" w:hAnsi="Arial"/>
          <w:sz w:val="22"/>
        </w:rPr>
        <w:t xml:space="preserve">. Este mecanismo de respaldo garantiza que el sistema funcione incluso si la entrada en </w:t>
      </w:r>
      <w:r>
        <w:rPr>
          <w:rFonts w:ascii="Courier New" w:hAnsi="Courier New"/>
          <w:sz w:val="18"/>
        </w:rPr>
        <w:t>user_roles</w:t>
      </w:r>
      <w:r>
        <w:rPr>
          <w:rFonts w:ascii="Arial" w:hAnsi="Arial"/>
          <w:sz w:val="22"/>
        </w:rPr>
        <w:t xml:space="preserve"> no se insertó correctamente, devolviendo el rol </w:t>
      </w:r>
      <w:r>
        <w:rPr>
          <w:rFonts w:ascii="Courier New" w:hAnsi="Courier New"/>
          <w:sz w:val="18"/>
        </w:rPr>
        <w:t>user</w:t>
      </w:r>
      <w:r>
        <w:rPr>
          <w:rFonts w:ascii="Arial" w:hAnsi="Arial"/>
          <w:sz w:val="22"/>
        </w:rPr>
        <w:t xml:space="preserve"> como valor predeterminado en ausencia de información.</w:t>
      </w:r>
    </w:p>
    <w:p>
      <w:pPr>
        <w:jc w:val="both"/>
      </w:pPr>
      <w:r>
        <w:rPr>
          <w:rFonts w:ascii="Arial" w:hAnsi="Arial"/>
          <w:sz w:val="22"/>
        </w:rPr>
        <w:t xml:space="preserve">La función </w:t>
      </w:r>
      <w:r>
        <w:rPr>
          <w:rFonts w:ascii="Courier New" w:hAnsi="Courier New"/>
          <w:sz w:val="18"/>
        </w:rPr>
        <w:t>resolveRole()</w:t>
      </w:r>
      <w:r>
        <w:rPr>
          <w:rFonts w:ascii="Arial" w:hAnsi="Arial"/>
          <w:sz w:val="22"/>
        </w:rPr>
        <w:t xml:space="preserve"> en </w:t>
      </w:r>
      <w:r>
        <w:rPr>
          <w:rFonts w:ascii="Courier New" w:hAnsi="Courier New"/>
          <w:sz w:val="18"/>
        </w:rPr>
        <w:t>lib/auth.ts</w:t>
      </w:r>
      <w:r>
        <w:rPr>
          <w:rFonts w:ascii="Arial" w:hAnsi="Arial"/>
          <w:sz w:val="22"/>
        </w:rPr>
        <w:t xml:space="preserve"> aplica una validación adicional sobre el valor devuelto: acepta únicamente las cadenas </w:t>
      </w:r>
      <w:r>
        <w:rPr>
          <w:rFonts w:ascii="Courier New" w:hAnsi="Courier New"/>
          <w:sz w:val="18"/>
        </w:rPr>
        <w:t>"admin"</w:t>
      </w:r>
      <w:r>
        <w:rPr>
          <w:rFonts w:ascii="Arial" w:hAnsi="Arial"/>
          <w:sz w:val="22"/>
        </w:rPr>
        <w:t xml:space="preserve"> o </w:t>
      </w:r>
      <w:r>
        <w:rPr>
          <w:rFonts w:ascii="Courier New" w:hAnsi="Courier New"/>
          <w:sz w:val="18"/>
        </w:rPr>
        <w:t>"user"</w:t>
      </w:r>
      <w:r>
        <w:rPr>
          <w:rFonts w:ascii="Arial" w:hAnsi="Arial"/>
          <w:sz w:val="22"/>
        </w:rPr>
        <w:t xml:space="preserve"> como roles válidos y retorna </w:t>
      </w:r>
      <w:r>
        <w:rPr>
          <w:rFonts w:ascii="Courier New" w:hAnsi="Courier New"/>
          <w:sz w:val="18"/>
        </w:rPr>
        <w:t>"user"</w:t>
      </w:r>
      <w:r>
        <w:rPr>
          <w:rFonts w:ascii="Arial" w:hAnsi="Arial"/>
          <w:sz w:val="22"/>
        </w:rPr>
        <w:t xml:space="preserve"> ante cualquier otro valor. Esto previene que valores inesperados en la base de datos sean aceptados como roles con permisos elevados.</w:t>
      </w:r>
    </w:p>
    <w:p>
      <w:pPr>
        <w:pStyle w:val="Heading2"/>
      </w:pPr>
      <w:r>
        <w:t>3.6 Protección de identificadores personales mediante HMAC</w:t>
      </w:r>
    </w:p>
    <w:p>
      <w:pPr>
        <w:jc w:val="both"/>
      </w:pPr>
      <w:r>
        <w:rPr>
          <w:rFonts w:ascii="Arial" w:hAnsi="Arial"/>
          <w:sz w:val="22"/>
        </w:rP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pPr>
        <w:jc w:val="both"/>
      </w:pPr>
      <w:r>
        <w:rPr>
          <w:rFonts w:ascii="Arial" w:hAnsi="Arial"/>
          <w:sz w:val="22"/>
        </w:rP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pPr>
        <w:pStyle w:val="Heading3"/>
      </w:pPr>
      <w:r>
        <w:t>3.6.1 Funciones hash criptográficas y HMAC</w:t>
      </w:r>
    </w:p>
    <w:p>
      <w:pPr>
        <w:jc w:val="both"/>
      </w:pPr>
      <w:r>
        <w:rPr>
          <w:rFonts w:ascii="Arial" w:hAnsi="Arial"/>
          <w:sz w:val="22"/>
        </w:rPr>
        <w:t xml:space="preserve">Una función hash criptográfica es una función matemática que transforma una entrada de longitud arbitraria en una salida de longitud fija —el </w:t>
      </w:r>
      <w:r>
        <w:rPr>
          <w:i/>
        </w:rPr>
        <w:t>digest</w:t>
      </w:r>
      <w:r>
        <w:rPr>
          <w:rFonts w:ascii="Arial" w:hAnsi="Arial"/>
          <w:sz w:val="22"/>
        </w:rP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pPr>
        <w:jc w:val="both"/>
      </w:pPr>
      <w:r>
        <w:rPr>
          <w:rFonts w:ascii="Arial" w:hAnsi="Arial"/>
          <w:sz w:val="22"/>
        </w:rP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pPr>
        <w:jc w:val="both"/>
      </w:pPr>
      <w:r>
        <w:rPr>
          <w:rFonts w:ascii="Arial" w:hAnsi="Arial"/>
          <w:sz w:val="22"/>
        </w:rPr>
        <w:t>HMAC (</w:t>
      </w:r>
      <w:r>
        <w:rPr>
          <w:i/>
        </w:rPr>
        <w:t>Hash-based Message Authentication Code</w:t>
      </w:r>
      <w:r>
        <w:rPr>
          <w:rFonts w:ascii="Arial" w:hAnsi="Arial"/>
          <w:sz w:val="22"/>
        </w:rP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rPr>
          <w:rFonts w:ascii="Arial" w:hAnsi="Arial"/>
          <w:sz w:val="22"/>
        </w:rPr>
        <w:t xml:space="preserve">, donde </w:t>
      </w:r>
      <w:r>
        <w:rPr>
          <w:rFonts w:ascii="Courier New" w:hAnsi="Courier New"/>
          <w:sz w:val="18"/>
        </w:rPr>
        <w:t>H</w:t>
      </w:r>
      <w:r>
        <w:rPr>
          <w:rFonts w:ascii="Arial" w:hAnsi="Arial"/>
          <w:sz w:val="22"/>
        </w:rPr>
        <w:t xml:space="preserve"> es la función hash subyacente, </w:t>
      </w:r>
      <w:r>
        <w:rPr>
          <w:rFonts w:ascii="Courier New" w:hAnsi="Courier New"/>
          <w:sz w:val="18"/>
        </w:rPr>
        <w:t>K</w:t>
      </w:r>
      <w:r>
        <w:rPr>
          <w:rFonts w:ascii="Arial" w:hAnsi="Arial"/>
          <w:sz w:val="22"/>
        </w:rPr>
        <w:t xml:space="preserve"> es la clave, </w:t>
      </w:r>
      <w:r>
        <w:rPr>
          <w:rFonts w:ascii="Courier New" w:hAnsi="Courier New"/>
          <w:sz w:val="18"/>
        </w:rPr>
        <w:t>m</w:t>
      </w:r>
      <w:r>
        <w:rPr>
          <w:rFonts w:ascii="Arial" w:hAnsi="Arial"/>
          <w:sz w:val="22"/>
        </w:rPr>
        <w:t xml:space="preserve"> es el mensaje, y </w:t>
      </w:r>
      <w:r>
        <w:rPr>
          <w:rFonts w:ascii="Courier New" w:hAnsi="Courier New"/>
          <w:sz w:val="18"/>
        </w:rPr>
        <w:t>opad</w:t>
      </w:r>
      <w:r>
        <w:rPr>
          <w:rFonts w:ascii="Arial" w:hAnsi="Arial"/>
          <w:sz w:val="22"/>
        </w:rPr>
        <w:t xml:space="preserve"> e </w:t>
      </w:r>
      <w:r>
        <w:rPr>
          <w:rFonts w:ascii="Courier New" w:hAnsi="Courier New"/>
          <w:sz w:val="18"/>
        </w:rPr>
        <w:t>ipad</w:t>
      </w:r>
      <w:r>
        <w:rPr>
          <w:rFonts w:ascii="Arial" w:hAnsi="Arial"/>
          <w:sz w:val="22"/>
        </w:rPr>
        <w:t xml:space="preserve"> son constantes definidas en el estándar.</w:t>
      </w:r>
    </w:p>
    <w:p>
      <w:pPr>
        <w:jc w:val="both"/>
      </w:pPr>
      <w:r>
        <w:rPr>
          <w:rFonts w:ascii="Arial" w:hAnsi="Arial"/>
          <w:sz w:val="22"/>
        </w:rP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 la clave, no es posible reproducir el cálculo, lo que invalida los ataques de diccionario estándar.</w:t>
      </w:r>
    </w:p>
    <w:p>
      <w:pPr>
        <w:pStyle w:val="Heading3"/>
      </w:pPr>
      <w:r>
        <w:t>3.6.2 Implementación en UCES Plataforma de Talento</w:t>
      </w:r>
    </w:p>
    <w:p>
      <w:pPr>
        <w:jc w:val="both"/>
      </w:pPr>
      <w:r>
        <w:rPr>
          <w:rFonts w:ascii="Arial" w:hAnsi="Arial"/>
          <w:sz w:val="22"/>
        </w:rPr>
        <w:t xml:space="preserve">En </w:t>
      </w:r>
      <w:r>
        <w:rPr>
          <w:rFonts w:ascii="Courier New" w:hAnsi="Courier New"/>
          <w:sz w:val="18"/>
        </w:rPr>
        <w:t>lib/curp.ts</w:t>
      </w:r>
      <w:r>
        <w:rPr>
          <w:rFonts w:ascii="Arial" w:hAnsi="Arial"/>
          <w:sz w:val="22"/>
        </w:rPr>
        <w:t xml:space="preserve">, la función </w:t>
      </w:r>
      <w:r>
        <w:rPr>
          <w:rFonts w:ascii="Courier New" w:hAnsi="Courier New"/>
          <w:sz w:val="18"/>
        </w:rPr>
        <w:t>hashCurpHmac</w:t>
      </w:r>
      <w:r>
        <w:rPr>
          <w:rFonts w:ascii="Arial" w:hAnsi="Arial"/>
          <w:sz w:val="22"/>
        </w:rPr>
        <w:t xml:space="preserve"> implementa este mecanismo usando el módulo </w:t>
      </w:r>
      <w:r>
        <w:rPr>
          <w:rFonts w:ascii="Courier New" w:hAnsi="Courier New"/>
          <w:sz w:val="18"/>
        </w:rPr>
        <w:t>crypto</w:t>
      </w:r>
      <w:r>
        <w:rPr>
          <w:rFonts w:ascii="Arial" w:hAnsi="Arial"/>
          <w:sz w:val="22"/>
        </w:rP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rPr>
          <w:rFonts w:ascii="Arial" w:hAnsi="Arial"/>
          <w:sz w:val="22"/>
        </w:rPr>
        <w:t>, que no se expone al navegador.</w:t>
      </w:r>
    </w:p>
    <w:p>
      <w:pPr>
        <w:jc w:val="both"/>
      </w:pPr>
      <w:r>
        <w:rPr>
          <w:rFonts w:ascii="Arial" w:hAnsi="Arial"/>
          <w:sz w:val="22"/>
        </w:rP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rPr>
          <w:rFonts w:ascii="Arial" w:hAnsi="Arial"/>
          <w:sz w:val="22"/>
        </w:rPr>
        <w:t xml:space="preserve"> en la tabla </w:t>
      </w:r>
      <w:r>
        <w:rPr>
          <w:rFonts w:ascii="Courier New" w:hAnsi="Courier New"/>
          <w:sz w:val="18"/>
        </w:rPr>
        <w:t>curp_hashes</w:t>
      </w:r>
      <w:r>
        <w:rPr>
          <w:rFonts w:ascii="Arial" w:hAnsi="Arial"/>
          <w:sz w:val="22"/>
        </w:rP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pPr>
        <w:jc w:val="both"/>
      </w:pPr>
      <w:r>
        <w:rPr>
          <w:rFonts w:ascii="Arial" w:hAnsi="Arial"/>
          <w:sz w:val="22"/>
        </w:rPr>
        <w:t xml:space="preserve">Es importante distinguir este mecanismo de la </w:t>
      </w:r>
      <w:r>
        <w:rPr>
          <w:b/>
        </w:rPr>
        <w:t>criptografía simétrica</w:t>
      </w:r>
      <w:r>
        <w:rPr>
          <w:rFonts w:ascii="Arial" w:hAnsi="Arial"/>
          <w:sz w:val="22"/>
        </w:rP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pPr>
        <w:pStyle w:val="Heading2"/>
      </w:pPr>
      <w:r>
        <w:t>3.7 Evaluaciones digitales y control de tiempo</w:t>
      </w:r>
    </w:p>
    <w:p>
      <w:pPr>
        <w:jc w:val="both"/>
      </w:pPr>
      <w:r>
        <w:rPr>
          <w:rFonts w:ascii="Arial" w:hAnsi="Arial"/>
          <w:sz w:val="22"/>
        </w:rP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procesamiento manual.</w:t>
      </w:r>
    </w:p>
    <w:p>
      <w:pPr>
        <w:jc w:val="both"/>
      </w:pPr>
      <w:r>
        <w:rPr>
          <w:rFonts w:ascii="Arial" w:hAnsi="Arial"/>
          <w:sz w:val="22"/>
        </w:rP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en tiempo real sin solicitudes constantes al servidor— pero la verificación de que el tiempo no ha expirado debe ocurrir en el servidor, ya que el cliente puede ser manipulado.</w:t>
      </w:r>
    </w:p>
    <w:p>
      <w:pPr>
        <w:pStyle w:val="Heading3"/>
      </w:pPr>
      <w:r>
        <w:t>3.7.1 Modelo de control de tiempo en UCES Plataforma de Talento</w:t>
      </w:r>
    </w:p>
    <w:p>
      <w:pPr>
        <w:jc w:val="both"/>
      </w:pPr>
      <w:r>
        <w:rPr>
          <w:rFonts w:ascii="Arial" w:hAnsi="Arial"/>
          <w:sz w:val="22"/>
        </w:rPr>
        <w:t xml:space="preserve">En el sistema, cuando se crea un intento de evaluación, el servidor registra en la tabla </w:t>
      </w:r>
      <w:r>
        <w:rPr>
          <w:rFonts w:ascii="Courier New" w:hAnsi="Courier New"/>
          <w:sz w:val="18"/>
        </w:rPr>
        <w:t>attempts</w:t>
      </w:r>
      <w:r>
        <w:rPr>
          <w:rFonts w:ascii="Arial" w:hAnsi="Arial"/>
          <w:sz w:val="22"/>
        </w:rPr>
        <w:t xml:space="preserve"> los campos </w:t>
      </w:r>
      <w:r>
        <w:rPr>
          <w:rFonts w:ascii="Courier New" w:hAnsi="Courier New"/>
          <w:sz w:val="18"/>
        </w:rPr>
        <w:t>started_at</w:t>
      </w:r>
      <w:r>
        <w:rPr>
          <w:rFonts w:ascii="Arial" w:hAnsi="Arial"/>
          <w:sz w:val="22"/>
        </w:rPr>
        <w:t xml:space="preserve"> (momento de inicio) y </w:t>
      </w:r>
      <w:r>
        <w:rPr>
          <w:rFonts w:ascii="Courier New" w:hAnsi="Courier New"/>
          <w:sz w:val="18"/>
        </w:rPr>
        <w:t>deadline_at</w:t>
      </w:r>
      <w:r>
        <w:rPr>
          <w:rFonts w:ascii="Arial" w:hAnsi="Arial"/>
          <w:sz w:val="22"/>
        </w:rPr>
        <w:t xml:space="preserve"> (fecha y hora límite), calculada como </w:t>
      </w:r>
      <w:r>
        <w:rPr>
          <w:rFonts w:ascii="Courier New" w:hAnsi="Courier New"/>
          <w:sz w:val="18"/>
        </w:rPr>
        <w:t>started_at + duration_minutes</w:t>
      </w:r>
      <w:r>
        <w:rPr>
          <w:rFonts w:ascii="Arial" w:hAnsi="Arial"/>
          <w:sz w:val="22"/>
        </w:rPr>
        <w:t xml:space="preserve">. El cliente calcula la diferencia entre </w:t>
      </w:r>
      <w:r>
        <w:rPr>
          <w:rFonts w:ascii="Courier New" w:hAnsi="Courier New"/>
          <w:sz w:val="18"/>
        </w:rPr>
        <w:t>deadline_at</w:t>
      </w:r>
      <w:r>
        <w:rPr>
          <w:rFonts w:ascii="Arial" w:hAnsi="Arial"/>
          <w:sz w:val="22"/>
        </w:rP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rPr>
          <w:rFonts w:ascii="Arial" w:hAnsi="Arial"/>
          <w:sz w:val="22"/>
        </w:rPr>
        <w:t xml:space="preserve"> verifica si </w:t>
      </w:r>
      <w:r>
        <w:rPr>
          <w:rFonts w:ascii="Courier New" w:hAnsi="Courier New"/>
          <w:sz w:val="18"/>
        </w:rPr>
        <w:t>Date.now() &gt; new Date(attempt.deadline_at).getTime()</w:t>
      </w:r>
      <w:r>
        <w:rPr>
          <w:rFonts w:ascii="Arial" w:hAnsi="Arial"/>
          <w:sz w:val="22"/>
        </w:rPr>
        <w:t xml:space="preserve">. Si el tiempo ha expirado, el intento es igualmente procesado pero el campo </w:t>
      </w:r>
      <w:r>
        <w:rPr>
          <w:rFonts w:ascii="Courier New" w:hAnsi="Courier New"/>
          <w:sz w:val="18"/>
        </w:rPr>
        <w:t>timedOutBeforeSubmit</w:t>
      </w:r>
      <w:r>
        <w:rPr>
          <w:rFonts w:ascii="Arial" w:hAnsi="Arial"/>
          <w:sz w:val="22"/>
        </w:rPr>
        <w:t xml:space="preserve"> en la respuesta y en el resumen almacenado refleja que el envío ocurrió fuera de tiempo.</w:t>
      </w:r>
    </w:p>
    <w:p>
      <w:pPr>
        <w:jc w:val="both"/>
      </w:pPr>
      <w:r>
        <w:rPr>
          <w:rFonts w:ascii="Arial" w:hAnsi="Arial"/>
          <w:sz w:val="22"/>
        </w:rP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pPr>
        <w:pStyle w:val="Heading3"/>
      </w:pPr>
      <w:r>
        <w:t>3.7.2 Persistencia de intentos y unicidad</w:t>
      </w:r>
    </w:p>
    <w:p>
      <w:pPr>
        <w:jc w:val="both"/>
      </w:pPr>
      <w:r>
        <w:rPr>
          <w:rFonts w:ascii="Arial" w:hAnsi="Arial"/>
          <w:sz w:val="22"/>
        </w:rPr>
        <w:t xml:space="preserve">El sistema implementa la restricción de un único intento por evaluación mediante el estado del registro en la tabla </w:t>
      </w:r>
      <w:r>
        <w:rPr>
          <w:rFonts w:ascii="Courier New" w:hAnsi="Courier New"/>
          <w:sz w:val="18"/>
        </w:rPr>
        <w:t>attempts</w:t>
      </w:r>
      <w:r>
        <w:rPr>
          <w:rFonts w:ascii="Arial" w:hAnsi="Arial"/>
          <w:sz w:val="22"/>
        </w:rPr>
        <w:t xml:space="preserve">. El guard de la ruta </w:t>
      </w:r>
      <w:r>
        <w:rPr>
          <w:rFonts w:ascii="Courier New" w:hAnsi="Courier New"/>
          <w:sz w:val="18"/>
        </w:rPr>
        <w:t>/evaluacion/[attemptId]</w:t>
      </w:r>
      <w:r>
        <w:rPr>
          <w:rFonts w:ascii="Arial" w:hAnsi="Arial"/>
          <w:sz w:val="22"/>
        </w:rPr>
        <w:t xml:space="preserve"> verifica el campo </w:t>
      </w:r>
      <w:r>
        <w:rPr>
          <w:rFonts w:ascii="Courier New" w:hAnsi="Courier New"/>
          <w:sz w:val="18"/>
        </w:rPr>
        <w:t>submitted_at</w:t>
      </w:r>
      <w:r>
        <w:rPr>
          <w:rFonts w:ascii="Arial" w:hAnsi="Arial"/>
          <w:sz w:val="22"/>
        </w:rP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pPr>
        <w:jc w:val="both"/>
      </w:pPr>
      <w:r>
        <w:rPr>
          <w:rFonts w:ascii="Arial" w:hAnsi="Arial"/>
          <w:sz w:val="22"/>
        </w:rPr>
        <w:t xml:space="preserve">La respuesta del Route Handler de envío también verifica este estado antes de procesarlo: si </w:t>
      </w:r>
      <w:r>
        <w:rPr>
          <w:rFonts w:ascii="Courier New" w:hAnsi="Courier New"/>
          <w:sz w:val="18"/>
        </w:rPr>
        <w:t>attempt.submitted_at</w:t>
      </w:r>
      <w:r>
        <w:rPr>
          <w:rFonts w:ascii="Arial" w:hAnsi="Arial"/>
          <w:sz w:val="22"/>
        </w:rP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pPr>
        <w:pStyle w:val="Heading2"/>
      </w:pPr>
      <w:r>
        <w:t>3.8 Modelo Big Five y evaluación psicométrica</w:t>
      </w:r>
    </w:p>
    <w:p>
      <w:pPr>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EV-5A-15-psicometrico-preguntas.png"/>
                    <pic:cNvPicPr/>
                  </pic:nvPicPr>
                  <pic:blipFill>
                    <a:blip r:embed="rId10"/>
                    <a:stretch>
                      <a:fillRect/>
                    </a:stretch>
                  </pic:blipFill>
                  <pic:spPr>
                    <a:xfrm>
                      <a:off x="0" y="0"/>
                      <a:ext cx="5040000" cy="3150000"/>
                    </a:xfrm>
                    <a:prstGeom prst="rect"/>
                  </pic:spPr>
                </pic:pic>
              </a:graphicData>
            </a:graphic>
          </wp:inline>
        </w:drawing>
      </w:r>
    </w:p>
    <w:p>
      <w:pPr>
        <w:pStyle w:val="FigureCaption"/>
      </w:pPr>
      <w:r>
        <w:t>Figura 5.19. Pantalla del TEST MINI BIG FIVE con 20 ítems Likert 1–5 y temporizador de 10 minutos. Fuente: captura de pantalla propia, 2026.</w:t>
      </w:r>
    </w:p>
    <w:p>
      <w:pPr>
        <w:jc w:val="both"/>
      </w:pPr>
      <w:r>
        <w:rPr>
          <w:rFonts w:ascii="Arial" w:hAnsi="Arial"/>
          <w:sz w:val="22"/>
        </w:rPr>
        <w:t>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entrevista breve.</w:t>
      </w:r>
    </w:p>
    <w:p>
      <w:pPr>
        <w:pStyle w:val="Heading3"/>
      </w:pPr>
      <w:r>
        <w:t>3.8.1 El modelo de los Cinco Grandes factores</w:t>
      </w:r>
    </w:p>
    <w:p>
      <w:pPr>
        <w:jc w:val="both"/>
      </w:pPr>
      <w:r>
        <w:rPr>
          <w:rFonts w:ascii="Arial" w:hAnsi="Arial"/>
          <w:sz w:val="22"/>
        </w:rPr>
        <w:t>El modelo de los Cinco Grandes factores de personalidad (</w:t>
      </w:r>
      <w:r>
        <w:rPr>
          <w:i/>
        </w:rPr>
        <w:t>Big Five</w:t>
      </w:r>
      <w:r>
        <w:rPr>
          <w:rFonts w:ascii="Arial" w:hAnsi="Arial"/>
          <w:sz w:val="22"/>
        </w:rP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pPr>
        <w:pStyle w:val="ListBullet"/>
        <w:ind w:left="567"/>
      </w:pPr>
      <w:r>
        <w:rPr>
          <w:b/>
        </w:rPr>
        <w:t>Apertura a la experiencia</w:t>
      </w:r>
      <w:r>
        <w:rPr>
          <w:rFonts w:ascii="Arial" w:hAnsi="Arial"/>
          <w:sz w:val="22"/>
        </w:rPr>
        <w:t xml:space="preserve"> (</w:t>
      </w:r>
      <w:r>
        <w:rPr>
          <w:i/>
        </w:rPr>
        <w:t>Openness to experience</w:t>
      </w:r>
      <w:r>
        <w:rPr>
          <w:rFonts w:ascii="Arial" w:hAnsi="Arial"/>
          <w:sz w:val="22"/>
        </w:rPr>
        <w:t>): tendencia hacia la curiosidad intelectual, la receptividad a ideas nuevas, la creatividad y la flexibilidad de pensamiento.</w:t>
      </w:r>
    </w:p>
    <w:p>
      <w:pPr>
        <w:pStyle w:val="ListBullet"/>
        <w:ind w:left="567"/>
      </w:pPr>
      <w:r>
        <w:rPr>
          <w:b/>
        </w:rPr>
        <w:t>Responsabilidad</w:t>
      </w:r>
      <w:r>
        <w:rPr>
          <w:rFonts w:ascii="Arial" w:hAnsi="Arial"/>
          <w:sz w:val="22"/>
        </w:rPr>
        <w:t xml:space="preserve"> (</w:t>
      </w:r>
      <w:r>
        <w:rPr>
          <w:i/>
        </w:rPr>
        <w:t>Conscientiousness</w:t>
      </w:r>
      <w:r>
        <w:rPr>
          <w:rFonts w:ascii="Arial" w:hAnsi="Arial"/>
          <w:sz w:val="22"/>
        </w:rPr>
        <w:t>): disposición hacia la organización, la autodisciplina, la confiabilidad y la orientación al cumplimiento de metas.</w:t>
      </w:r>
    </w:p>
    <w:p>
      <w:pPr>
        <w:pStyle w:val="ListBullet"/>
        <w:ind w:left="567"/>
      </w:pPr>
      <w:r>
        <w:rPr>
          <w:b/>
        </w:rPr>
        <w:t>Extroversión</w:t>
      </w:r>
      <w:r>
        <w:rPr>
          <w:rFonts w:ascii="Arial" w:hAnsi="Arial"/>
          <w:sz w:val="22"/>
        </w:rPr>
        <w:t xml:space="preserve"> (</w:t>
      </w:r>
      <w:r>
        <w:rPr>
          <w:i/>
        </w:rPr>
        <w:t>Extraversion</w:t>
      </w:r>
      <w:r>
        <w:rPr>
          <w:rFonts w:ascii="Arial" w:hAnsi="Arial"/>
          <w:sz w:val="22"/>
        </w:rPr>
        <w:t>): tendencia a la sociabilidad, la asertividad, el entusiasmo y la búsqueda de estimulación social.</w:t>
      </w:r>
    </w:p>
    <w:p>
      <w:pPr>
        <w:pStyle w:val="ListBullet"/>
        <w:ind w:left="567"/>
      </w:pPr>
      <w:r>
        <w:rPr>
          <w:b/>
        </w:rPr>
        <w:t>Amabilidad</w:t>
      </w:r>
      <w:r>
        <w:rPr>
          <w:rFonts w:ascii="Arial" w:hAnsi="Arial"/>
          <w:sz w:val="22"/>
        </w:rPr>
        <w:t xml:space="preserve"> (</w:t>
      </w:r>
      <w:r>
        <w:rPr>
          <w:i/>
        </w:rPr>
        <w:t>Agreeableness</w:t>
      </w:r>
      <w:r>
        <w:rPr>
          <w:rFonts w:ascii="Arial" w:hAnsi="Arial"/>
          <w:sz w:val="22"/>
        </w:rPr>
        <w:t>): inclinación hacia la cooperación, la empatía, la confianza en los demás y el comportamiento prosocial.</w:t>
      </w:r>
    </w:p>
    <w:p>
      <w:pPr>
        <w:pStyle w:val="ListBullet"/>
        <w:ind w:left="567"/>
      </w:pPr>
      <w:r>
        <w:rPr>
          <w:b/>
        </w:rPr>
        <w:t>Estabilidad emocional</w:t>
      </w:r>
      <w:r>
        <w:rPr>
          <w:rFonts w:ascii="Arial" w:hAnsi="Arial"/>
          <w:sz w:val="22"/>
        </w:rPr>
        <w:t xml:space="preserve"> (</w:t>
      </w:r>
      <w:r>
        <w:rPr>
          <w:i/>
        </w:rPr>
        <w:t>Neuroticism</w:t>
      </w:r>
      <w:r>
        <w:rPr>
          <w:rFonts w:ascii="Arial" w:hAnsi="Arial"/>
          <w:sz w:val="22"/>
        </w:rPr>
        <w:t>, medido inversamente): grado en que la persona experimenta con menor frecuencia emociones negativas como ansiedad, irritabilidad y vulnerabilidad al estrés.</w:t>
      </w:r>
    </w:p>
    <w:p>
      <w:pPr>
        <w:jc w:val="both"/>
      </w:pPr>
      <w:r>
        <w:rPr>
          <w:rFonts w:ascii="Arial" w:hAnsi="Arial"/>
          <w:sz w:val="22"/>
        </w:rP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pPr>
        <w:pStyle w:val="Heading3"/>
      </w:pPr>
      <w:r>
        <w:t>3.8.2 Escalas tipo Likert</w:t>
      </w:r>
    </w:p>
    <w:p>
      <w:pPr>
        <w:jc w:val="both"/>
      </w:pPr>
      <w:r>
        <w:rPr>
          <w:rFonts w:ascii="Arial" w:hAnsi="Arial"/>
          <w:sz w:val="22"/>
        </w:rP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respondiente en la dimensión medida.</w:t>
      </w:r>
    </w:p>
    <w:p>
      <w:pPr>
        <w:jc w:val="both"/>
      </w:pPr>
      <w:r>
        <w:rPr>
          <w:rFonts w:ascii="Arial" w:hAnsi="Arial"/>
          <w:sz w:val="22"/>
        </w:rP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pPr>
        <w:pStyle w:val="Heading3"/>
      </w:pPr>
      <w:r>
        <w:t>3.8.3 Implementación en UCES Plataforma de Talento</w:t>
      </w:r>
    </w:p>
    <w:p>
      <w:pPr>
        <w:jc w:val="both"/>
      </w:pPr>
      <w:r>
        <w:rPr>
          <w:rFonts w:ascii="Arial" w:hAnsi="Arial"/>
          <w:sz w:val="22"/>
        </w:rP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 cuestionario fue proporcionado por personal del área de Recursos Humanos de UCES con la denominación "TEST MINI BIG FIVE", y su origen, proceso de adaptación y propiedades psicométricas formales no están disponibles en el expediente técnico del proyecto.</w:t>
      </w:r>
    </w:p>
    <w:p>
      <w:pPr>
        <w:jc w:val="both"/>
      </w:pPr>
      <w:r>
        <w:rPr>
          <w:rFonts w:ascii="Arial" w:hAnsi="Arial"/>
          <w:sz w:val="22"/>
        </w:rPr>
        <w:t xml:space="preserve">La lógica de cálculo, implementada en </w:t>
      </w:r>
      <w:r>
        <w:rPr>
          <w:rFonts w:ascii="Courier New" w:hAnsi="Courier New"/>
          <w:sz w:val="18"/>
        </w:rPr>
        <w:t>lib/psicometricoResults.ts</w:t>
      </w:r>
      <w:r>
        <w:rPr>
          <w:rFonts w:ascii="Arial" w:hAnsi="Arial"/>
          <w:sz w:val="22"/>
        </w:rP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pPr>
        <w:jc w:val="both"/>
      </w:pPr>
      <w:r>
        <w:rPr>
          <w:rFonts w:ascii="Arial" w:hAnsi="Arial"/>
          <w:sz w:val="22"/>
        </w:rP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pPr>
        <w:jc w:val="both"/>
      </w:pPr>
      <w:r>
        <w:rPr>
          <w:rFonts w:ascii="Arial" w:hAnsi="Arial"/>
          <w:sz w:val="22"/>
        </w:rPr>
        <w:t xml:space="preserve">Los resultados del instrumento se almacenan como objeto JSONB en el campo </w:t>
      </w:r>
      <w:r>
        <w:rPr>
          <w:rFonts w:ascii="Courier New" w:hAnsi="Courier New"/>
          <w:sz w:val="18"/>
        </w:rPr>
        <w:t>psychometric_summary</w:t>
      </w:r>
      <w:r>
        <w:rPr>
          <w:rFonts w:ascii="Arial" w:hAnsi="Arial"/>
          <w:sz w:val="22"/>
        </w:rPr>
        <w:t xml:space="preserve"> de la tabla </w:t>
      </w:r>
      <w:r>
        <w:rPr>
          <w:rFonts w:ascii="Courier New" w:hAnsi="Courier New"/>
          <w:sz w:val="18"/>
        </w:rPr>
        <w:t>attempts</w:t>
      </w:r>
      <w:r>
        <w:rPr>
          <w:rFonts w:ascii="Arial" w:hAnsi="Arial"/>
          <w:sz w:val="22"/>
        </w:rPr>
        <w:t>, preservando tanto las puntuaciones por rasgo como el número de preguntas respondidas y metadatos del envío. Esto permite al administrador consultar el perfil completo del candidato sin necesidad de reconstruirlo a partir de las respuestas individuales.</w:t>
      </w:r>
    </w:p>
    <w:p>
      <w:pPr>
        <w:pStyle w:val="Heading2"/>
      </w:pPr>
      <w:r>
        <w:t>3.9 Diseño de interfaces y experiencia de usuario</w:t>
      </w:r>
    </w:p>
    <w:p>
      <w:pPr>
        <w:jc w:val="both"/>
      </w:pPr>
      <w:r>
        <w:rPr>
          <w:rFonts w:ascii="Arial" w:hAnsi="Arial"/>
          <w:sz w:val="22"/>
        </w:rP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pPr>
        <w:jc w:val="both"/>
      </w:pPr>
      <w:r>
        <w:rPr>
          <w:rFonts w:ascii="Arial" w:hAnsi="Arial"/>
          <w:sz w:val="22"/>
        </w:rPr>
        <w:t>Algunos principios de usabilidad relevantes para sistemas de evaluación como el de UCES son:</w:t>
      </w:r>
    </w:p>
    <w:p>
      <w:pPr>
        <w:pStyle w:val="ListBullet"/>
        <w:ind w:left="567"/>
      </w:pPr>
      <w:r>
        <w:rPr>
          <w:b/>
        </w:rPr>
        <w:t>Visibilidad del estado del sistema</w:t>
      </w:r>
      <w:r>
        <w:rPr>
          <w:rFonts w:ascii="Arial" w:hAnsi="Arial"/>
          <w:sz w:val="22"/>
        </w:rPr>
        <w:t>: el usuario debe saber en todo momento en qué parte del proceso se encuentra, qué ha completado y qué falta. En el sistema, el temporizador visible y los indicadores de sección del cuestionario cumplen esta función.</w:t>
      </w:r>
    </w:p>
    <w:p>
      <w:pPr>
        <w:pStyle w:val="ListBullet"/>
        <w:ind w:left="567"/>
      </w:pPr>
      <w:r>
        <w:rPr>
          <w:b/>
        </w:rPr>
        <w:t>Prevención de errores</w:t>
      </w:r>
      <w:r>
        <w:rPr>
          <w:rFonts w:ascii="Arial" w:hAnsi="Arial"/>
          <w:sz w:val="22"/>
        </w:rPr>
        <w:t>: es preferible diseñar para que los errores sean difíciles de cometer, antes que depender en la detección y recuperación. La validación de la CURP en el registro —que verifica el formato antes de enviar la solicitud— es un ejemplo de esta estrategia.</w:t>
      </w:r>
    </w:p>
    <w:p>
      <w:pPr>
        <w:pStyle w:val="ListBullet"/>
        <w:ind w:left="567"/>
      </w:pPr>
      <w:r>
        <w:rPr>
          <w:b/>
        </w:rPr>
        <w:t>Consistencia y estándares</w:t>
      </w:r>
      <w:r>
        <w:rPr>
          <w:rFonts w:ascii="Arial" w:hAnsi="Arial"/>
          <w:sz w:val="22"/>
        </w:rP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pPr>
        <w:pStyle w:val="ListBullet"/>
        <w:ind w:left="567"/>
      </w:pPr>
      <w:r>
        <w:rPr>
          <w:b/>
        </w:rPr>
        <w:t>Retroalimentación</w:t>
      </w:r>
      <w:r>
        <w:rPr>
          <w:rFonts w:ascii="Arial" w:hAnsi="Arial"/>
          <w:sz w:val="22"/>
        </w:rPr>
        <w:t>: las acciones del usuario deben tener respuesta visible. Los estados de carga, los mensajes de error descriptivos y las confirmaciones de operaciones exitosas informan al usuario que el sistema recibió su acción y está procesándola.</w:t>
      </w:r>
    </w:p>
    <w:p>
      <w:pPr>
        <w:pStyle w:val="Heading3"/>
      </w:pPr>
      <w:r>
        <w:t>3.9.1 Tailwind CSS y shadcn/ui</w:t>
      </w:r>
    </w:p>
    <w:p>
      <w:pPr>
        <w:jc w:val="both"/>
      </w:pPr>
      <w:r>
        <w:rPr>
          <w:rFonts w:ascii="Arial" w:hAnsi="Arial"/>
          <w:sz w:val="22"/>
        </w:rPr>
        <w:t>Tailwind CSS es un framework de estilos que provee clases utilitarias de bajo nivel —</w:t>
      </w:r>
      <w:r>
        <w:rPr>
          <w:rFonts w:ascii="Courier New" w:hAnsi="Courier New"/>
          <w:sz w:val="18"/>
        </w:rPr>
        <w:t>flex</w:t>
      </w:r>
      <w:r>
        <w:rPr>
          <w:rFonts w:ascii="Arial" w:hAnsi="Arial"/>
          <w:sz w:val="22"/>
        </w:rPr>
        <w:t xml:space="preserve">, </w:t>
      </w:r>
      <w:r>
        <w:rPr>
          <w:rFonts w:ascii="Courier New" w:hAnsi="Courier New"/>
          <w:sz w:val="18"/>
        </w:rPr>
        <w:t>p-4</w:t>
      </w:r>
      <w:r>
        <w:rPr>
          <w:rFonts w:ascii="Arial" w:hAnsi="Arial"/>
          <w:sz w:val="22"/>
        </w:rPr>
        <w:t xml:space="preserve">, </w:t>
      </w:r>
      <w:r>
        <w:rPr>
          <w:rFonts w:ascii="Courier New" w:hAnsi="Courier New"/>
          <w:sz w:val="18"/>
        </w:rPr>
        <w:t>text-sm</w:t>
      </w:r>
      <w:r>
        <w:rPr>
          <w:rFonts w:ascii="Arial" w:hAnsi="Arial"/>
          <w:sz w:val="22"/>
        </w:rPr>
        <w:t xml:space="preserve">, </w:t>
      </w:r>
      <w:r>
        <w:rPr>
          <w:rFonts w:ascii="Courier New" w:hAnsi="Courier New"/>
          <w:sz w:val="18"/>
        </w:rPr>
        <w:t>rounded-lg</w:t>
      </w:r>
      <w:r>
        <w:rPr>
          <w:rFonts w:ascii="Arial" w:hAnsi="Arial"/>
          <w:sz w:val="22"/>
        </w:rP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pPr>
        <w:jc w:val="both"/>
      </w:pPr>
      <w:r>
        <w:rPr>
          <w:rFonts w:ascii="Arial" w:hAnsi="Arial"/>
          <w:sz w:val="22"/>
        </w:rP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modificarlos directamente sin depender de una versión específica de la biblioteca.</w:t>
      </w:r>
    </w:p>
    <w:p>
      <w:pPr>
        <w:jc w:val="both"/>
      </w:pPr>
      <w:r>
        <w:rPr>
          <w:rFonts w:ascii="Arial" w:hAnsi="Arial"/>
          <w:sz w:val="22"/>
        </w:rP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pPr>
        <w:pStyle w:val="Heading2"/>
      </w:pPr>
      <w:r>
        <w:t>3.10 Despliegue de aplicaciones web en la nube</w:t>
      </w:r>
    </w:p>
    <w:p>
      <w:pPr>
        <w:jc w:val="both"/>
      </w:pPr>
      <w:r>
        <w:rPr>
          <w:rFonts w:ascii="Arial" w:hAnsi="Arial"/>
          <w:sz w:val="22"/>
        </w:rPr>
        <w:t>El despliegue (</w:t>
      </w:r>
      <w:r>
        <w:rPr>
          <w:i/>
        </w:rPr>
        <w:t>deployment</w:t>
      </w:r>
      <w:r>
        <w:rPr>
          <w:rFonts w:ascii="Arial" w:hAnsi="Arial"/>
          <w:sz w:val="22"/>
        </w:rP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pPr>
        <w:jc w:val="both"/>
      </w:pPr>
      <w:r>
        <w:rPr>
          <w:rFonts w:ascii="Arial" w:hAnsi="Arial"/>
          <w:sz w:val="22"/>
        </w:rPr>
        <w:t xml:space="preserve">Un aspecto fundamental del despliegue es la separación entre entornos. El entorno de </w:t>
      </w:r>
      <w:r>
        <w:rPr>
          <w:b/>
        </w:rPr>
        <w:t>desarrollo</w:t>
      </w:r>
      <w:r>
        <w:rPr>
          <w:rFonts w:ascii="Arial" w:hAnsi="Arial"/>
          <w:sz w:val="22"/>
        </w:rPr>
        <w:t xml:space="preserve"> es donde el programador escribe y prueba el código; normalmente opera con bases de datos locales o de prueba y con variables de configuración que no corresponden al servicio real. El entorno de </w:t>
      </w:r>
      <w:r>
        <w:rPr>
          <w:b/>
        </w:rPr>
        <w:t>producción</w:t>
      </w:r>
      <w:r>
        <w:rPr>
          <w:rFonts w:ascii="Arial" w:hAnsi="Arial"/>
          <w:sz w:val="22"/>
        </w:rP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pPr>
        <w:pStyle w:val="Heading3"/>
      </w:pPr>
      <w:r>
        <w:t>3.10.1 Variables de entorno</w:t>
      </w:r>
    </w:p>
    <w:p>
      <w:pPr>
        <w:jc w:val="both"/>
      </w:pPr>
      <w:r>
        <w:rPr>
          <w:rFonts w:ascii="Arial" w:hAnsi="Arial"/>
          <w:sz w:val="22"/>
        </w:rP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fuente.</w:t>
      </w:r>
    </w:p>
    <w:p>
      <w:pPr>
        <w:jc w:val="both"/>
      </w:pPr>
      <w:r>
        <w:rPr>
          <w:rFonts w:ascii="Arial" w:hAnsi="Arial"/>
          <w:sz w:val="22"/>
        </w:rPr>
        <w:t xml:space="preserve">En UCES Plataforma de Talento, las variables de entorno relevantes son: </w:t>
      </w:r>
      <w:r>
        <w:rPr>
          <w:rFonts w:ascii="Courier New" w:hAnsi="Courier New"/>
          <w:sz w:val="18"/>
        </w:rPr>
        <w:t>NEXT_PUBLIC_SUPABASE_URL</w:t>
      </w:r>
      <w:r>
        <w:rPr>
          <w:rFonts w:ascii="Arial" w:hAnsi="Arial"/>
          <w:sz w:val="22"/>
        </w:rPr>
        <w:t xml:space="preserve"> y </w:t>
      </w:r>
      <w:r>
        <w:rPr>
          <w:rFonts w:ascii="Courier New" w:hAnsi="Courier New"/>
          <w:sz w:val="18"/>
        </w:rPr>
        <w:t>NEXT_PUBLIC_SUPABASE_ANON_KEY</w:t>
      </w:r>
      <w:r>
        <w:rPr>
          <w:rFonts w:ascii="Arial" w:hAnsi="Arial"/>
          <w:sz w:val="22"/>
        </w:rPr>
        <w:t xml:space="preserve"> (accesibles desde el navegador, por eso el prefijo </w:t>
      </w:r>
      <w:r>
        <w:rPr>
          <w:rFonts w:ascii="Courier New" w:hAnsi="Courier New"/>
          <w:sz w:val="18"/>
        </w:rPr>
        <w:t>NEXT_PUBLIC_</w:t>
      </w:r>
      <w:r>
        <w:rPr>
          <w:rFonts w:ascii="Arial" w:hAnsi="Arial"/>
          <w:sz w:val="22"/>
        </w:rPr>
        <w:t xml:space="preserve">), </w:t>
      </w:r>
      <w:r>
        <w:rPr>
          <w:rFonts w:ascii="Courier New" w:hAnsi="Courier New"/>
          <w:sz w:val="18"/>
        </w:rPr>
        <w:t>SUPABASE_SERVICE_ROLE_KEY</w:t>
      </w:r>
      <w:r>
        <w:rPr>
          <w:rFonts w:ascii="Arial" w:hAnsi="Arial"/>
          <w:sz w:val="22"/>
        </w:rPr>
        <w:t xml:space="preserve"> (disponible solo en el servidor, nunca expuesta al cliente) y </w:t>
      </w:r>
      <w:r>
        <w:rPr>
          <w:rFonts w:ascii="Courier New" w:hAnsi="Courier New"/>
          <w:sz w:val="18"/>
        </w:rPr>
        <w:t>CURP_HASH_SECRET</w:t>
      </w:r>
      <w:r>
        <w:rPr>
          <w:rFonts w:ascii="Arial" w:hAnsi="Arial"/>
          <w:sz w:val="22"/>
        </w:rPr>
        <w:t xml:space="preserve"> (la clave de HMAC, solo disponible en el servidor). La convención de Next.js de usar el prefijo </w:t>
      </w:r>
      <w:r>
        <w:rPr>
          <w:rFonts w:ascii="Courier New" w:hAnsi="Courier New"/>
          <w:sz w:val="18"/>
        </w:rPr>
        <w:t>NEXT_PUBLIC_</w:t>
      </w:r>
      <w:r>
        <w:rPr>
          <w:rFonts w:ascii="Arial" w:hAnsi="Arial"/>
          <w:sz w:val="22"/>
        </w:rPr>
        <w:t xml:space="preserve"> para variables accesibles en el cliente y omitirlo para las exclusivas del servidor es un mecanismo de seguridad por convención: garantiza que las claves sensibles no se incluyan en el bundle de JavaScript enviado al navegador.</w:t>
      </w:r>
    </w:p>
    <w:p>
      <w:pPr>
        <w:pStyle w:val="Heading3"/>
      </w:pPr>
      <w:r>
        <w:t>3.10.2 Vercel y el despliegue de Next.js</w:t>
      </w:r>
    </w:p>
    <w:p>
      <w:pPr>
        <w:jc w:val="both"/>
      </w:pPr>
      <w:r>
        <w:rPr>
          <w:rFonts w:ascii="Arial" w:hAnsi="Arial"/>
          <w:sz w:val="22"/>
        </w:rP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rPr>
          <w:rFonts w:ascii="Arial" w:hAnsi="Arial"/>
          <w:sz w:val="22"/>
        </w:rPr>
        <w:t>) distribuidas geográficamente, lo que elimina la necesidad de administrar servidores dedicados.</w:t>
      </w:r>
    </w:p>
    <w:p>
      <w:pPr>
        <w:jc w:val="both"/>
      </w:pPr>
      <w:r>
        <w:rPr>
          <w:rFonts w:ascii="Arial" w:hAnsi="Arial"/>
          <w:sz w:val="22"/>
        </w:rPr>
        <w:t xml:space="preserve">La integración con servicios de control de versiones como GitHub permite configurar despliegues automáticos: cada </w:t>
      </w:r>
      <w:r>
        <w:rPr>
          <w:i/>
        </w:rPr>
        <w:t>push</w:t>
      </w:r>
      <w:r>
        <w:rPr>
          <w:rFonts w:ascii="Arial" w:hAnsi="Arial"/>
          <w:sz w:val="22"/>
        </w:rPr>
        <w:t xml:space="preserve"> a la rama principal activa una nueva construcción y despliegue, y cada </w:t>
      </w:r>
      <w:r>
        <w:rPr>
          <w:i/>
        </w:rPr>
        <w:t>pull request</w:t>
      </w:r>
      <w:r>
        <w:rPr>
          <w:rFonts w:ascii="Arial" w:hAnsi="Arial"/>
          <w:sz w:val="22"/>
        </w:rPr>
        <w:t xml:space="preserve"> genera un entorno de vista previa (</w:t>
      </w:r>
      <w:r>
        <w:rPr>
          <w:i/>
        </w:rPr>
        <w:t>preview deployment</w:t>
      </w:r>
      <w:r>
        <w:rPr>
          <w:rFonts w:ascii="Arial" w:hAnsi="Arial"/>
          <w:sz w:val="22"/>
        </w:rPr>
        <w:t>) con una URL única. Este flujo de trabajo facilita la revisión de cambios antes de que lleguen a producción.</w:t>
      </w:r>
    </w:p>
    <w:p>
      <w:pPr>
        <w:jc w:val="both"/>
      </w:pPr>
      <w:r>
        <w:rPr>
          <w:rFonts w:ascii="Arial" w:hAnsi="Arial"/>
          <w:sz w:val="22"/>
        </w:rP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pPr>
        <w:pStyle w:val="Heading2"/>
      </w:pPr>
      <w:r>
        <w:t>3.11 Conclusiones del capítulo</w:t>
      </w:r>
    </w:p>
    <w:p>
      <w:pPr>
        <w:jc w:val="both"/>
      </w:pPr>
      <w:r>
        <w:rPr>
          <w:rFonts w:ascii="Arial" w:hAnsi="Arial"/>
          <w:sz w:val="22"/>
        </w:rP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pPr>
        <w:jc w:val="both"/>
      </w:pPr>
      <w:r>
        <w:rPr>
          <w:rFonts w:ascii="Arial" w:hAnsi="Arial"/>
          <w:sz w:val="22"/>
        </w:rP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rPr>
          <w:rFonts w:ascii="Arial" w:hAnsi="Arial"/>
          <w:sz w:val="22"/>
        </w:rPr>
        <w:t xml:space="preserve"> permitieron definir reglas de acceso que operan directamente sobre los datos, independientemente del código de la aplicación.</w:t>
      </w:r>
    </w:p>
    <w:p>
      <w:pPr>
        <w:jc w:val="both"/>
      </w:pPr>
      <w:r>
        <w:rPr>
          <w:rFonts w:ascii="Arial" w:hAnsi="Arial"/>
          <w:sz w:val="22"/>
        </w:rP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accesible sin comprometer la velocidad de desarrollo.</w:t>
      </w:r>
    </w:p>
    <w:p>
      <w:pPr>
        <w:jc w:val="both"/>
      </w:pPr>
      <w:r>
        <w:rPr>
          <w:rFonts w:ascii="Arial" w:hAnsi="Arial"/>
          <w:sz w:val="22"/>
        </w:rP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r>
        <w:br w:type="page"/>
      </w:r>
    </w:p>
    <w:p>
      <w:pPr>
        <w:pStyle w:val="Heading1"/>
      </w:pPr>
      <w:r>
        <w:t>Capítulo IV. Metodología de desarrollo</w:t>
      </w:r>
    </w:p>
    <w:p>
      <w:pPr>
        <w:pStyle w:val="Heading2"/>
      </w:pPr>
      <w:r>
        <w:t>4.1 Selección y justificación de la metodología</w:t>
      </w:r>
    </w:p>
    <w:p>
      <w:pPr>
        <w:jc w:val="both"/>
      </w:pPr>
      <w:r>
        <w:rPr>
          <w:rFonts w:ascii="Arial" w:hAnsi="Arial"/>
          <w:sz w:val="22"/>
        </w:rP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rPr>
          <w:rFonts w:ascii="Arial" w:hAnsi="Arial"/>
          <w:sz w:val="22"/>
        </w:rPr>
        <w:t>, identificado formalmente en el Trabajo A de análisis y diseño como la metodología más adecuada para el contexto del proyecto (Arciniega Robles, 2026).</w:t>
      </w:r>
    </w:p>
    <w:p>
      <w:pPr>
        <w:jc w:val="both"/>
      </w:pPr>
      <w:r>
        <w:rPr>
          <w:rFonts w:ascii="Arial" w:hAnsi="Arial"/>
          <w:sz w:val="22"/>
        </w:rP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donde cada fase debe completarse antes de avanzar a la siguiente, el prototipado evolutivo acepta que los requisitos se clarifican y se estabilizan de manera progresiva conforme el sistema toma forma.</w:t>
      </w:r>
    </w:p>
    <w:p>
      <w:pPr>
        <w:jc w:val="both"/>
      </w:pPr>
      <w:r>
        <w:rPr>
          <w:rFonts w:ascii="Arial" w:hAnsi="Arial"/>
          <w:sz w:val="22"/>
        </w:rPr>
        <w:t>Para el proyecto de UCES, tres características del contexto hacen pertinente esta metodología:</w:t>
      </w:r>
    </w:p>
    <w:p>
      <w:pPr>
        <w:jc w:val="both"/>
      </w:pPr>
      <w:r>
        <w:rPr>
          <w:b/>
        </w:rPr>
        <w:t>Naturaleza progresiva de los requisitos.</w:t>
      </w:r>
      <w:r>
        <w:rPr>
          <w:rFonts w:ascii="Arial" w:hAnsi="Arial"/>
          <w:sz w:val="22"/>
        </w:rP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pPr>
        <w:jc w:val="both"/>
      </w:pPr>
      <w:r>
        <w:rPr>
          <w:b/>
        </w:rPr>
        <w:t>Necesidad de verificación mediante software funcional.</w:t>
      </w:r>
      <w:r>
        <w:rPr>
          <w:rFonts w:ascii="Arial" w:hAnsi="Arial"/>
          <w:sz w:val="22"/>
        </w:rP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pPr>
        <w:jc w:val="both"/>
      </w:pPr>
      <w:r>
        <w:rPr>
          <w:b/>
        </w:rPr>
        <w:t>Equipo reducido y alcance de MVP.</w:t>
      </w:r>
      <w:r>
        <w:rPr>
          <w:rFonts w:ascii="Arial" w:hAnsi="Arial"/>
          <w:sz w:val="22"/>
        </w:rP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pPr>
        <w:pStyle w:val="Heading2"/>
      </w:pPr>
      <w:r>
        <w:t>4.2 Organización general del desarrollo</w:t>
      </w:r>
    </w:p>
    <w:p>
      <w:pPr>
        <w:jc w:val="both"/>
      </w:pPr>
      <w:r>
        <w:rPr>
          <w:rFonts w:ascii="Arial" w:hAnsi="Arial"/>
          <w:sz w:val="22"/>
        </w:rPr>
        <w:t>El proceso de desarrollo se organizó en torno a las siguientes actividades técnicas, que se repitieron de manera cíclica a medida que el sistema crecía en funcionalidades:</w:t>
      </w:r>
    </w:p>
    <w:p>
      <w:pPr>
        <w:pStyle w:val="ListNumber"/>
      </w:pPr>
      <w:r>
        <w:rPr>
          <w:b/>
        </w:rPr>
        <w:t>Comprensión de los requisitos del incremento.</w:t>
      </w:r>
      <w:r>
        <w:rPr>
          <w:rFonts w:ascii="Arial" w:hAnsi="Arial"/>
          <w:sz w:val="22"/>
        </w:rPr>
        <w:t xml:space="preserve"> Antes de implementar cada grupo de funcionalidades, se revisaban los requisitos correspondientes del Trabajo A, se identificaban las tablas de base de datos involucradas y se determinaban los endpoints de API necesarios.</w:t>
      </w:r>
    </w:p>
    <w:p>
      <w:pPr>
        <w:pStyle w:val="ListNumber"/>
      </w:pPr>
      <w:r>
        <w:rPr>
          <w:b/>
        </w:rPr>
        <w:t>Diseño de los componentes del incremento.</w:t>
      </w:r>
      <w:r>
        <w:rPr>
          <w:rFonts w:ascii="Arial" w:hAnsi="Arial"/>
          <w:sz w:val="22"/>
        </w:rPr>
        <w:t xml:space="preserve"> Se definían las rutas de Next.js que se crearían o modificarían, los tipos TypeScript necesarios para las estructuras de datos, y las consultas o mutaciones a Supabase que cada operación requería.</w:t>
      </w:r>
    </w:p>
    <w:p>
      <w:pPr>
        <w:pStyle w:val="ListNumber"/>
      </w:pPr>
      <w:r>
        <w:rPr>
          <w:b/>
        </w:rPr>
        <w:t>Construcción de las funcionalidades.</w:t>
      </w:r>
      <w:r>
        <w:rPr>
          <w:rFonts w:ascii="Arial" w:hAnsi="Arial"/>
          <w:sz w:val="22"/>
        </w:rPr>
        <w:t xml:space="preserve"> Se implementaban los Server Components, Client Components y Route Handlers correspondientes, junto con los ajustes necesarios al esquema de base de datos si el incremento requería nuevas tablas o columnas.</w:t>
      </w:r>
    </w:p>
    <w:p>
      <w:pPr>
        <w:pStyle w:val="ListNumber"/>
      </w:pPr>
      <w:r>
        <w:rPr>
          <w:b/>
        </w:rPr>
        <w:t>Integración con Supabase.</w:t>
      </w:r>
      <w:r>
        <w:rPr>
          <w:rFonts w:ascii="Arial" w:hAnsi="Arial"/>
          <w:sz w:val="22"/>
        </w:rPr>
        <w:t xml:space="preserve"> Se verificaba que las políticas de RLS aplicaran correctamente al nuevo código, que los clientes de Supabase (browser vs. server) se usaran en el contexto adecuado, y que las relaciones entre tablas funcionaran según el esquema.</w:t>
      </w:r>
    </w:p>
    <w:p>
      <w:pPr>
        <w:pStyle w:val="ListNumber"/>
      </w:pPr>
      <w:r>
        <w:rPr>
          <w:b/>
        </w:rPr>
        <w:t>Verificación funcional.</w:t>
      </w:r>
      <w:r>
        <w:rPr>
          <w:rFonts w:ascii="Arial" w:hAnsi="Arial"/>
          <w:sz w:val="22"/>
        </w:rPr>
        <w:t xml:space="preserve"> Se ejecutaba el sistema localmente y se recorría el flujo completo del incremento para confirmar que el comportamiento visible coincidía con lo esperado.</w:t>
      </w:r>
    </w:p>
    <w:p>
      <w:pPr>
        <w:pStyle w:val="ListNumber"/>
      </w:pPr>
      <w:r>
        <w:rPr>
          <w:b/>
        </w:rPr>
        <w:t>Identificación de ajustes.</w:t>
      </w:r>
      <w:r>
        <w:rPr>
          <w:rFonts w:ascii="Arial" w:hAnsi="Arial"/>
          <w:sz w:val="22"/>
        </w:rP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pPr>
        <w:pStyle w:val="ListNumber"/>
      </w:pPr>
      <w:r>
        <w:rPr>
          <w:b/>
        </w:rPr>
        <w:t>Registro en Git.</w:t>
      </w:r>
      <w:r>
        <w:rPr>
          <w:rFonts w:ascii="Arial" w:hAnsi="Arial"/>
          <w:sz w:val="22"/>
        </w:rPr>
        <w:t xml:space="preserve"> Los cambios verificados se registraban con un mensaje descriptivo que identificaba el incremento. El historial de commits es el registro primario de cómo evolucionó el sistema.</w:t>
      </w:r>
    </w:p>
    <w:p>
      <w:pPr>
        <w:jc w:val="both"/>
      </w:pPr>
      <w:r>
        <w:rPr>
          <w:b/>
        </w:rPr>
        <w:t>Sobre la reconstrucción del proceso.</w:t>
      </w:r>
      <w:r>
        <w:rPr>
          <w:rFonts w:ascii="Arial" w:hAnsi="Arial"/>
          <w:sz w:val="22"/>
        </w:rP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pPr>
        <w:pStyle w:val="Heading2"/>
      </w:pPr>
      <w:r>
        <w:t>4.3 Preparación del entorno de desarrollo</w:t>
      </w:r>
    </w:p>
    <w:p>
      <w:pPr>
        <w:jc w:val="both"/>
      </w:pPr>
      <w:r>
        <w:rPr>
          <w:rFonts w:ascii="Arial" w:hAnsi="Arial"/>
          <w:sz w:val="22"/>
        </w:rPr>
        <w:t xml:space="preserve">El entorno de desarrollo se configuró como un monorepo con dos directorios principales: </w:t>
      </w:r>
      <w:r>
        <w:rPr>
          <w:rFonts w:ascii="Courier New" w:hAnsi="Courier New"/>
          <w:sz w:val="18"/>
        </w:rPr>
        <w:t>my-app/</w:t>
      </w:r>
      <w:r>
        <w:rPr>
          <w:rFonts w:ascii="Arial" w:hAnsi="Arial"/>
          <w:sz w:val="22"/>
        </w:rPr>
        <w:t xml:space="preserve">, que contiene la aplicación Next.js completa, y </w:t>
      </w:r>
      <w:r>
        <w:rPr>
          <w:rFonts w:ascii="Courier New" w:hAnsi="Courier New"/>
          <w:sz w:val="18"/>
        </w:rPr>
        <w:t>supabase/</w:t>
      </w:r>
      <w:r>
        <w:rPr>
          <w:rFonts w:ascii="Arial" w:hAnsi="Arial"/>
          <w:sz w:val="22"/>
        </w:rP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pPr>
        <w:jc w:val="both"/>
      </w:pPr>
      <w:r>
        <w:rPr>
          <w:rFonts w:ascii="Arial" w:hAnsi="Arial"/>
          <w:sz w:val="22"/>
        </w:rPr>
        <w:t>Las herramientas principales del entorno fueron:</w:t>
      </w:r>
    </w:p>
    <w:p>
      <w:pPr>
        <w:pStyle w:val="ListBullet"/>
        <w:ind w:left="567"/>
      </w:pPr>
      <w:r>
        <w:rPr>
          <w:b/>
        </w:rPr>
        <w:t>Node.js</w:t>
      </w:r>
      <w:r>
        <w:rPr>
          <w:rFonts w:ascii="Arial" w:hAnsi="Arial"/>
          <w:sz w:val="22"/>
        </w:rPr>
        <w:t xml:space="preserve"> (versión ^20 según </w:t>
      </w:r>
      <w:r>
        <w:rPr>
          <w:rFonts w:ascii="Courier New" w:hAnsi="Courier New"/>
          <w:sz w:val="18"/>
        </w:rPr>
        <w:t>package.json</w:t>
      </w:r>
      <w:r>
        <w:rPr>
          <w:rFonts w:ascii="Arial" w:hAnsi="Arial"/>
          <w:sz w:val="22"/>
        </w:rPr>
        <w:t>) como entorno de ejecución de JavaScript y gestor del servidor de desarrollo de Next.js.</w:t>
      </w:r>
    </w:p>
    <w:p>
      <w:pPr>
        <w:pStyle w:val="ListBullet"/>
        <w:ind w:left="567"/>
      </w:pPr>
      <w:r>
        <w:rPr>
          <w:b/>
        </w:rPr>
        <w:t>npm</w:t>
      </w:r>
      <w:r>
        <w:rPr>
          <w:rFonts w:ascii="Arial" w:hAnsi="Arial"/>
          <w:sz w:val="22"/>
        </w:rPr>
        <w:t xml:space="preserve"> como gestor de paquetes. El archivo </w:t>
      </w:r>
      <w:r>
        <w:rPr>
          <w:rFonts w:ascii="Courier New" w:hAnsi="Courier New"/>
          <w:sz w:val="18"/>
        </w:rPr>
        <w:t>package-lock.json</w:t>
      </w:r>
      <w:r>
        <w:rPr>
          <w:rFonts w:ascii="Arial" w:hAnsi="Arial"/>
          <w:sz w:val="22"/>
        </w:rPr>
        <w:t xml:space="preserve"> registra las versiones exactas de todas las dependencias instaladas.</w:t>
      </w:r>
    </w:p>
    <w:p>
      <w:pPr>
        <w:pStyle w:val="ListBullet"/>
        <w:ind w:left="567"/>
      </w:pPr>
      <w:r>
        <w:rPr>
          <w:b/>
        </w:rPr>
        <w:t>TypeScript 5</w:t>
      </w:r>
      <w:r>
        <w:rPr>
          <w:rFonts w:ascii="Arial" w:hAnsi="Arial"/>
          <w:sz w:val="22"/>
        </w:rPr>
        <w:t xml:space="preserve"> como lenguaje de programación, con configuración en </w:t>
      </w:r>
      <w:r>
        <w:rPr>
          <w:rFonts w:ascii="Courier New" w:hAnsi="Courier New"/>
          <w:sz w:val="18"/>
        </w:rPr>
        <w:t>tsconfig.json</w:t>
      </w:r>
      <w:r>
        <w:rPr>
          <w:rFonts w:ascii="Arial" w:hAnsi="Arial"/>
          <w:sz w:val="22"/>
        </w:rPr>
        <w:t>.</w:t>
      </w:r>
    </w:p>
    <w:p>
      <w:pPr>
        <w:pStyle w:val="ListBullet"/>
        <w:ind w:left="567"/>
      </w:pPr>
      <w:r>
        <w:rPr>
          <w:b/>
        </w:rPr>
        <w:t>Next.js 16.1.1</w:t>
      </w:r>
      <w:r>
        <w:rPr>
          <w:rFonts w:ascii="Arial" w:hAnsi="Arial"/>
          <w:sz w:val="22"/>
        </w:rPr>
        <w:t xml:space="preserve"> con modo desarrollo activado mediante </w:t>
      </w:r>
      <w:r>
        <w:rPr>
          <w:rFonts w:ascii="Courier New" w:hAnsi="Courier New"/>
          <w:sz w:val="18"/>
        </w:rPr>
        <w:t>npm run dev</w:t>
      </w:r>
      <w:r>
        <w:rPr>
          <w:rFonts w:ascii="Arial" w:hAnsi="Arial"/>
          <w:sz w:val="22"/>
        </w:rPr>
        <w:t>, que incluye recarga en caliente y compilación incremental.</w:t>
      </w:r>
    </w:p>
    <w:p>
      <w:pPr>
        <w:pStyle w:val="ListBullet"/>
        <w:ind w:left="567"/>
      </w:pPr>
      <w:r>
        <w:rPr>
          <w:b/>
        </w:rPr>
        <w:t>Turbopack</w:t>
      </w:r>
      <w:r>
        <w:rPr>
          <w:rFonts w:ascii="Arial" w:hAnsi="Arial"/>
          <w:sz w:val="22"/>
        </w:rPr>
        <w:t xml:space="preserve">, habilitado con </w:t>
      </w:r>
      <w:r>
        <w:rPr>
          <w:rFonts w:ascii="Courier New" w:hAnsi="Courier New"/>
          <w:sz w:val="18"/>
        </w:rPr>
        <w:t>root: __dirname</w:t>
      </w:r>
      <w:r>
        <w:rPr>
          <w:rFonts w:ascii="Arial" w:hAnsi="Arial"/>
          <w:sz w:val="22"/>
        </w:rPr>
        <w:t xml:space="preserve"> en </w:t>
      </w:r>
      <w:r>
        <w:rPr>
          <w:rFonts w:ascii="Courier New" w:hAnsi="Courier New"/>
          <w:sz w:val="18"/>
        </w:rPr>
        <w:t>next.config.ts</w:t>
      </w:r>
      <w:r>
        <w:rPr>
          <w:rFonts w:ascii="Arial" w:hAnsi="Arial"/>
          <w:sz w:val="22"/>
        </w:rPr>
        <w:t>, como compilador experimental de alta velocidad para el entorno de desarrollo.</w:t>
      </w:r>
    </w:p>
    <w:p>
      <w:pPr>
        <w:pStyle w:val="ListBullet"/>
        <w:ind w:left="567"/>
      </w:pPr>
      <w:r>
        <w:rPr>
          <w:b/>
        </w:rPr>
        <w:t>Supabase CLI</w:t>
      </w:r>
      <w:r>
        <w:rPr>
          <w:rFonts w:ascii="Arial" w:hAnsi="Arial"/>
          <w:sz w:val="22"/>
        </w:rPr>
        <w:t xml:space="preserve"> para gestionar el proyecto de base de datos, aplicar migraciones y sincronizar el esquema con la instancia remota del proyecto UcesCap.</w:t>
      </w:r>
    </w:p>
    <w:p>
      <w:pPr>
        <w:pStyle w:val="ListBullet"/>
        <w:ind w:left="567"/>
      </w:pPr>
      <w:r>
        <w:rPr>
          <w:b/>
        </w:rPr>
        <w:t>Git</w:t>
      </w:r>
      <w:r>
        <w:rPr>
          <w:rFonts w:ascii="Arial" w:hAnsi="Arial"/>
          <w:sz w:val="22"/>
        </w:rPr>
        <w:t xml:space="preserve"> para el control de versiones local.</w:t>
      </w:r>
    </w:p>
    <w:p>
      <w:pPr>
        <w:pStyle w:val="ListBullet"/>
        <w:ind w:left="567"/>
      </w:pPr>
      <w:r>
        <w:rPr>
          <w:b/>
        </w:rPr>
        <w:t>GitHub</w:t>
      </w:r>
      <w:r>
        <w:rPr>
          <w:rFonts w:ascii="Arial" w:hAnsi="Arial"/>
          <w:sz w:val="22"/>
        </w:rPr>
        <w:t xml:space="preserve"> (repositorio </w:t>
      </w:r>
      <w:r>
        <w:rPr>
          <w:rFonts w:ascii="Courier New" w:hAnsi="Courier New"/>
          <w:sz w:val="18"/>
        </w:rPr>
        <w:t>github.com/MoyRb/uces-plataforma</w:t>
      </w:r>
      <w:r>
        <w:rPr>
          <w:rFonts w:ascii="Arial" w:hAnsi="Arial"/>
          <w:sz w:val="22"/>
        </w:rPr>
        <w:t>) para el alojamiento del repositorio remoto y el registro de ramas de trabajo.</w:t>
      </w:r>
    </w:p>
    <w:p>
      <w:pPr>
        <w:jc w:val="both"/>
      </w:pPr>
      <w:r>
        <w:rPr>
          <w:rFonts w:ascii="Arial" w:hAnsi="Arial"/>
          <w:sz w:val="22"/>
        </w:rPr>
        <w:t>Las variables de entorno del proyecto —</w:t>
      </w:r>
      <w:r>
        <w:rPr>
          <w:rFonts w:ascii="Courier New" w:hAnsi="Courier New"/>
          <w:sz w:val="18"/>
        </w:rPr>
        <w:t>NEXT_PUBLIC_SUPABASE_URL</w:t>
      </w:r>
      <w:r>
        <w:rPr>
          <w:rFonts w:ascii="Arial" w:hAnsi="Arial"/>
          <w:sz w:val="22"/>
        </w:rPr>
        <w:t xml:space="preserve">, </w:t>
      </w:r>
      <w:r>
        <w:rPr>
          <w:rFonts w:ascii="Courier New" w:hAnsi="Courier New"/>
          <w:sz w:val="18"/>
        </w:rPr>
        <w:t>NEXT_PUBLIC_SUPABASE_ANON_KEY</w:t>
      </w:r>
      <w:r>
        <w:rPr>
          <w:rFonts w:ascii="Arial" w:hAnsi="Arial"/>
          <w:sz w:val="22"/>
        </w:rPr>
        <w:t xml:space="preserve">, </w:t>
      </w:r>
      <w:r>
        <w:rPr>
          <w:rFonts w:ascii="Courier New" w:hAnsi="Courier New"/>
          <w:sz w:val="18"/>
        </w:rPr>
        <w:t>SUPABASE_SERVICE_ROLE_KEY</w:t>
      </w:r>
      <w:r>
        <w:rPr>
          <w:rFonts w:ascii="Arial" w:hAnsi="Arial"/>
          <w:sz w:val="22"/>
        </w:rPr>
        <w:t xml:space="preserve"> y </w:t>
      </w:r>
      <w:r>
        <w:rPr>
          <w:rFonts w:ascii="Courier New" w:hAnsi="Courier New"/>
          <w:sz w:val="18"/>
        </w:rPr>
        <w:t>CURP_HASH_SECRET</w:t>
      </w:r>
      <w:r>
        <w:rPr>
          <w:rFonts w:ascii="Arial" w:hAnsi="Arial"/>
          <w:sz w:val="22"/>
        </w:rPr>
        <w:t xml:space="preserve">— se gestionaron mediante un archivo </w:t>
      </w:r>
      <w:r>
        <w:rPr>
          <w:rFonts w:ascii="Courier New" w:hAnsi="Courier New"/>
          <w:sz w:val="18"/>
        </w:rPr>
        <w:t>.env.local</w:t>
      </w:r>
      <w:r>
        <w:rPr>
          <w:rFonts w:ascii="Arial" w:hAnsi="Arial"/>
          <w:sz w:val="22"/>
        </w:rPr>
        <w:t xml:space="preserve"> excluido del repositorio. Su estructura se documenta en el </w:t>
      </w:r>
      <w:r>
        <w:rPr>
          <w:rFonts w:ascii="Courier New" w:hAnsi="Courier New"/>
          <w:sz w:val="18"/>
        </w:rPr>
        <w:t>README.md</w:t>
      </w:r>
      <w:r>
        <w:rPr>
          <w:rFonts w:ascii="Arial" w:hAnsi="Arial"/>
          <w:sz w:val="22"/>
        </w:rPr>
        <w:t xml:space="preserve"> del proyecto.</w:t>
      </w:r>
    </w:p>
    <w:p>
      <w:pPr>
        <w:pStyle w:val="Heading2"/>
      </w:pPr>
      <w:r>
        <w:t>4.4 Construcción incremental del sistema</w:t>
      </w:r>
    </w:p>
    <w:p>
      <w:pPr>
        <w:jc w:val="both"/>
      </w:pPr>
      <w:r>
        <w:rPr>
          <w:rFonts w:ascii="Arial" w:hAnsi="Arial"/>
          <w:sz w:val="22"/>
        </w:rPr>
        <w:t>A partir del análisis del historial de Git, el desarrollo del sistema puede reconstruirse en ocho iteraciones funcionales, organizadas cronológicamente desde el inicio del proyecto (diciembre de 2025) hasta la estabilización final (mayo de 2026).</w:t>
      </w:r>
    </w:p>
    <w:p>
      <w:pPr>
        <w:pStyle w:val="Heading3"/>
      </w:pPr>
      <w:r>
        <w:t>Iteración 1 — Andamiaje del proyecto (2025-12-30)</w:t>
      </w:r>
    </w:p>
    <w:p>
      <w:pPr>
        <w:jc w:val="both"/>
      </w:pPr>
      <w:r>
        <w:rPr>
          <w:b/>
        </w:rPr>
        <w:t>Commits de referencia:</w:t>
      </w:r>
      <w:r>
        <w:rPr>
          <w:rFonts w:ascii="Arial" w:hAnsi="Arial"/>
          <w:sz w:val="22"/>
        </w:rPr>
        <w:t xml:space="preserve"> </w:t>
      </w:r>
      <w:r>
        <w:rPr>
          <w:rFonts w:ascii="Courier New" w:hAnsi="Courier New"/>
          <w:sz w:val="18"/>
        </w:rPr>
        <w:t>2183d58</w:t>
      </w:r>
      <w:r>
        <w:rPr>
          <w:rFonts w:ascii="Arial" w:hAnsi="Arial"/>
          <w:sz w:val="22"/>
        </w:rPr>
        <w:t xml:space="preserve">, </w:t>
      </w:r>
      <w:r>
        <w:rPr>
          <w:rFonts w:ascii="Courier New" w:hAnsi="Courier New"/>
          <w:sz w:val="18"/>
        </w:rPr>
        <w:t>355a0cf</w:t>
      </w:r>
      <w:r>
        <w:rPr>
          <w:rFonts w:ascii="Arial" w:hAnsi="Arial"/>
          <w:sz w:val="22"/>
        </w:rPr>
        <w:t xml:space="preserve">, </w:t>
      </w:r>
      <w:r>
        <w:rPr>
          <w:rFonts w:ascii="Courier New" w:hAnsi="Courier New"/>
          <w:sz w:val="18"/>
        </w:rPr>
        <w:t>f562cea</w:t>
      </w:r>
      <w:r>
        <w:rPr>
          <w:rFonts w:ascii="Arial" w:hAnsi="Arial"/>
          <w:sz w:val="22"/>
        </w:rPr>
        <w:t xml:space="preserve">, </w:t>
      </w:r>
      <w:r>
        <w:rPr>
          <w:rFonts w:ascii="Courier New" w:hAnsi="Courier New"/>
          <w:sz w:val="18"/>
        </w:rPr>
        <w:t>c83fb06</w:t>
      </w:r>
    </w:p>
    <w:p>
      <w:pPr>
        <w:jc w:val="both"/>
      </w:pPr>
      <w:r>
        <w:rPr>
          <w:rFonts w:ascii="Arial" w:hAnsi="Arial"/>
          <w:sz w:val="22"/>
        </w:rP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rPr>
          <w:rFonts w:ascii="Arial" w:hAnsi="Arial"/>
          <w:sz w:val="22"/>
        </w:rPr>
        <w:t xml:space="preserve"> con las 13 tablas y sus relaciones; se escribieron las políticas iniciales de Row Level Security en </w:t>
      </w:r>
      <w:r>
        <w:rPr>
          <w:rFonts w:ascii="Courier New" w:hAnsi="Courier New"/>
          <w:sz w:val="18"/>
        </w:rPr>
        <w:t>supabase/rls.sql</w:t>
      </w:r>
      <w:r>
        <w:rPr>
          <w:rFonts w:ascii="Arial" w:hAnsi="Arial"/>
          <w:sz w:val="22"/>
        </w:rPr>
        <w:t xml:space="preserve">; y se implementaron las bibliotecas base de </w:t>
      </w:r>
      <w:r>
        <w:rPr>
          <w:rFonts w:ascii="Courier New" w:hAnsi="Courier New"/>
          <w:sz w:val="18"/>
        </w:rPr>
        <w:t>lib/curp.ts</w:t>
      </w:r>
      <w:r>
        <w:rPr>
          <w:rFonts w:ascii="Arial" w:hAnsi="Arial"/>
          <w:sz w:val="22"/>
        </w:rPr>
        <w:t xml:space="preserve">, </w:t>
      </w:r>
      <w:r>
        <w:rPr>
          <w:rFonts w:ascii="Courier New" w:hAnsi="Courier New"/>
          <w:sz w:val="18"/>
        </w:rPr>
        <w:t>lib/supabaseClient.ts</w:t>
      </w:r>
      <w:r>
        <w:rPr>
          <w:rFonts w:ascii="Arial" w:hAnsi="Arial"/>
          <w:sz w:val="22"/>
        </w:rPr>
        <w:t xml:space="preserve"> y </w:t>
      </w:r>
      <w:r>
        <w:rPr>
          <w:rFonts w:ascii="Courier New" w:hAnsi="Courier New"/>
          <w:sz w:val="18"/>
        </w:rPr>
        <w:t>lib/supabaseServer.ts</w:t>
      </w:r>
      <w:r>
        <w:rPr>
          <w:rFonts w:ascii="Arial" w:hAnsi="Arial"/>
          <w:sz w:val="22"/>
        </w:rPr>
        <w:t>.</w:t>
      </w:r>
    </w:p>
    <w:p>
      <w:pPr>
        <w:jc w:val="both"/>
      </w:pPr>
      <w:r>
        <w:rPr>
          <w:rFonts w:ascii="Arial" w:hAnsi="Arial"/>
          <w:sz w:val="22"/>
        </w:rP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pPr>
        <w:pStyle w:val="Heading3"/>
      </w:pPr>
      <w:r>
        <w:t>Iteración 2 — Autenticación, perfil candidato y flujo principal (2025-12-31)</w:t>
      </w:r>
    </w:p>
    <w:p>
      <w:pPr>
        <w:jc w:val="both"/>
      </w:pPr>
      <w:r>
        <w:rPr>
          <w:b/>
        </w:rPr>
        <w:t>Commits de referencia:</w:t>
      </w:r>
      <w:r>
        <w:rPr>
          <w:rFonts w:ascii="Arial" w:hAnsi="Arial"/>
          <w:sz w:val="22"/>
        </w:rPr>
        <w:t xml:space="preserve"> </w:t>
      </w:r>
      <w:r>
        <w:rPr>
          <w:rFonts w:ascii="Courier New" w:hAnsi="Courier New"/>
          <w:sz w:val="18"/>
        </w:rPr>
        <w:t>c3ddc61</w:t>
      </w:r>
      <w:r>
        <w:rPr>
          <w:rFonts w:ascii="Arial" w:hAnsi="Arial"/>
          <w:sz w:val="22"/>
        </w:rPr>
        <w:t xml:space="preserve">, </w:t>
      </w:r>
      <w:r>
        <w:rPr>
          <w:rFonts w:ascii="Courier New" w:hAnsi="Courier New"/>
          <w:sz w:val="18"/>
        </w:rPr>
        <w:t>24adf91</w:t>
      </w:r>
    </w:p>
    <w:p>
      <w:pPr>
        <w:jc w:val="both"/>
      </w:pPr>
      <w:r>
        <w:rPr>
          <w:rFonts w:ascii="Arial" w:hAnsi="Arial"/>
          <w:sz w:val="22"/>
        </w:rPr>
        <w:t>En una sola jornada de trabajo intensa, se implementaron las funcionalidades fundamentales del flujo del candidato:</w:t>
      </w:r>
    </w:p>
    <w:p>
      <w:pPr>
        <w:pStyle w:val="ListBullet"/>
        <w:ind w:left="567"/>
      </w:pPr>
      <w:r>
        <w:rPr>
          <w:rFonts w:ascii="Arial" w:hAnsi="Arial"/>
          <w:sz w:val="22"/>
        </w:rPr>
        <w:t xml:space="preserve">Las páginas </w:t>
      </w:r>
      <w:r>
        <w:rPr>
          <w:rFonts w:ascii="Courier New" w:hAnsi="Courier New"/>
          <w:sz w:val="18"/>
        </w:rPr>
        <w:t>/login</w:t>
      </w:r>
      <w:r>
        <w:rPr>
          <w:rFonts w:ascii="Arial" w:hAnsi="Arial"/>
          <w:sz w:val="22"/>
        </w:rPr>
        <w:t xml:space="preserve">, </w:t>
      </w:r>
      <w:r>
        <w:rPr>
          <w:rFonts w:ascii="Courier New" w:hAnsi="Courier New"/>
          <w:sz w:val="18"/>
        </w:rPr>
        <w:t>/register</w:t>
      </w:r>
      <w:r>
        <w:rPr>
          <w:rFonts w:ascii="Arial" w:hAnsi="Arial"/>
          <w:sz w:val="22"/>
        </w:rPr>
        <w:t xml:space="preserve">, </w:t>
      </w:r>
      <w:r>
        <w:rPr>
          <w:rFonts w:ascii="Courier New" w:hAnsi="Courier New"/>
          <w:sz w:val="18"/>
        </w:rPr>
        <w:t>/panel</w:t>
      </w:r>
      <w:r>
        <w:rPr>
          <w:rFonts w:ascii="Arial" w:hAnsi="Arial"/>
          <w:sz w:val="22"/>
        </w:rPr>
        <w:t>, con sus lógicas de autenticación vía Supabase Auth.</w:t>
      </w:r>
    </w:p>
    <w:p>
      <w:pPr>
        <w:pStyle w:val="ListBullet"/>
        <w:ind w:left="567"/>
      </w:pPr>
      <w:r>
        <w:rPr>
          <w:rFonts w:ascii="Arial" w:hAnsi="Arial"/>
          <w:sz w:val="22"/>
        </w:rPr>
        <w:t xml:space="preserve">El Route Handler </w:t>
      </w:r>
      <w:r>
        <w:rPr>
          <w:rFonts w:ascii="Courier New" w:hAnsi="Courier New"/>
          <w:sz w:val="18"/>
        </w:rPr>
        <w:t>POST /api/auth/register</w:t>
      </w:r>
      <w:r>
        <w:rPr>
          <w:rFonts w:ascii="Arial" w:hAnsi="Arial"/>
          <w:sz w:val="22"/>
        </w:rPr>
        <w:t xml:space="preserve"> con validación de CURP, generación de HMAC-SHA256 y creación transaccional del usuario.</w:t>
      </w:r>
    </w:p>
    <w:p>
      <w:pPr>
        <w:pStyle w:val="ListBullet"/>
        <w:ind w:left="567"/>
      </w:pPr>
      <w:r>
        <w:rPr>
          <w:rFonts w:ascii="Arial" w:hAnsi="Arial"/>
          <w:sz w:val="22"/>
        </w:rPr>
        <w:t xml:space="preserve">Una primera versión del panel </w:t>
      </w:r>
      <w:r>
        <w:rPr>
          <w:rFonts w:ascii="Courier New" w:hAnsi="Courier New"/>
          <w:sz w:val="18"/>
        </w:rPr>
        <w:t>/admin</w:t>
      </w:r>
      <w:r>
        <w:rPr>
          <w:rFonts w:ascii="Arial" w:hAnsi="Arial"/>
          <w:sz w:val="22"/>
        </w:rPr>
        <w:t>.</w:t>
      </w:r>
    </w:p>
    <w:p>
      <w:pPr>
        <w:pStyle w:val="ListBullet"/>
        <w:ind w:left="567"/>
      </w:pPr>
      <w:r>
        <w:rPr>
          <w:rFonts w:ascii="Arial" w:hAnsi="Arial"/>
          <w:sz w:val="22"/>
        </w:rPr>
        <w:t xml:space="preserve">Los módulos de evaluación: </w:t>
      </w:r>
      <w:r>
        <w:rPr>
          <w:rFonts w:ascii="Courier New" w:hAnsi="Courier New"/>
          <w:sz w:val="18"/>
        </w:rPr>
        <w:t>/vacantes/[id]</w:t>
      </w:r>
      <w:r>
        <w:rPr>
          <w:rFonts w:ascii="Arial" w:hAnsi="Arial"/>
          <w:sz w:val="22"/>
        </w:rPr>
        <w:t xml:space="preserve">, </w:t>
      </w:r>
      <w:r>
        <w:rPr>
          <w:rFonts w:ascii="Courier New" w:hAnsi="Courier New"/>
          <w:sz w:val="18"/>
        </w:rPr>
        <w:t>/modulos/[moduleId]</w:t>
      </w:r>
      <w:r>
        <w:rPr>
          <w:rFonts w:ascii="Arial" w:hAnsi="Arial"/>
          <w:sz w:val="22"/>
        </w:rPr>
        <w:t xml:space="preserve">, </w:t>
      </w:r>
      <w:r>
        <w:rPr>
          <w:rFonts w:ascii="Courier New" w:hAnsi="Courier New"/>
          <w:sz w:val="18"/>
        </w:rPr>
        <w:t>/evaluacion/[attemptId]</w:t>
      </w:r>
      <w:r>
        <w:rPr>
          <w:rFonts w:ascii="Arial" w:hAnsi="Arial"/>
          <w:sz w:val="22"/>
        </w:rPr>
        <w:t xml:space="preserve"> (con </w:t>
      </w:r>
      <w:r>
        <w:rPr>
          <w:rFonts w:ascii="Courier New" w:hAnsi="Courier New"/>
          <w:sz w:val="18"/>
        </w:rPr>
        <w:t>cliente.tsx</w:t>
      </w:r>
      <w:r>
        <w:rPr>
          <w:rFonts w:ascii="Arial" w:hAnsi="Arial"/>
          <w:sz w:val="22"/>
        </w:rPr>
        <w:t xml:space="preserve">, </w:t>
      </w:r>
      <w:r>
        <w:rPr>
          <w:rFonts w:ascii="Courier New" w:hAnsi="Courier New"/>
          <w:sz w:val="18"/>
        </w:rPr>
        <w:t>page.tsx</w:t>
      </w:r>
      <w:r>
        <w:rPr>
          <w:rFonts w:ascii="Arial" w:hAnsi="Arial"/>
          <w:sz w:val="22"/>
        </w:rPr>
        <w:t xml:space="preserve"> y </w:t>
      </w:r>
      <w:r>
        <w:rPr>
          <w:rFonts w:ascii="Courier New" w:hAnsi="Courier New"/>
          <w:sz w:val="18"/>
        </w:rPr>
        <w:t>utils.ts</w:t>
      </w:r>
      <w:r>
        <w:rPr>
          <w:rFonts w:ascii="Arial" w:hAnsi="Arial"/>
          <w:sz w:val="22"/>
        </w:rPr>
        <w:t xml:space="preserve">), y </w:t>
      </w:r>
      <w:r>
        <w:rPr>
          <w:rFonts w:ascii="Courier New" w:hAnsi="Courier New"/>
          <w:sz w:val="18"/>
        </w:rPr>
        <w:t>/resultado/[attemptId]</w:t>
      </w:r>
      <w:r>
        <w:rPr>
          <w:rFonts w:ascii="Arial" w:hAnsi="Arial"/>
          <w:sz w:val="22"/>
        </w:rPr>
        <w:t>.</w:t>
      </w:r>
    </w:p>
    <w:p>
      <w:pPr>
        <w:pStyle w:val="ListBullet"/>
        <w:ind w:left="567"/>
      </w:pPr>
      <w:r>
        <w:rPr>
          <w:rFonts w:ascii="Arial" w:hAnsi="Arial"/>
          <w:sz w:val="22"/>
        </w:rPr>
        <w:t xml:space="preserve">Los Route Handlers de candidato: </w:t>
      </w:r>
      <w:r>
        <w:rPr>
          <w:rFonts w:ascii="Courier New" w:hAnsi="Courier New"/>
          <w:sz w:val="18"/>
        </w:rPr>
        <w:t>POST /api/vacancies/[id]/apply</w:t>
      </w:r>
      <w:r>
        <w:rPr>
          <w:rFonts w:ascii="Arial" w:hAnsi="Arial"/>
          <w:sz w:val="22"/>
        </w:rPr>
        <w:t xml:space="preserve">, </w:t>
      </w:r>
      <w:r>
        <w:rPr>
          <w:rFonts w:ascii="Courier New" w:hAnsi="Courier New"/>
          <w:sz w:val="18"/>
        </w:rPr>
        <w:t>POST /api/attempts/[attemptId]/answers</w:t>
      </w:r>
      <w:r>
        <w:rPr>
          <w:rFonts w:ascii="Arial" w:hAnsi="Arial"/>
          <w:sz w:val="22"/>
        </w:rPr>
        <w:t xml:space="preserve"> y </w:t>
      </w:r>
      <w:r>
        <w:rPr>
          <w:rFonts w:ascii="Courier New" w:hAnsi="Courier New"/>
          <w:sz w:val="18"/>
        </w:rPr>
        <w:t>POST /api/attempts/[attemptId]/submit</w:t>
      </w:r>
      <w:r>
        <w:rPr>
          <w:rFonts w:ascii="Arial" w:hAnsi="Arial"/>
          <w:sz w:val="22"/>
        </w:rPr>
        <w:t>.</w:t>
      </w:r>
    </w:p>
    <w:p>
      <w:pPr>
        <w:jc w:val="both"/>
      </w:pPr>
      <w:r>
        <w:rPr>
          <w:rFonts w:ascii="Arial" w:hAnsi="Arial"/>
          <w:sz w:val="22"/>
        </w:rP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rPr>
          <w:rFonts w:ascii="Arial" w:hAnsi="Arial"/>
          <w:sz w:val="22"/>
        </w:rPr>
        <w:t xml:space="preserve"> que registra estos cambios muestra la adición de 1,170 líneas de código en 12 archivos nuevos, lo que refleja la magnitud del esfuerzo concentrado en esta etapa.</w:t>
      </w:r>
    </w:p>
    <w:p>
      <w:pPr>
        <w:pStyle w:val="Heading3"/>
      </w:pPr>
      <w:r>
        <w:t>Iteración 3 — Roles reales con Supabase (2026-02-17)</w:t>
      </w:r>
    </w:p>
    <w:p>
      <w:pPr>
        <w:jc w:val="both"/>
      </w:pPr>
      <w:r>
        <w:rPr>
          <w:b/>
        </w:rPr>
        <w:t>Commits de referencia:</w:t>
      </w:r>
      <w:r>
        <w:rPr>
          <w:rFonts w:ascii="Arial" w:hAnsi="Arial"/>
          <w:sz w:val="22"/>
        </w:rPr>
        <w:t xml:space="preserve"> </w:t>
      </w:r>
      <w:r>
        <w:rPr>
          <w:rFonts w:ascii="Courier New" w:hAnsi="Courier New"/>
          <w:sz w:val="18"/>
        </w:rPr>
        <w:t>4d9f058</w:t>
      </w:r>
      <w:r>
        <w:rPr>
          <w:rFonts w:ascii="Arial" w:hAnsi="Arial"/>
          <w:sz w:val="22"/>
        </w:rPr>
        <w:t xml:space="preserve">, </w:t>
      </w:r>
      <w:r>
        <w:rPr>
          <w:rFonts w:ascii="Courier New" w:hAnsi="Courier New"/>
          <w:sz w:val="18"/>
        </w:rPr>
        <w:t>ac9c552</w:t>
      </w:r>
    </w:p>
    <w:p>
      <w:pPr>
        <w:jc w:val="both"/>
      </w:pPr>
      <w:r>
        <w:rPr>
          <w:rFonts w:ascii="Arial" w:hAnsi="Arial"/>
          <w:sz w:val="22"/>
        </w:rPr>
        <w:t xml:space="preserve">La primera versión del sistema gestionaba el rol del usuario usando únicamente la columna </w:t>
      </w:r>
      <w:r>
        <w:rPr>
          <w:rFonts w:ascii="Courier New" w:hAnsi="Courier New"/>
          <w:sz w:val="18"/>
        </w:rPr>
        <w:t>role</w:t>
      </w:r>
      <w:r>
        <w:rPr>
          <w:rFonts w:ascii="Arial" w:hAnsi="Arial"/>
          <w:sz w:val="22"/>
        </w:rPr>
        <w:t xml:space="preserve"> de la tabla </w:t>
      </w:r>
      <w:r>
        <w:rPr>
          <w:rFonts w:ascii="Courier New" w:hAnsi="Courier New"/>
          <w:sz w:val="18"/>
        </w:rPr>
        <w:t>profiles</w:t>
      </w:r>
      <w:r>
        <w:rPr>
          <w:rFonts w:ascii="Arial" w:hAnsi="Arial"/>
          <w:sz w:val="22"/>
        </w:rPr>
        <w:t xml:space="preserve">. Esta aproximación presentaba un problema de arquitectura: las políticas de RLS que necesitaban verificar el rol del usuario debían consultar </w:t>
      </w:r>
      <w:r>
        <w:rPr>
          <w:rFonts w:ascii="Courier New" w:hAnsi="Courier New"/>
          <w:sz w:val="18"/>
        </w:rPr>
        <w:t>profiles</w:t>
      </w:r>
      <w:r>
        <w:rPr>
          <w:rFonts w:ascii="Arial" w:hAnsi="Arial"/>
          <w:sz w:val="22"/>
        </w:rPr>
        <w:t xml:space="preserve"> directamente, lo que generaba dependencias circulares al intentar aplicar la política sobre la propia tabla.</w:t>
      </w:r>
    </w:p>
    <w:p>
      <w:pPr>
        <w:jc w:val="both"/>
      </w:pPr>
      <w:r>
        <w:rPr>
          <w:rFonts w:ascii="Arial" w:hAnsi="Arial"/>
          <w:sz w:val="22"/>
        </w:rPr>
        <w:t xml:space="preserve">En esta iteración se introdujo la tabla </w:t>
      </w:r>
      <w:r>
        <w:rPr>
          <w:rFonts w:ascii="Courier New" w:hAnsi="Courier New"/>
          <w:sz w:val="18"/>
        </w:rPr>
        <w:t>user_roles</w:t>
      </w:r>
      <w:r>
        <w:rPr>
          <w:rFonts w:ascii="Arial" w:hAnsi="Arial"/>
          <w:sz w:val="22"/>
        </w:rPr>
        <w:t xml:space="preserve"> como mecanismo principal de gestión de roles, junto con la función </w:t>
      </w:r>
      <w:r>
        <w:rPr>
          <w:rFonts w:ascii="Courier New" w:hAnsi="Courier New"/>
          <w:sz w:val="18"/>
        </w:rPr>
        <w:t>get_my_role()</w:t>
      </w:r>
      <w:r>
        <w:rPr>
          <w:rFonts w:ascii="Arial" w:hAnsi="Arial"/>
          <w:sz w:val="22"/>
        </w:rPr>
        <w:t xml:space="preserve"> con cláusula </w:t>
      </w:r>
      <w:r>
        <w:rPr>
          <w:rFonts w:ascii="Courier New" w:hAnsi="Courier New"/>
          <w:sz w:val="18"/>
        </w:rPr>
        <w:t>SECURITY DEFINER</w:t>
      </w:r>
      <w:r>
        <w:rPr>
          <w:rFonts w:ascii="Arial" w:hAnsi="Arial"/>
          <w:sz w:val="22"/>
        </w:rPr>
        <w:t xml:space="preserve"> que resuelve el rol consultando primero </w:t>
      </w:r>
      <w:r>
        <w:rPr>
          <w:rFonts w:ascii="Courier New" w:hAnsi="Courier New"/>
          <w:sz w:val="18"/>
        </w:rPr>
        <w:t>user_roles</w:t>
      </w:r>
      <w:r>
        <w:rPr>
          <w:rFonts w:ascii="Arial" w:hAnsi="Arial"/>
          <w:sz w:val="22"/>
        </w:rPr>
        <w:t xml:space="preserve"> y luego cayendo al valor de </w:t>
      </w:r>
      <w:r>
        <w:rPr>
          <w:rFonts w:ascii="Courier New" w:hAnsi="Courier New"/>
          <w:sz w:val="18"/>
        </w:rPr>
        <w:t>profiles.role</w:t>
      </w:r>
      <w:r>
        <w:rPr>
          <w:rFonts w:ascii="Arial" w:hAnsi="Arial"/>
          <w:sz w:val="22"/>
        </w:rPr>
        <w:t xml:space="preserve">. El archivo </w:t>
      </w:r>
      <w:r>
        <w:rPr>
          <w:rFonts w:ascii="Courier New" w:hAnsi="Courier New"/>
          <w:sz w:val="18"/>
        </w:rPr>
        <w:t>supabase/roles.sql</w:t>
      </w:r>
      <w:r>
        <w:rPr>
          <w:rFonts w:ascii="Arial" w:hAnsi="Arial"/>
          <w:sz w:val="22"/>
        </w:rPr>
        <w:t xml:space="preserve"> formalizó esta lógica y estableció también la migración de backfill para copiar los roles existentes en </w:t>
      </w:r>
      <w:r>
        <w:rPr>
          <w:rFonts w:ascii="Courier New" w:hAnsi="Courier New"/>
          <w:sz w:val="18"/>
        </w:rPr>
        <w:t>profiles</w:t>
      </w:r>
      <w:r>
        <w:rPr>
          <w:rFonts w:ascii="Arial" w:hAnsi="Arial"/>
          <w:sz w:val="22"/>
        </w:rPr>
        <w:t xml:space="preserve"> hacia </w:t>
      </w:r>
      <w:r>
        <w:rPr>
          <w:rFonts w:ascii="Courier New" w:hAnsi="Courier New"/>
          <w:sz w:val="18"/>
        </w:rPr>
        <w:t>user_roles</w:t>
      </w:r>
      <w:r>
        <w:rPr>
          <w:rFonts w:ascii="Arial" w:hAnsi="Arial"/>
          <w:sz w:val="22"/>
        </w:rPr>
        <w:t>.</w:t>
      </w:r>
    </w:p>
    <w:p>
      <w:pPr>
        <w:pStyle w:val="Heading3"/>
      </w:pPr>
      <w:r>
        <w:t>Iteración 4 — Panel administrativo completo (2026-02-18)</w:t>
      </w:r>
    </w:p>
    <w:p>
      <w:pPr>
        <w:jc w:val="both"/>
      </w:pPr>
      <w:r>
        <w:rPr>
          <w:b/>
        </w:rPr>
        <w:t>Commits de referencia:</w:t>
      </w:r>
      <w:r>
        <w:rPr>
          <w:rFonts w:ascii="Arial" w:hAnsi="Arial"/>
          <w:sz w:val="22"/>
        </w:rPr>
        <w:t xml:space="preserve"> </w:t>
      </w:r>
      <w:r>
        <w:rPr>
          <w:rFonts w:ascii="Courier New" w:hAnsi="Courier New"/>
          <w:sz w:val="18"/>
        </w:rPr>
        <w:t>ff2657f</w:t>
      </w:r>
      <w:r>
        <w:rPr>
          <w:rFonts w:ascii="Arial" w:hAnsi="Arial"/>
          <w:sz w:val="22"/>
        </w:rPr>
        <w:t xml:space="preserve">, </w:t>
      </w:r>
      <w:r>
        <w:rPr>
          <w:rFonts w:ascii="Courier New" w:hAnsi="Courier New"/>
          <w:sz w:val="18"/>
        </w:rPr>
        <w:t>6c30675</w:t>
      </w:r>
    </w:p>
    <w:p>
      <w:pPr>
        <w:jc w:val="both"/>
      </w:pPr>
      <w:r>
        <w:rPr>
          <w:rFonts w:ascii="Arial" w:hAnsi="Arial"/>
          <w:sz w:val="22"/>
        </w:rPr>
        <w:t xml:space="preserve">Se implementó el panel administrativo con su conjunto completo de endpoints de API protegidos. El commit </w:t>
      </w:r>
      <w:r>
        <w:rPr>
          <w:rFonts w:ascii="Courier New" w:hAnsi="Courier New"/>
          <w:sz w:val="18"/>
        </w:rPr>
        <w:t>ff2657f</w:t>
      </w:r>
      <w:r>
        <w:rPr>
          <w:rFonts w:ascii="Arial" w:hAnsi="Arial"/>
          <w:sz w:val="22"/>
        </w:rPr>
        <w:t xml:space="preserve"> creó 13 archivos nuevos:</w:t>
      </w:r>
    </w:p>
    <w:p>
      <w:pPr>
        <w:pStyle w:val="ListBullet"/>
        <w:ind w:left="567"/>
      </w:pPr>
      <w:r>
        <w:rPr>
          <w:rFonts w:ascii="Arial" w:hAnsi="Arial"/>
          <w:sz w:val="22"/>
        </w:rPr>
        <w:t>CRUD de módulos (</w:t>
      </w:r>
      <w:r>
        <w:rPr>
          <w:rFonts w:ascii="Courier New" w:hAnsi="Courier New"/>
          <w:sz w:val="18"/>
        </w:rPr>
        <w:t>/api/admin/modules</w:t>
      </w:r>
      <w:r>
        <w:rPr>
          <w:rFonts w:ascii="Arial" w:hAnsi="Arial"/>
          <w:sz w:val="22"/>
        </w:rPr>
        <w:t xml:space="preserve">, </w:t>
      </w:r>
      <w:r>
        <w:rPr>
          <w:rFonts w:ascii="Courier New" w:hAnsi="Courier New"/>
          <w:sz w:val="18"/>
        </w:rPr>
        <w:t>/api/admin/modules/[id]</w:t>
      </w:r>
      <w:r>
        <w:rPr>
          <w:rFonts w:ascii="Arial" w:hAnsi="Arial"/>
          <w:sz w:val="22"/>
        </w:rPr>
        <w:t>)</w:t>
      </w:r>
    </w:p>
    <w:p>
      <w:pPr>
        <w:pStyle w:val="ListBullet"/>
        <w:ind w:left="567"/>
      </w:pPr>
      <w:r>
        <w:rPr>
          <w:rFonts w:ascii="Arial" w:hAnsi="Arial"/>
          <w:sz w:val="22"/>
        </w:rPr>
        <w:t>CRUD de vacantes y su evaluación asociada (</w:t>
      </w:r>
      <w:r>
        <w:rPr>
          <w:rFonts w:ascii="Courier New" w:hAnsi="Courier New"/>
          <w:sz w:val="18"/>
        </w:rPr>
        <w:t>/api/admin/vacancies</w:t>
      </w:r>
      <w:r>
        <w:rPr>
          <w:rFonts w:ascii="Arial" w:hAnsi="Arial"/>
          <w:sz w:val="22"/>
        </w:rPr>
        <w:t xml:space="preserve">, </w:t>
      </w:r>
      <w:r>
        <w:rPr>
          <w:rFonts w:ascii="Courier New" w:hAnsi="Courier New"/>
          <w:sz w:val="18"/>
        </w:rPr>
        <w:t>/api/admin/vacancies/[id]</w:t>
      </w:r>
      <w:r>
        <w:rPr>
          <w:rFonts w:ascii="Arial" w:hAnsi="Arial"/>
          <w:sz w:val="22"/>
        </w:rPr>
        <w:t xml:space="preserve">, </w:t>
      </w:r>
      <w:r>
        <w:rPr>
          <w:rFonts w:ascii="Courier New" w:hAnsi="Courier New"/>
          <w:sz w:val="18"/>
        </w:rPr>
        <w:t>/api/admin/vacancies/[id]/assessment</w:t>
      </w:r>
      <w:r>
        <w:rPr>
          <w:rFonts w:ascii="Arial" w:hAnsi="Arial"/>
          <w:sz w:val="22"/>
        </w:rPr>
        <w:t xml:space="preserve">, </w:t>
      </w:r>
      <w:r>
        <w:rPr>
          <w:rFonts w:ascii="Courier New" w:hAnsi="Courier New"/>
          <w:sz w:val="18"/>
        </w:rPr>
        <w:t>/api/admin/vacancies/[id]/stats</w:t>
      </w:r>
      <w:r>
        <w:rPr>
          <w:rFonts w:ascii="Arial" w:hAnsi="Arial"/>
          <w:sz w:val="22"/>
        </w:rPr>
        <w:t>)</w:t>
      </w:r>
    </w:p>
    <w:p>
      <w:pPr>
        <w:pStyle w:val="ListBullet"/>
        <w:ind w:left="567"/>
      </w:pPr>
      <w:r>
        <w:rPr>
          <w:rFonts w:ascii="Arial" w:hAnsi="Arial"/>
          <w:sz w:val="22"/>
        </w:rPr>
        <w:t>CRUD de evaluaciones y preguntas (</w:t>
      </w:r>
      <w:r>
        <w:rPr>
          <w:rFonts w:ascii="Courier New" w:hAnsi="Courier New"/>
          <w:sz w:val="18"/>
        </w:rPr>
        <w:t>/api/admin/assessments</w:t>
      </w:r>
      <w:r>
        <w:rPr>
          <w:rFonts w:ascii="Arial" w:hAnsi="Arial"/>
          <w:sz w:val="22"/>
        </w:rPr>
        <w:t xml:space="preserve">, </w:t>
      </w:r>
      <w:r>
        <w:rPr>
          <w:rFonts w:ascii="Courier New" w:hAnsi="Courier New"/>
          <w:sz w:val="18"/>
        </w:rPr>
        <w:t>/api/admin/assessments/[id]</w:t>
      </w:r>
      <w:r>
        <w:rPr>
          <w:rFonts w:ascii="Arial" w:hAnsi="Arial"/>
          <w:sz w:val="22"/>
        </w:rPr>
        <w:t xml:space="preserve">, </w:t>
      </w:r>
      <w:r>
        <w:rPr>
          <w:rFonts w:ascii="Courier New" w:hAnsi="Courier New"/>
          <w:sz w:val="18"/>
        </w:rPr>
        <w:t>/api/admin/assessments/[id]/questions</w:t>
      </w:r>
      <w:r>
        <w:rPr>
          <w:rFonts w:ascii="Arial" w:hAnsi="Arial"/>
          <w:sz w:val="22"/>
        </w:rPr>
        <w:t xml:space="preserve">, </w:t>
      </w:r>
      <w:r>
        <w:rPr>
          <w:rFonts w:ascii="Courier New" w:hAnsi="Courier New"/>
          <w:sz w:val="18"/>
        </w:rPr>
        <w:t>/api/admin/questions/[id]</w:t>
      </w:r>
      <w:r>
        <w:rPr>
          <w:rFonts w:ascii="Arial" w:hAnsi="Arial"/>
          <w:sz w:val="22"/>
        </w:rPr>
        <w:t>)</w:t>
      </w:r>
    </w:p>
    <w:p>
      <w:pPr>
        <w:pStyle w:val="ListBullet"/>
        <w:ind w:left="567"/>
      </w:pPr>
      <w:r>
        <w:rPr>
          <w:rFonts w:ascii="Arial" w:hAnsi="Arial"/>
          <w:sz w:val="22"/>
        </w:rPr>
        <w:t>Gestión de intentos desde el panel admin (</w:t>
      </w:r>
      <w:r>
        <w:rPr>
          <w:rFonts w:ascii="Courier New" w:hAnsi="Courier New"/>
          <w:sz w:val="18"/>
        </w:rPr>
        <w:t>/api/admin/attempts</w:t>
      </w:r>
      <w:r>
        <w:rPr>
          <w:rFonts w:ascii="Arial" w:hAnsi="Arial"/>
          <w:sz w:val="22"/>
        </w:rPr>
        <w:t xml:space="preserve">, </w:t>
      </w:r>
      <w:r>
        <w:rPr>
          <w:rFonts w:ascii="Courier New" w:hAnsi="Courier New"/>
          <w:sz w:val="18"/>
        </w:rPr>
        <w:t>/api/admin/attempts/[id]</w:t>
      </w:r>
      <w:r>
        <w:rPr>
          <w:rFonts w:ascii="Arial" w:hAnsi="Arial"/>
          <w:sz w:val="22"/>
        </w:rPr>
        <w:t>)</w:t>
      </w:r>
    </w:p>
    <w:p>
      <w:pPr>
        <w:pStyle w:val="ListBullet"/>
        <w:ind w:left="567"/>
      </w:pPr>
      <w:r>
        <w:rPr>
          <w:rFonts w:ascii="Arial" w:hAnsi="Arial"/>
          <w:sz w:val="22"/>
        </w:rPr>
        <w:t xml:space="preserve">La función </w:t>
      </w:r>
      <w:r>
        <w:rPr>
          <w:rFonts w:ascii="Courier New" w:hAnsi="Courier New"/>
          <w:sz w:val="18"/>
        </w:rPr>
        <w:t>requireAdmin()</w:t>
      </w:r>
      <w:r>
        <w:rPr>
          <w:rFonts w:ascii="Arial" w:hAnsi="Arial"/>
          <w:sz w:val="22"/>
        </w:rPr>
        <w:t xml:space="preserve"> en </w:t>
      </w:r>
      <w:r>
        <w:rPr>
          <w:rFonts w:ascii="Courier New" w:hAnsi="Courier New"/>
          <w:sz w:val="18"/>
        </w:rPr>
        <w:t>app/api/admin/utils.ts</w:t>
      </w:r>
      <w:r>
        <w:rPr>
          <w:rFonts w:ascii="Arial" w:hAnsi="Arial"/>
          <w:sz w:val="22"/>
        </w:rPr>
        <w:t>, que desde ese momento protege todos los endpoints administrativos verificando el JWT y el rol antes de ejecutar cualquier operación.</w:t>
      </w:r>
    </w:p>
    <w:p>
      <w:pPr>
        <w:pStyle w:val="Heading3"/>
      </w:pPr>
      <w:r>
        <w:t>Iteración 5 — Estabilización de la compatibilidad con Next.js (2026-02-18)</w:t>
      </w:r>
    </w:p>
    <w:p>
      <w:pPr>
        <w:jc w:val="both"/>
      </w:pPr>
      <w:r>
        <w:rPr>
          <w:b/>
        </w:rPr>
        <w:t>Commits de referencia:</w:t>
      </w:r>
      <w:r>
        <w:rPr>
          <w:rFonts w:ascii="Arial" w:hAnsi="Arial"/>
          <w:sz w:val="22"/>
        </w:rPr>
        <w:t xml:space="preserve"> </w:t>
      </w:r>
      <w:r>
        <w:rPr>
          <w:rFonts w:ascii="Courier New" w:hAnsi="Courier New"/>
          <w:sz w:val="18"/>
        </w:rPr>
        <w:t>4f9ca47</w:t>
      </w:r>
      <w:r>
        <w:rPr>
          <w:rFonts w:ascii="Arial" w:hAnsi="Arial"/>
          <w:sz w:val="22"/>
        </w:rPr>
        <w:t xml:space="preserve">, </w:t>
      </w:r>
      <w:r>
        <w:rPr>
          <w:rFonts w:ascii="Courier New" w:hAnsi="Courier New"/>
          <w:sz w:val="18"/>
        </w:rPr>
        <w:t>c77284d</w:t>
      </w:r>
      <w:r>
        <w:rPr>
          <w:rFonts w:ascii="Arial" w:hAnsi="Arial"/>
          <w:sz w:val="22"/>
        </w:rPr>
        <w:t xml:space="preserve">, </w:t>
      </w:r>
      <w:r>
        <w:rPr>
          <w:rFonts w:ascii="Courier New" w:hAnsi="Courier New"/>
          <w:sz w:val="18"/>
        </w:rPr>
        <w:t>518e343</w:t>
      </w:r>
      <w:r>
        <w:rPr>
          <w:rFonts w:ascii="Arial" w:hAnsi="Arial"/>
          <w:sz w:val="22"/>
        </w:rPr>
        <w:t xml:space="preserve">, </w:t>
      </w:r>
      <w:r>
        <w:rPr>
          <w:rFonts w:ascii="Courier New" w:hAnsi="Courier New"/>
          <w:sz w:val="18"/>
        </w:rPr>
        <w:t>9563ccc</w:t>
      </w:r>
      <w:r>
        <w:rPr>
          <w:rFonts w:ascii="Arial" w:hAnsi="Arial"/>
          <w:sz w:val="22"/>
        </w:rPr>
        <w:t xml:space="preserve">, </w:t>
      </w:r>
      <w:r>
        <w:rPr>
          <w:rFonts w:ascii="Courier New" w:hAnsi="Courier New"/>
          <w:sz w:val="18"/>
        </w:rPr>
        <w:t>065f8d1</w:t>
      </w:r>
      <w:r>
        <w:rPr>
          <w:rFonts w:ascii="Arial" w:hAnsi="Arial"/>
          <w:sz w:val="22"/>
        </w:rPr>
        <w:t xml:space="preserve">, </w:t>
      </w:r>
      <w:r>
        <w:rPr>
          <w:rFonts w:ascii="Courier New" w:hAnsi="Courier New"/>
          <w:sz w:val="18"/>
        </w:rPr>
        <w:t>0905c1c</w:t>
      </w:r>
      <w:r>
        <w:rPr>
          <w:rFonts w:ascii="Arial" w:hAnsi="Arial"/>
          <w:sz w:val="22"/>
        </w:rPr>
        <w:t xml:space="preserve">, </w:t>
      </w:r>
      <w:r>
        <w:rPr>
          <w:rFonts w:ascii="Courier New" w:hAnsi="Courier New"/>
          <w:sz w:val="18"/>
        </w:rPr>
        <w:t>a25f08d</w:t>
      </w:r>
      <w:r>
        <w:rPr>
          <w:rFonts w:ascii="Arial" w:hAnsi="Arial"/>
          <w:sz w:val="22"/>
        </w:rPr>
        <w:t xml:space="preserve">, </w:t>
      </w:r>
      <w:r>
        <w:rPr>
          <w:rFonts w:ascii="Courier New" w:hAnsi="Courier New"/>
          <w:sz w:val="18"/>
        </w:rPr>
        <w:t>9fd7193</w:t>
      </w:r>
      <w:r>
        <w:rPr>
          <w:rFonts w:ascii="Arial" w:hAnsi="Arial"/>
          <w:sz w:val="22"/>
        </w:rPr>
        <w:t xml:space="preserve">, </w:t>
      </w:r>
      <w:r>
        <w:rPr>
          <w:rFonts w:ascii="Courier New" w:hAnsi="Courier New"/>
          <w:sz w:val="18"/>
        </w:rPr>
        <w:t>694d53c</w:t>
      </w:r>
    </w:p>
    <w:p>
      <w:pPr>
        <w:jc w:val="both"/>
      </w:pPr>
      <w:r>
        <w:rPr>
          <w:rFonts w:ascii="Arial" w:hAnsi="Arial"/>
          <w:sz w:val="22"/>
        </w:rP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rPr>
          <w:rFonts w:ascii="Arial" w:hAnsi="Arial"/>
          <w:sz w:val="22"/>
        </w:rPr>
        <w:t xml:space="preserve"> de los Route Handlers y las páginas dinámicas es una promesa que debe resolverse con </w:t>
      </w:r>
      <w:r>
        <w:rPr>
          <w:rFonts w:ascii="Courier New" w:hAnsi="Courier New"/>
          <w:sz w:val="18"/>
        </w:rPr>
        <w:t>await</w:t>
      </w:r>
      <w:r>
        <w:rPr>
          <w:rFonts w:ascii="Arial" w:hAnsi="Arial"/>
          <w:sz w:val="22"/>
        </w:rPr>
        <w:t>. Esta diferencia con respecto al comportamiento esperado generó una serie de errores de tiempo de ejecución y advertencias del compilador que se corrigieron en múltiples commits de esta iteración.</w:t>
      </w:r>
    </w:p>
    <w:p>
      <w:pPr>
        <w:jc w:val="both"/>
      </w:pPr>
      <w:r>
        <w:rPr>
          <w:rFonts w:ascii="Arial" w:hAnsi="Arial"/>
          <w:sz w:val="22"/>
        </w:rPr>
        <w:t>Adicionalmente, se corrigieron: la normalización de opciones de preguntas en el panel admin (</w:t>
      </w:r>
      <w:r>
        <w:rPr>
          <w:rFonts w:ascii="Courier New" w:hAnsi="Courier New"/>
          <w:sz w:val="18"/>
        </w:rPr>
        <w:t>9fd7193</w:t>
      </w:r>
      <w:r>
        <w:rPr>
          <w:rFonts w:ascii="Arial" w:hAnsi="Arial"/>
          <w:sz w:val="22"/>
        </w:rPr>
        <w:t xml:space="preserve">), un problema con la importación del helper </w:t>
      </w:r>
      <w:r>
        <w:rPr>
          <w:rFonts w:ascii="Courier New" w:hAnsi="Courier New"/>
          <w:sz w:val="18"/>
        </w:rPr>
        <w:t>formatBytes</w:t>
      </w:r>
      <w:r>
        <w:rPr>
          <w:rFonts w:ascii="Arial" w:hAnsi="Arial"/>
          <w:sz w:val="22"/>
        </w:rPr>
        <w:t xml:space="preserve"> que impedía la compilación de la página de resultados (</w:t>
      </w:r>
      <w:r>
        <w:rPr>
          <w:rFonts w:ascii="Courier New" w:hAnsi="Courier New"/>
          <w:sz w:val="18"/>
        </w:rPr>
        <w:t>a25f08d</w:t>
      </w:r>
      <w:r>
        <w:rPr>
          <w:rFonts w:ascii="Arial" w:hAnsi="Arial"/>
          <w:sz w:val="22"/>
        </w:rPr>
        <w:t xml:space="preserve">), marcado HTML incorrecto con etiquetas </w:t>
      </w:r>
      <w:r>
        <w:rPr>
          <w:rFonts w:ascii="Courier New" w:hAnsi="Courier New"/>
          <w:sz w:val="18"/>
        </w:rPr>
        <w:t>&lt;p&gt;</w:t>
      </w:r>
      <w:r>
        <w:rPr>
          <w:rFonts w:ascii="Arial" w:hAnsi="Arial"/>
          <w:sz w:val="22"/>
        </w:rPr>
        <w:t xml:space="preserve"> anidadas que generaban advertencias de hidratación (</w:t>
      </w:r>
      <w:r>
        <w:rPr>
          <w:rFonts w:ascii="Courier New" w:hAnsi="Courier New"/>
          <w:sz w:val="18"/>
        </w:rPr>
        <w:t>065f8d1</w:t>
      </w:r>
      <w:r>
        <w:rPr>
          <w:rFonts w:ascii="Arial" w:hAnsi="Arial"/>
          <w:sz w:val="22"/>
        </w:rPr>
        <w:t xml:space="preserve">), y la adición de la ruta </w:t>
      </w:r>
      <w:r>
        <w:rPr>
          <w:rFonts w:ascii="Courier New" w:hAnsi="Courier New"/>
          <w:sz w:val="18"/>
        </w:rPr>
        <w:t>/perfil</w:t>
      </w:r>
      <w:r>
        <w:rPr>
          <w:rFonts w:ascii="Arial" w:hAnsi="Arial"/>
          <w:sz w:val="22"/>
        </w:rPr>
        <w:t xml:space="preserve"> que se había omitido en la iteración anterior (</w:t>
      </w:r>
      <w:r>
        <w:rPr>
          <w:rFonts w:ascii="Courier New" w:hAnsi="Courier New"/>
          <w:sz w:val="18"/>
        </w:rPr>
        <w:t>694d53c</w:t>
      </w:r>
      <w:r>
        <w:rPr>
          <w:rFonts w:ascii="Arial" w:hAnsi="Arial"/>
          <w:sz w:val="22"/>
        </w:rPr>
        <w:t>).</w:t>
      </w:r>
    </w:p>
    <w:p>
      <w:pPr>
        <w:pStyle w:val="Heading3"/>
      </w:pPr>
      <w:r>
        <w:t>Iteración 6 — Flujo de revisión administrativa y decisiones (2026-02-18)</w:t>
      </w:r>
    </w:p>
    <w:p>
      <w:pPr>
        <w:jc w:val="both"/>
      </w:pPr>
      <w:r>
        <w:rPr>
          <w:b/>
        </w:rPr>
        <w:t>Commits de referencia:</w:t>
      </w:r>
      <w:r>
        <w:rPr>
          <w:rFonts w:ascii="Arial" w:hAnsi="Arial"/>
          <w:sz w:val="22"/>
        </w:rPr>
        <w:t xml:space="preserve"> </w:t>
      </w:r>
      <w:r>
        <w:rPr>
          <w:rFonts w:ascii="Courier New" w:hAnsi="Courier New"/>
          <w:sz w:val="18"/>
        </w:rPr>
        <w:t>9350275</w:t>
      </w:r>
      <w:r>
        <w:rPr>
          <w:rFonts w:ascii="Arial" w:hAnsi="Arial"/>
          <w:sz w:val="22"/>
        </w:rPr>
        <w:t xml:space="preserve">, </w:t>
      </w:r>
      <w:r>
        <w:rPr>
          <w:rFonts w:ascii="Courier New" w:hAnsi="Courier New"/>
          <w:sz w:val="18"/>
        </w:rPr>
        <w:t>022692f</w:t>
      </w:r>
      <w:r>
        <w:rPr>
          <w:rFonts w:ascii="Arial" w:hAnsi="Arial"/>
          <w:sz w:val="22"/>
        </w:rPr>
        <w:t xml:space="preserve">, </w:t>
      </w:r>
      <w:r>
        <w:rPr>
          <w:rFonts w:ascii="Courier New" w:hAnsi="Courier New"/>
          <w:sz w:val="18"/>
        </w:rPr>
        <w:t>58fa9d3</w:t>
      </w:r>
      <w:r>
        <w:rPr>
          <w:rFonts w:ascii="Arial" w:hAnsi="Arial"/>
          <w:sz w:val="22"/>
        </w:rPr>
        <w:t xml:space="preserve">, </w:t>
      </w:r>
      <w:r>
        <w:rPr>
          <w:rFonts w:ascii="Courier New" w:hAnsi="Courier New"/>
          <w:sz w:val="18"/>
        </w:rPr>
        <w:t>bfe4088</w:t>
      </w:r>
    </w:p>
    <w:p>
      <w:pPr>
        <w:jc w:val="both"/>
      </w:pPr>
      <w:r>
        <w:rPr>
          <w:rFonts w:ascii="Arial" w:hAnsi="Arial"/>
          <w:sz w:val="22"/>
        </w:rP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rPr>
          <w:rFonts w:ascii="Arial" w:hAnsi="Arial"/>
          <w:sz w:val="22"/>
        </w:rPr>
        <w:t>.</w:t>
      </w:r>
    </w:p>
    <w:p>
      <w:pPr>
        <w:jc w:val="both"/>
      </w:pPr>
      <w:r>
        <w:rPr>
          <w:rFonts w:ascii="Arial" w:hAnsi="Arial"/>
          <w:sz w:val="22"/>
        </w:rPr>
        <w:t xml:space="preserve">En esta iteración surgió también la necesidad de añadir columnas </w:t>
      </w:r>
      <w:r>
        <w:rPr>
          <w:rFonts w:ascii="Courier New" w:hAnsi="Courier New"/>
          <w:sz w:val="18"/>
        </w:rPr>
        <w:t>decision</w:t>
      </w:r>
      <w:r>
        <w:rPr>
          <w:rFonts w:ascii="Arial" w:hAnsi="Arial"/>
          <w:sz w:val="22"/>
        </w:rPr>
        <w:t xml:space="preserve"> y </w:t>
      </w:r>
      <w:r>
        <w:rPr>
          <w:rFonts w:ascii="Courier New" w:hAnsi="Courier New"/>
          <w:sz w:val="18"/>
        </w:rPr>
        <w:t>reviewer_notes</w:t>
      </w:r>
      <w:r>
        <w:rPr>
          <w:rFonts w:ascii="Arial" w:hAnsi="Arial"/>
          <w:sz w:val="22"/>
        </w:rPr>
        <w:t xml:space="preserve"> a la tabla </w:t>
      </w:r>
      <w:r>
        <w:rPr>
          <w:rFonts w:ascii="Courier New" w:hAnsi="Courier New"/>
          <w:sz w:val="18"/>
        </w:rPr>
        <w:t>attempts</w:t>
      </w:r>
      <w:r>
        <w:rPr>
          <w:rFonts w:ascii="Arial" w:hAnsi="Arial"/>
          <w:sz w:val="22"/>
        </w:rPr>
        <w:t xml:space="preserve"> para soportar un mecanismo de respaldo cuando la tabla </w:t>
      </w:r>
      <w:r>
        <w:rPr>
          <w:rFonts w:ascii="Courier New" w:hAnsi="Courier New"/>
          <w:sz w:val="18"/>
        </w:rPr>
        <w:t>reviews</w:t>
      </w:r>
      <w:r>
        <w:rPr>
          <w:rFonts w:ascii="Arial" w:hAnsi="Arial"/>
          <w:sz w:val="22"/>
        </w:rPr>
        <w:t xml:space="preserve"> no está disponible. Esto se formalizó en el archivo de migración </w:t>
      </w:r>
      <w:r>
        <w:rPr>
          <w:rFonts w:ascii="Courier New" w:hAnsi="Courier New"/>
          <w:sz w:val="18"/>
        </w:rPr>
        <w:t>supabase/migration_attempts_decision_columns.sql</w:t>
      </w:r>
      <w:r>
        <w:rPr>
          <w:rFonts w:ascii="Arial" w:hAnsi="Arial"/>
          <w:sz w:val="22"/>
        </w:rPr>
        <w:t>. La coexistencia de dos mecanismos de almacenamiento de decisiones —</w:t>
      </w:r>
      <w:r>
        <w:rPr>
          <w:rFonts w:ascii="Courier New" w:hAnsi="Courier New"/>
          <w:sz w:val="18"/>
        </w:rPr>
        <w:t>reviews</w:t>
      </w:r>
      <w:r>
        <w:rPr>
          <w:rFonts w:ascii="Arial" w:hAnsi="Arial"/>
          <w:sz w:val="22"/>
        </w:rPr>
        <w:t xml:space="preserve"> como primario, </w:t>
      </w:r>
      <w:r>
        <w:rPr>
          <w:rFonts w:ascii="Courier New" w:hAnsi="Courier New"/>
          <w:sz w:val="18"/>
        </w:rPr>
        <w:t>attempts.decision</w:t>
      </w:r>
      <w:r>
        <w:rPr>
          <w:rFonts w:ascii="Arial" w:hAnsi="Arial"/>
          <w:sz w:val="22"/>
        </w:rPr>
        <w:t xml:space="preserve"> como respaldo— constituye la discrepancia D-02 documentada en la matriz de requisitos.</w:t>
      </w:r>
    </w:p>
    <w:p>
      <w:pPr>
        <w:pStyle w:val="Heading3"/>
      </w:pPr>
      <w:r>
        <w:t>Iteración 7 — Módulo psicométrico (2026-03-04)</w:t>
      </w:r>
    </w:p>
    <w:p>
      <w:pPr>
        <w:jc w:val="center"/>
      </w:pPr>
      <w:r>
        <w:drawing>
          <wp:inline xmlns:a="http://schemas.openxmlformats.org/drawingml/2006/main" xmlns:pic="http://schemas.openxmlformats.org/drawingml/2006/picture">
            <wp:extent cx="5040000" cy="18816000"/>
            <wp:docPr id="3" name="Picture 3"/>
            <wp:cNvGraphicFramePr>
              <a:graphicFrameLocks noChangeAspect="1"/>
            </wp:cNvGraphicFramePr>
            <a:graphic>
              <a:graphicData uri="http://schemas.openxmlformats.org/drawingml/2006/picture">
                <pic:pic>
                  <pic:nvPicPr>
                    <pic:cNvPr id="0" name="fig-5-7-inicio-psicometrico.png"/>
                    <pic:cNvPicPr/>
                  </pic:nvPicPr>
                  <pic:blipFill>
                    <a:blip r:embed="rId11"/>
                    <a:stretch>
                      <a:fillRect/>
                    </a:stretch>
                  </pic:blipFill>
                  <pic:spPr>
                    <a:xfrm>
                      <a:off x="0" y="0"/>
                      <a:ext cx="5040000" cy="18816000"/>
                    </a:xfrm>
                    <a:prstGeom prst="rect"/>
                  </pic:spPr>
                </pic:pic>
              </a:graphicData>
            </a:graphic>
          </wp:inline>
        </w:drawing>
      </w:r>
    </w:p>
    <w:p>
      <w:pPr>
        <w:pStyle w:val="FigureCaption"/>
      </w:pPr>
      <w:r>
        <w:t>Figura 5.21. Diagrama de inicio del flujo psicométrico con verificación de prerequisito. Fuente: elaboración propia, 2026.</w:t>
      </w:r>
    </w:p>
    <w:p>
      <w:pPr>
        <w:jc w:val="both"/>
      </w:pPr>
      <w:r>
        <w:rPr>
          <w:b/>
        </w:rPr>
        <w:t>Commits de referencia:</w:t>
      </w:r>
      <w:r>
        <w:rPr>
          <w:rFonts w:ascii="Arial" w:hAnsi="Arial"/>
          <w:sz w:val="22"/>
        </w:rPr>
        <w:t xml:space="preserve"> </w:t>
      </w:r>
      <w:r>
        <w:rPr>
          <w:rFonts w:ascii="Courier New" w:hAnsi="Courier New"/>
          <w:sz w:val="18"/>
        </w:rPr>
        <w:t>07fca11</w:t>
      </w:r>
      <w:r>
        <w:rPr>
          <w:rFonts w:ascii="Arial" w:hAnsi="Arial"/>
          <w:sz w:val="22"/>
        </w:rPr>
        <w:t xml:space="preserve">, </w:t>
      </w:r>
      <w:r>
        <w:rPr>
          <w:rFonts w:ascii="Courier New" w:hAnsi="Courier New"/>
          <w:sz w:val="18"/>
        </w:rPr>
        <w:t>c9188af</w:t>
      </w:r>
      <w:r>
        <w:rPr>
          <w:rFonts w:ascii="Arial" w:hAnsi="Arial"/>
          <w:sz w:val="22"/>
        </w:rPr>
        <w:t xml:space="preserve">, </w:t>
      </w:r>
      <w:r>
        <w:rPr>
          <w:rFonts w:ascii="Courier New" w:hAnsi="Courier New"/>
          <w:sz w:val="18"/>
        </w:rPr>
        <w:t>d7c0824</w:t>
      </w:r>
      <w:r>
        <w:rPr>
          <w:rFonts w:ascii="Arial" w:hAnsi="Arial"/>
          <w:sz w:val="22"/>
        </w:rPr>
        <w:t xml:space="preserve">, </w:t>
      </w:r>
      <w:r>
        <w:rPr>
          <w:rFonts w:ascii="Courier New" w:hAnsi="Courier New"/>
          <w:sz w:val="18"/>
        </w:rPr>
        <w:t>5870d26</w:t>
      </w:r>
    </w:p>
    <w:p>
      <w:pPr>
        <w:jc w:val="both"/>
      </w:pPr>
      <w:r>
        <w:rPr>
          <w:rFonts w:ascii="Arial" w:hAnsi="Arial"/>
          <w:sz w:val="22"/>
        </w:rPr>
        <w:t>El módulo psicométrico se construyó en cuatro commits secuenciales que reflejan el proceso de clarificación de requisitos propio del prototipado evolutivo:</w:t>
      </w:r>
    </w:p>
    <w:p>
      <w:pPr>
        <w:pStyle w:val="ListNumber"/>
      </w:pPr>
      <w:r>
        <w:rPr>
          <w:rFonts w:ascii="Courier New" w:hAnsi="Courier New"/>
          <w:sz w:val="18"/>
        </w:rPr>
        <w:t>07fca11</w:t>
      </w:r>
      <w:r>
        <w:rPr>
          <w:rFonts w:ascii="Arial" w:hAnsi="Arial"/>
          <w:sz w:val="22"/>
        </w:rPr>
        <w:t xml:space="preserve">: Se crearon los datos iniciales del cuestionario psicométrico en </w:t>
      </w:r>
      <w:r>
        <w:rPr>
          <w:rFonts w:ascii="Courier New" w:hAnsi="Courier New"/>
          <w:sz w:val="18"/>
        </w:rPr>
        <w:t>supabase/seed.sql</w:t>
      </w:r>
      <w:r>
        <w:rPr>
          <w:rFonts w:ascii="Arial" w:hAnsi="Arial"/>
          <w:sz w:val="22"/>
        </w:rPr>
        <w:t xml:space="preserve"> y </w:t>
      </w:r>
      <w:r>
        <w:rPr>
          <w:rFonts w:ascii="Courier New" w:hAnsi="Courier New"/>
          <w:sz w:val="18"/>
        </w:rPr>
        <w:t>supabase/seed_psicometrico_base.sql</w:t>
      </w:r>
      <w:r>
        <w:rPr>
          <w:rFonts w:ascii="Arial" w:hAnsi="Arial"/>
          <w:sz w:val="22"/>
        </w:rPr>
        <w:t xml:space="preserve">. El cuestionario se sembró con su estructura de 20 ítems codificados con el prefijo </w:t>
      </w:r>
      <w:r>
        <w:rPr>
          <w:rFonts w:ascii="Courier New" w:hAnsi="Courier New"/>
          <w:sz w:val="18"/>
        </w:rPr>
        <w:t>MINI_BIG_FIVE|RASGO|</w:t>
      </w:r>
      <w:r>
        <w:rPr>
          <w:rFonts w:ascii="Arial" w:hAnsi="Arial"/>
          <w:sz w:val="22"/>
        </w:rPr>
        <w:t xml:space="preserve"> en el campo </w:t>
      </w:r>
      <w:r>
        <w:rPr>
          <w:rFonts w:ascii="Courier New" w:hAnsi="Courier New"/>
          <w:sz w:val="18"/>
        </w:rPr>
        <w:t>prompt</w:t>
      </w:r>
      <w:r>
        <w:rPr>
          <w:rFonts w:ascii="Arial" w:hAnsi="Arial"/>
          <w:sz w:val="22"/>
        </w:rPr>
        <w:t xml:space="preserve"> de la tabla </w:t>
      </w:r>
      <w:r>
        <w:rPr>
          <w:rFonts w:ascii="Courier New" w:hAnsi="Courier New"/>
          <w:sz w:val="18"/>
        </w:rPr>
        <w:t>questions</w:t>
      </w:r>
      <w:r>
        <w:rPr>
          <w:rFonts w:ascii="Arial" w:hAnsi="Arial"/>
          <w:sz w:val="22"/>
        </w:rPr>
        <w:t>, lo que permite a la función de cálculo identificar el rasgo sin una columna adicional.</w:t>
      </w:r>
    </w:p>
    <w:p>
      <w:pPr>
        <w:pStyle w:val="ListNumber"/>
      </w:pPr>
      <w:r>
        <w:rPr>
          <w:rFonts w:ascii="Courier New" w:hAnsi="Courier New"/>
          <w:sz w:val="18"/>
        </w:rPr>
        <w:t>c9188af</w:t>
      </w:r>
      <w:r>
        <w:rPr>
          <w:rFonts w:ascii="Arial" w:hAnsi="Arial"/>
          <w:sz w:val="22"/>
        </w:rPr>
        <w:t xml:space="preserve">: Se implementaron la ruta </w:t>
      </w:r>
      <w:r>
        <w:rPr>
          <w:rFonts w:ascii="Courier New" w:hAnsi="Courier New"/>
          <w:sz w:val="18"/>
        </w:rPr>
        <w:t>/psicometrico</w:t>
      </w:r>
      <w:r>
        <w:rPr>
          <w:rFonts w:ascii="Arial" w:hAnsi="Arial"/>
          <w:sz w:val="22"/>
        </w:rPr>
        <w:t xml:space="preserve">, el Route Handler </w:t>
      </w:r>
      <w:r>
        <w:rPr>
          <w:rFonts w:ascii="Courier New" w:hAnsi="Courier New"/>
          <w:sz w:val="18"/>
        </w:rPr>
        <w:t>POST /api/psicometrico/start</w:t>
      </w:r>
      <w:r>
        <w:rPr>
          <w:rFonts w:ascii="Arial" w:hAnsi="Arial"/>
          <w:sz w:val="22"/>
        </w:rPr>
        <w:t xml:space="preserve"> y la biblioteca </w:t>
      </w:r>
      <w:r>
        <w:rPr>
          <w:rFonts w:ascii="Courier New" w:hAnsi="Courier New"/>
          <w:sz w:val="18"/>
        </w:rPr>
        <w:t>lib/psicometrico.ts</w:t>
      </w:r>
      <w:r>
        <w:rPr>
          <w:rFonts w:ascii="Arial" w:hAnsi="Arial"/>
          <w:sz w:val="22"/>
        </w:rPr>
        <w:t xml:space="preserve">. Se agregó la verificación en </w:t>
      </w:r>
      <w:r>
        <w:rPr>
          <w:rFonts w:ascii="Courier New" w:hAnsi="Courier New"/>
          <w:sz w:val="18"/>
        </w:rPr>
        <w:t>POST /api/vacancies/[id]/apply</w:t>
      </w:r>
      <w:r>
        <w:rPr>
          <w:rFonts w:ascii="Arial" w:hAnsi="Arial"/>
          <w:sz w:val="22"/>
        </w:rPr>
        <w:t xml:space="preserve"> que requiere que el psicométrico esté completado antes de permitir la postulación.</w:t>
      </w:r>
    </w:p>
    <w:p>
      <w:pPr>
        <w:pStyle w:val="ListNumber"/>
      </w:pPr>
      <w:r>
        <w:rPr>
          <w:rFonts w:ascii="Courier New" w:hAnsi="Courier New"/>
          <w:sz w:val="18"/>
        </w:rPr>
        <w:t>d7c0824</w:t>
      </w:r>
      <w:r>
        <w:rPr>
          <w:rFonts w:ascii="Arial" w:hAnsi="Arial"/>
          <w:sz w:val="22"/>
        </w:rPr>
        <w:t xml:space="preserve">: Se implementó </w:t>
      </w:r>
      <w:r>
        <w:rPr>
          <w:rFonts w:ascii="Courier New" w:hAnsi="Courier New"/>
          <w:sz w:val="18"/>
        </w:rPr>
        <w:t>lib/psicometricoResults.ts</w:t>
      </w:r>
      <w:r>
        <w:rPr>
          <w:rFonts w:ascii="Arial" w:hAnsi="Arial"/>
          <w:sz w:val="22"/>
        </w:rPr>
        <w:t xml:space="preserve"> con la lógica completa de cálculo del puntaje por rasgo y la clasificación por umbrales. El campo </w:t>
      </w:r>
      <w:r>
        <w:rPr>
          <w:rFonts w:ascii="Courier New" w:hAnsi="Courier New"/>
          <w:sz w:val="18"/>
        </w:rPr>
        <w:t>psychometric_summary</w:t>
      </w:r>
      <w:r>
        <w:rPr>
          <w:rFonts w:ascii="Arial" w:hAnsi="Arial"/>
          <w:sz w:val="22"/>
        </w:rPr>
        <w:t xml:space="preserve"> se añadió a la tabla </w:t>
      </w:r>
      <w:r>
        <w:rPr>
          <w:rFonts w:ascii="Courier New" w:hAnsi="Courier New"/>
          <w:sz w:val="18"/>
        </w:rPr>
        <w:t>attempts</w:t>
      </w:r>
      <w:r>
        <w:rPr>
          <w:rFonts w:ascii="Arial" w:hAnsi="Arial"/>
          <w:sz w:val="22"/>
        </w:rPr>
        <w:t xml:space="preserve"> mediante la migración </w:t>
      </w:r>
      <w:r>
        <w:rPr>
          <w:rFonts w:ascii="Courier New" w:hAnsi="Courier New"/>
          <w:sz w:val="18"/>
        </w:rPr>
        <w:t>migration_attempts_psychometric_summary.sql</w:t>
      </w:r>
      <w:r>
        <w:rPr>
          <w:rFonts w:ascii="Arial" w:hAnsi="Arial"/>
          <w:sz w:val="22"/>
        </w:rPr>
        <w:t>. La función de submit se actualizó para calcular y almacenar el resumen al enviar.</w:t>
      </w:r>
    </w:p>
    <w:p>
      <w:pPr>
        <w:pStyle w:val="ListNumber"/>
      </w:pPr>
      <w:r>
        <w:rPr>
          <w:rFonts w:ascii="Courier New" w:hAnsi="Courier New"/>
          <w:sz w:val="18"/>
        </w:rPr>
        <w:t>5870d26</w:t>
      </w:r>
      <w:r>
        <w:rPr>
          <w:rFonts w:ascii="Arial" w:hAnsi="Arial"/>
          <w:sz w:val="22"/>
        </w:rPr>
        <w:t>: Se ajustó la página de resultados para ocultar los puntajes numéricos al candidato y mostrar únicamente clasificaciones textuales. El panel admin recibió la sección de resumen psicométrico con los cinco rasgos.</w:t>
      </w:r>
    </w:p>
    <w:p>
      <w:pPr>
        <w:pStyle w:val="Heading3"/>
      </w:pPr>
      <w:r>
        <w:t>Iteración 8 — Ajuste del instrumento y mejoras de diseño (2026-05-08 a 2026-05-20)</w:t>
      </w:r>
    </w:p>
    <w:p>
      <w:pPr>
        <w:jc w:val="both"/>
      </w:pPr>
      <w:r>
        <w:rPr>
          <w:b/>
        </w:rPr>
        <w:t>Commits de referencia:</w:t>
      </w:r>
      <w:r>
        <w:rPr>
          <w:rFonts w:ascii="Arial" w:hAnsi="Arial"/>
          <w:sz w:val="22"/>
        </w:rPr>
        <w:t xml:space="preserve"> </w:t>
      </w:r>
      <w:r>
        <w:rPr>
          <w:rFonts w:ascii="Courier New" w:hAnsi="Courier New"/>
          <w:sz w:val="18"/>
        </w:rPr>
        <w:t>dd26d9a</w:t>
      </w:r>
      <w:r>
        <w:rPr>
          <w:rFonts w:ascii="Arial" w:hAnsi="Arial"/>
          <w:sz w:val="22"/>
        </w:rPr>
        <w:t xml:space="preserve">, </w:t>
      </w:r>
      <w:r>
        <w:rPr>
          <w:rFonts w:ascii="Courier New" w:hAnsi="Courier New"/>
          <w:sz w:val="18"/>
        </w:rPr>
        <w:t>d00ba8b</w:t>
      </w:r>
      <w:r>
        <w:rPr>
          <w:rFonts w:ascii="Arial" w:hAnsi="Arial"/>
          <w:sz w:val="22"/>
        </w:rPr>
        <w:t xml:space="preserve">, </w:t>
      </w:r>
      <w:r>
        <w:rPr>
          <w:rFonts w:ascii="Courier New" w:hAnsi="Courier New"/>
          <w:sz w:val="18"/>
        </w:rPr>
        <w:t>46027cb</w:t>
      </w:r>
      <w:r>
        <w:rPr>
          <w:rFonts w:ascii="Arial" w:hAnsi="Arial"/>
          <w:sz w:val="22"/>
        </w:rPr>
        <w:t xml:space="preserve">, </w:t>
      </w:r>
      <w:r>
        <w:rPr>
          <w:rFonts w:ascii="Courier New" w:hAnsi="Courier New"/>
          <w:sz w:val="18"/>
        </w:rPr>
        <w:t>0b84137</w:t>
      </w:r>
      <w:r>
        <w:rPr>
          <w:rFonts w:ascii="Arial" w:hAnsi="Arial"/>
          <w:sz w:val="22"/>
        </w:rPr>
        <w:t xml:space="preserve">, </w:t>
      </w:r>
      <w:r>
        <w:rPr>
          <w:rFonts w:ascii="Courier New" w:hAnsi="Courier New"/>
          <w:sz w:val="18"/>
        </w:rPr>
        <w:t>4075114</w:t>
      </w:r>
      <w:r>
        <w:rPr>
          <w:rFonts w:ascii="Arial" w:hAnsi="Arial"/>
          <w:sz w:val="22"/>
        </w:rPr>
        <w:t xml:space="preserve">, </w:t>
      </w:r>
      <w:r>
        <w:rPr>
          <w:rFonts w:ascii="Courier New" w:hAnsi="Courier New"/>
          <w:sz w:val="18"/>
        </w:rPr>
        <w:t>ca422c8</w:t>
      </w:r>
    </w:p>
    <w:p>
      <w:pPr>
        <w:jc w:val="both"/>
      </w:pPr>
      <w:r>
        <w:rPr>
          <w:rFonts w:ascii="Arial" w:hAnsi="Arial"/>
          <w:sz w:val="22"/>
        </w:rPr>
        <w:t>La última iteración agrupó ajustes de fondo que surgieron de la revisión del sistema completo:</w:t>
      </w:r>
    </w:p>
    <w:p>
      <w:pPr>
        <w:pStyle w:val="ListBullet"/>
        <w:ind w:left="567"/>
      </w:pPr>
      <w:r>
        <w:rPr>
          <w:rFonts w:ascii="Arial" w:hAnsi="Arial"/>
          <w:sz w:val="22"/>
        </w:rPr>
        <w:t>El cuestionario psicométrico se reescribió para ajustar los ítems a la versión definitiva del instrumento proporcionado por UCES (</w:t>
      </w:r>
      <w:r>
        <w:rPr>
          <w:rFonts w:ascii="Courier New" w:hAnsi="Courier New"/>
          <w:sz w:val="18"/>
        </w:rPr>
        <w:t>dd26d9a</w:t>
      </w:r>
      <w:r>
        <w:rPr>
          <w:rFonts w:ascii="Arial" w:hAnsi="Arial"/>
          <w:sz w:val="22"/>
        </w:rPr>
        <w:t>). El número de ítems se confirmó en 20 (4 por rasgo) y el nombre del instrumento cambió a "TEST MINI BIG FIVE".</w:t>
      </w:r>
    </w:p>
    <w:p>
      <w:pPr>
        <w:pStyle w:val="ListBullet"/>
        <w:ind w:left="567"/>
      </w:pPr>
      <w:r>
        <w:rPr>
          <w:rFonts w:ascii="Arial" w:hAnsi="Arial"/>
          <w:sz w:val="22"/>
        </w:rPr>
        <w:t xml:space="preserve">Se creó una migración idempotente en </w:t>
      </w:r>
      <w:r>
        <w:rPr>
          <w:rFonts w:ascii="Courier New" w:hAnsi="Courier New"/>
          <w:sz w:val="18"/>
        </w:rPr>
        <w:t>supabase/migrations/20260509_fix_admin_roles.sql</w:t>
      </w:r>
      <w:r>
        <w:rPr>
          <w:rFonts w:ascii="Arial" w:hAnsi="Arial"/>
          <w:sz w:val="22"/>
        </w:rPr>
        <w:t xml:space="preserve"> para garantizar que los roles de administrador existentes en </w:t>
      </w:r>
      <w:r>
        <w:rPr>
          <w:rFonts w:ascii="Courier New" w:hAnsi="Courier New"/>
          <w:sz w:val="18"/>
        </w:rPr>
        <w:t>profiles</w:t>
      </w:r>
      <w:r>
        <w:rPr>
          <w:rFonts w:ascii="Arial" w:hAnsi="Arial"/>
          <w:sz w:val="22"/>
        </w:rPr>
        <w:t xml:space="preserve"> se migraran correctamente a </w:t>
      </w:r>
      <w:r>
        <w:rPr>
          <w:rFonts w:ascii="Courier New" w:hAnsi="Courier New"/>
          <w:sz w:val="18"/>
        </w:rPr>
        <w:t>user_roles</w:t>
      </w:r>
      <w:r>
        <w:rPr>
          <w:rFonts w:ascii="Arial" w:hAnsi="Arial"/>
          <w:sz w:val="22"/>
        </w:rPr>
        <w:t xml:space="preserve"> (</w:t>
      </w:r>
      <w:r>
        <w:rPr>
          <w:rFonts w:ascii="Courier New" w:hAnsi="Courier New"/>
          <w:sz w:val="18"/>
        </w:rPr>
        <w:t>d00ba8b</w:t>
      </w:r>
      <w:r>
        <w:rPr>
          <w:rFonts w:ascii="Arial" w:hAnsi="Arial"/>
          <w:sz w:val="22"/>
        </w:rPr>
        <w:t>).</w:t>
      </w:r>
    </w:p>
    <w:p>
      <w:pPr>
        <w:pStyle w:val="ListBullet"/>
        <w:ind w:left="567"/>
      </w:pPr>
      <w:r>
        <w:rPr>
          <w:rFonts w:ascii="Arial" w:hAnsi="Arial"/>
          <w:sz w:val="22"/>
        </w:rPr>
        <w:t xml:space="preserve">Se realizó una revisión general del diseño visual de la interfaz, actualizando 22 archivos de la carpeta </w:t>
      </w:r>
      <w:r>
        <w:rPr>
          <w:rFonts w:ascii="Courier New" w:hAnsi="Courier New"/>
          <w:sz w:val="18"/>
        </w:rPr>
        <w:t>app/</w:t>
      </w:r>
      <w:r>
        <w:rPr>
          <w:rFonts w:ascii="Arial" w:hAnsi="Arial"/>
          <w:sz w:val="22"/>
        </w:rPr>
        <w:t xml:space="preserve"> para mejorar la apariencia y consistencia de todas las vistas (</w:t>
      </w:r>
      <w:r>
        <w:rPr>
          <w:rFonts w:ascii="Courier New" w:hAnsi="Courier New"/>
          <w:sz w:val="18"/>
        </w:rPr>
        <w:t>46027cb</w:t>
      </w:r>
      <w:r>
        <w:rPr>
          <w:rFonts w:ascii="Arial" w:hAnsi="Arial"/>
          <w:sz w:val="22"/>
        </w:rPr>
        <w:t>).</w:t>
      </w:r>
    </w:p>
    <w:p>
      <w:pPr>
        <w:pStyle w:val="ListBullet"/>
        <w:ind w:left="567"/>
      </w:pPr>
      <w:r>
        <w:rPr>
          <w:rFonts w:ascii="Arial" w:hAnsi="Arial"/>
          <w:sz w:val="22"/>
        </w:rPr>
        <w:t xml:space="preserve">Se introdujo el tipo exportado </w:t>
      </w:r>
      <w:r>
        <w:rPr>
          <w:rFonts w:ascii="Courier New" w:hAnsi="Courier New"/>
          <w:sz w:val="18"/>
        </w:rPr>
        <w:t>ReviewDecision</w:t>
      </w:r>
      <w:r>
        <w:rPr>
          <w:rFonts w:ascii="Arial" w:hAnsi="Arial"/>
          <w:sz w:val="22"/>
        </w:rPr>
        <w:t xml:space="preserve"> en </w:t>
      </w:r>
      <w:r>
        <w:rPr>
          <w:rFonts w:ascii="Courier New" w:hAnsi="Courier New"/>
          <w:sz w:val="18"/>
        </w:rPr>
        <w:t>lib/reviewDecision.ts</w:t>
      </w:r>
      <w:r>
        <w:rPr>
          <w:rFonts w:ascii="Arial" w:hAnsi="Arial"/>
          <w:sz w:val="22"/>
        </w:rPr>
        <w:t xml:space="preserve"> para resolver un error de tipos TypeScript que impedía la construcción del proyecto en producción (</w:t>
      </w:r>
      <w:r>
        <w:rPr>
          <w:rFonts w:ascii="Courier New" w:hAnsi="Courier New"/>
          <w:sz w:val="18"/>
        </w:rPr>
        <w:t>0b84137</w:t>
      </w:r>
      <w:r>
        <w:rPr>
          <w:rFonts w:ascii="Arial" w:hAnsi="Arial"/>
          <w:sz w:val="22"/>
        </w:rPr>
        <w:t>).</w:t>
      </w:r>
    </w:p>
    <w:p>
      <w:pPr>
        <w:pStyle w:val="ListBullet"/>
        <w:ind w:left="567"/>
      </w:pPr>
      <w:r>
        <w:rPr>
          <w:rFonts w:ascii="Arial" w:hAnsi="Arial"/>
          <w:sz w:val="22"/>
        </w:rPr>
        <w:t>Se corrigieron incompatibilidades de tipos en las respuestas de Supabase que relacionan tablas anidadas (</w:t>
      </w:r>
      <w:r>
        <w:rPr>
          <w:rFonts w:ascii="Courier New" w:hAnsi="Courier New"/>
          <w:sz w:val="18"/>
        </w:rPr>
        <w:t>application.user_id</w:t>
      </w:r>
      <w:r>
        <w:rPr>
          <w:rFonts w:ascii="Arial" w:hAnsi="Arial"/>
          <w:sz w:val="22"/>
        </w:rPr>
        <w:t xml:space="preserve"> en submit route), desbloqueando la compilación limpia del proyecto (</w:t>
      </w:r>
      <w:r>
        <w:rPr>
          <w:rFonts w:ascii="Courier New" w:hAnsi="Courier New"/>
          <w:sz w:val="18"/>
        </w:rPr>
        <w:t>4075114</w:t>
      </w:r>
      <w:r>
        <w:rPr>
          <w:rFonts w:ascii="Arial" w:hAnsi="Arial"/>
          <w:sz w:val="22"/>
        </w:rPr>
        <w:t>).</w:t>
      </w:r>
    </w:p>
    <w:p>
      <w:pPr>
        <w:pStyle w:val="ListBullet"/>
        <w:ind w:left="567"/>
      </w:pPr>
      <w:r>
        <w:rPr>
          <w:rFonts w:ascii="Arial" w:hAnsi="Arial"/>
          <w:sz w:val="22"/>
        </w:rPr>
        <w:t xml:space="preserve">Se corrigió el orden de los </w:t>
      </w:r>
      <w:r>
        <w:rPr>
          <w:rFonts w:ascii="Courier New" w:hAnsi="Courier New"/>
          <w:sz w:val="18"/>
        </w:rPr>
        <w:t>grant</w:t>
      </w:r>
      <w:r>
        <w:rPr>
          <w:rFonts w:ascii="Arial" w:hAnsi="Arial"/>
          <w:sz w:val="22"/>
        </w:rPr>
        <w:t xml:space="preserve"> y </w:t>
      </w:r>
      <w:r>
        <w:rPr>
          <w:rFonts w:ascii="Courier New" w:hAnsi="Courier New"/>
          <w:sz w:val="18"/>
        </w:rPr>
        <w:t>revoke</w:t>
      </w:r>
      <w:r>
        <w:rPr>
          <w:rFonts w:ascii="Arial" w:hAnsi="Arial"/>
          <w:sz w:val="22"/>
        </w:rPr>
        <w:t xml:space="preserve"> en </w:t>
      </w:r>
      <w:r>
        <w:rPr>
          <w:rFonts w:ascii="Courier New" w:hAnsi="Courier New"/>
          <w:sz w:val="18"/>
        </w:rPr>
        <w:t>supabase/rls.sql</w:t>
      </w:r>
      <w:r>
        <w:rPr>
          <w:rFonts w:ascii="Arial" w:hAnsi="Arial"/>
          <w:sz w:val="22"/>
        </w:rPr>
        <w:t xml:space="preserve"> para garantizar que la función </w:t>
      </w:r>
      <w:r>
        <w:rPr>
          <w:rFonts w:ascii="Courier New" w:hAnsi="Courier New"/>
          <w:sz w:val="18"/>
        </w:rPr>
        <w:t>get_my_role()</w:t>
      </w:r>
      <w:r>
        <w:rPr>
          <w:rFonts w:ascii="Arial" w:hAnsi="Arial"/>
          <w:sz w:val="22"/>
        </w:rPr>
        <w:t xml:space="preserve"> fuera visible para los roles correctos, junto con ajustes en </w:t>
      </w:r>
      <w:r>
        <w:rPr>
          <w:rFonts w:ascii="Courier New" w:hAnsi="Courier New"/>
          <w:sz w:val="18"/>
        </w:rPr>
        <w:t>lib/auth.ts</w:t>
      </w:r>
      <w:r>
        <w:rPr>
          <w:rFonts w:ascii="Arial" w:hAnsi="Arial"/>
          <w:sz w:val="22"/>
        </w:rPr>
        <w:t xml:space="preserve"> para mejorar el manejo de errores del RPC (</w:t>
      </w:r>
      <w:r>
        <w:rPr>
          <w:rFonts w:ascii="Courier New" w:hAnsi="Courier New"/>
          <w:sz w:val="18"/>
        </w:rPr>
        <w:t>ca422c8</w:t>
      </w:r>
      <w:r>
        <w:rPr>
          <w:rFonts w:ascii="Arial" w:hAnsi="Arial"/>
          <w:sz w:val="22"/>
        </w:rPr>
        <w:t>).</w:t>
      </w:r>
    </w:p>
    <w:p>
      <w:pPr>
        <w:pStyle w:val="Heading2"/>
      </w:pPr>
      <w:r>
        <w:t>4.5 Integración y revisión de incrementos</w:t>
      </w:r>
    </w:p>
    <w:p>
      <w:pPr>
        <w:jc w:val="both"/>
      </w:pPr>
      <w:r>
        <w:rPr>
          <w:rFonts w:ascii="Arial" w:hAnsi="Arial"/>
          <w:sz w:val="22"/>
        </w:rP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pPr>
        <w:pStyle w:val="ListNumber"/>
      </w:pPr>
      <w:r>
        <w:rPr>
          <w:rFonts w:ascii="Arial" w:hAnsi="Arial"/>
          <w:sz w:val="22"/>
        </w:rP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rPr>
          <w:rFonts w:ascii="Arial" w:hAnsi="Arial"/>
          <w:sz w:val="22"/>
        </w:rPr>
        <w:t>.</w:t>
      </w:r>
    </w:p>
    <w:p>
      <w:pPr>
        <w:pStyle w:val="ListNumber"/>
      </w:pPr>
      <w:r>
        <w:rPr>
          <w:rFonts w:ascii="Arial" w:hAnsi="Arial"/>
          <w:sz w:val="22"/>
        </w:rPr>
        <w:t xml:space="preserve">El Route Handler valida el JWT (mediante </w:t>
      </w:r>
      <w:r>
        <w:rPr>
          <w:rFonts w:ascii="Courier New" w:hAnsi="Courier New"/>
          <w:sz w:val="18"/>
        </w:rPr>
        <w:t>supabase.auth.getUser(token)</w:t>
      </w:r>
      <w:r>
        <w:rPr>
          <w:rFonts w:ascii="Arial" w:hAnsi="Arial"/>
          <w:sz w:val="22"/>
        </w:rPr>
        <w:t xml:space="preserve"> o </w:t>
      </w:r>
      <w:r>
        <w:rPr>
          <w:rFonts w:ascii="Courier New" w:hAnsi="Courier New"/>
          <w:sz w:val="18"/>
        </w:rPr>
        <w:t>requireAdmin()</w:t>
      </w:r>
      <w:r>
        <w:rPr>
          <w:rFonts w:ascii="Arial" w:hAnsi="Arial"/>
          <w:sz w:val="22"/>
        </w:rPr>
        <w:t>), ejecuta la lógica de negocio y realiza las operaciones sobre Supabase usando el cliente de servidor.</w:t>
      </w:r>
    </w:p>
    <w:p>
      <w:pPr>
        <w:pStyle w:val="ListNumber"/>
      </w:pPr>
      <w:r>
        <w:rPr>
          <w:rFonts w:ascii="Arial" w:hAnsi="Arial"/>
          <w:sz w:val="22"/>
        </w:rPr>
        <w:t>Supabase evalúa las políticas de RLS y ejecuta las consultas SQL.</w:t>
      </w:r>
    </w:p>
    <w:p>
      <w:pPr>
        <w:pStyle w:val="ListNumber"/>
      </w:pPr>
      <w:r>
        <w:rPr>
          <w:rFonts w:ascii="Arial" w:hAnsi="Arial"/>
          <w:sz w:val="22"/>
        </w:rPr>
        <w:t>La respuesta regresa al componente de interfaz, que actualiza el estado local y re-renderiza la vista correspondiente.</w:t>
      </w:r>
    </w:p>
    <w:p>
      <w:pPr>
        <w:jc w:val="both"/>
      </w:pPr>
      <w:r>
        <w:rPr>
          <w:rFonts w:ascii="Arial" w:hAnsi="Arial"/>
          <w:sz w:val="22"/>
        </w:rP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pPr>
        <w:jc w:val="both"/>
      </w:pPr>
      <w:r>
        <w:rPr>
          <w:rFonts w:ascii="Arial" w:hAnsi="Arial"/>
          <w:sz w:val="22"/>
        </w:rPr>
        <w:t xml:space="preserve">La distinción entre </w:t>
      </w:r>
      <w:r>
        <w:rPr>
          <w:b/>
        </w:rPr>
        <w:t>pruebas de desarrollo</w:t>
      </w:r>
      <w:r>
        <w:rPr>
          <w:rFonts w:ascii="Arial" w:hAnsi="Arial"/>
          <w:sz w:val="22"/>
        </w:rPr>
        <w:t xml:space="preserve"> y </w:t>
      </w:r>
      <w:r>
        <w:rPr>
          <w:b/>
        </w:rPr>
        <w:t>pruebas formales de aceptación</w:t>
      </w:r>
      <w:r>
        <w:rPr>
          <w:rFonts w:ascii="Arial" w:hAnsi="Arial"/>
          <w:sz w:val="22"/>
        </w:rP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pPr>
        <w:pStyle w:val="Heading2"/>
      </w:pPr>
      <w:r>
        <w:t>4.6 Gestión de modificaciones y resolución de problemas técnicos</w:t>
      </w:r>
    </w:p>
    <w:p>
      <w:pPr>
        <w:jc w:val="both"/>
      </w:pPr>
      <w:r>
        <w:rPr>
          <w:rFonts w:ascii="Arial" w:hAnsi="Arial"/>
          <w:sz w:val="22"/>
        </w:rPr>
        <w:t>El historial de Git registra al menos cinco categorías de problemas técnicos que requirieron modificaciones sustanciales al código o a la base de datos durante el desarrollo.</w:t>
      </w:r>
    </w:p>
    <w:p>
      <w:pPr>
        <w:pStyle w:val="Heading3"/>
      </w:pPr>
      <w:r>
        <w:t>Problema T-01 — Acceso asíncrono a parámetros dinámicos en Next.js App Router</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Elemento</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Situación técnica</w:t>
            </w:r>
          </w:p>
        </w:tc>
        <w:tc>
          <w:tcPr>
            <w:tcW w:type="dxa" w:w="4561"/>
          </w:tcPr>
          <w:p>
            <w:pPr>
              <w:spacing w:before="40" w:after="40"/>
            </w:pPr>
            <w:r>
              <w:rPr>
                <w:rFonts w:ascii="Arial" w:hAnsi="Arial"/>
                <w:sz w:val="20"/>
              </w:rPr>
              <w:t xml:space="preserve">En Next.js con App Router, el objeto </w:t>
            </w:r>
            <w:r>
              <w:rPr>
                <w:rFonts w:ascii="Courier New" w:hAnsi="Courier New"/>
                <w:sz w:val="20"/>
              </w:rPr>
              <w:t>params</w:t>
            </w:r>
            <w:r>
              <w:rPr>
                <w:rFonts w:ascii="Arial" w:hAnsi="Arial"/>
                <w:sz w:val="20"/>
              </w:rPr>
              <w:t xml:space="preserve"> que reciben los Server Components y los Route Handlers de rutas dinámicas es una promesa a partir de ciertas versiones. El acceso directo como </w:t>
            </w:r>
            <w:r>
              <w:rPr>
                <w:rFonts w:ascii="Courier New" w:hAnsi="Courier New"/>
                <w:sz w:val="20"/>
              </w:rPr>
              <w:t>params.id</w:t>
            </w:r>
            <w:r>
              <w:rPr>
                <w:rFonts w:ascii="Arial" w:hAnsi="Arial"/>
                <w:sz w:val="20"/>
              </w:rPr>
              <w:t xml:space="preserve"> produce una advertencia en desarrollo y puede causar errores en producción.</w:t>
            </w:r>
          </w:p>
        </w:tc>
      </w:tr>
      <w:tr>
        <w:tc>
          <w:tcPr>
            <w:tcW w:type="dxa" w:w="4561"/>
          </w:tcPr>
          <w:p>
            <w:pPr>
              <w:spacing w:before="40" w:after="40"/>
            </w:pPr>
            <w:r>
              <w:rPr>
                <w:rFonts w:ascii="Arial" w:hAnsi="Arial"/>
                <w:sz w:val="20"/>
              </w:rPr>
              <w:t>Componentes afectados</w:t>
            </w:r>
          </w:p>
        </w:tc>
        <w:tc>
          <w:tcPr>
            <w:tcW w:type="dxa" w:w="4561"/>
          </w:tcPr>
          <w:p>
            <w:pPr>
              <w:spacing w:before="40" w:after="40"/>
            </w:pPr>
            <w:r>
              <w:rPr>
                <w:rFonts w:ascii="Courier New" w:hAnsi="Courier New"/>
                <w:sz w:val="20"/>
              </w:rPr>
              <w:t>app/modulos/[moduleId]/page.tsx</w:t>
            </w:r>
            <w:r>
              <w:rPr>
                <w:rFonts w:ascii="Arial" w:hAnsi="Arial"/>
                <w:sz w:val="20"/>
              </w:rPr>
              <w:t xml:space="preserve">, </w:t>
            </w:r>
            <w:r>
              <w:rPr>
                <w:rFonts w:ascii="Courier New" w:hAnsi="Courier New"/>
                <w:sz w:val="20"/>
              </w:rPr>
              <w:t>app/vacantes/[id]/page.tsx</w:t>
            </w:r>
            <w:r>
              <w:rPr>
                <w:rFonts w:ascii="Arial" w:hAnsi="Arial"/>
                <w:sz w:val="20"/>
              </w:rPr>
              <w:t xml:space="preserve">, </w:t>
            </w:r>
            <w:r>
              <w:rPr>
                <w:rFonts w:ascii="Courier New" w:hAnsi="Courier New"/>
                <w:sz w:val="20"/>
              </w:rPr>
              <w:t>app/api/attempts/[attemptId]/answers/route.ts</w:t>
            </w:r>
            <w:r>
              <w:rPr>
                <w:rFonts w:ascii="Arial" w:hAnsi="Arial"/>
                <w:sz w:val="20"/>
              </w:rPr>
              <w:t xml:space="preserve">, </w:t>
            </w:r>
            <w:r>
              <w:rPr>
                <w:rFonts w:ascii="Courier New" w:hAnsi="Courier New"/>
                <w:sz w:val="20"/>
              </w:rPr>
              <w:t>app/api/attempts/[attemptId]/submit/route.ts</w:t>
            </w:r>
            <w:r>
              <w:rPr>
                <w:rFonts w:ascii="Arial" w:hAnsi="Arial"/>
                <w:sz w:val="20"/>
              </w:rPr>
              <w:t>, y otras rutas dinámicas.</w:t>
            </w:r>
          </w:p>
        </w:tc>
      </w:tr>
      <w:tr>
        <w:tc>
          <w:tcPr>
            <w:tcW w:type="dxa" w:w="4561"/>
          </w:tcPr>
          <w:p>
            <w:pPr>
              <w:spacing w:before="40" w:after="40"/>
            </w:pPr>
            <w:r>
              <w:rPr>
                <w:rFonts w:ascii="Arial" w:hAnsi="Arial"/>
                <w:sz w:val="20"/>
              </w:rPr>
              <w:t>Modificación realizada</w:t>
            </w:r>
          </w:p>
        </w:tc>
        <w:tc>
          <w:tcPr>
            <w:tcW w:type="dxa" w:w="4561"/>
          </w:tcPr>
          <w:p>
            <w:pPr>
              <w:spacing w:before="40" w:after="40"/>
            </w:pPr>
            <w:r>
              <w:rPr>
                <w:rFonts w:ascii="Arial" w:hAnsi="Arial"/>
                <w:sz w:val="20"/>
              </w:rPr>
              <w:t xml:space="preserve">Acceso mediante </w:t>
            </w:r>
            <w:r>
              <w:rPr>
                <w:rFonts w:ascii="Courier New" w:hAnsi="Courier New"/>
                <w:sz w:val="20"/>
              </w:rPr>
              <w:t>const { id } = await params</w:t>
            </w:r>
            <w:r>
              <w:rPr>
                <w:rFonts w:ascii="Arial" w:hAnsi="Arial"/>
                <w:sz w:val="20"/>
              </w:rPr>
              <w:t xml:space="preserve"> en lugar de </w:t>
            </w:r>
            <w:r>
              <w:rPr>
                <w:rFonts w:ascii="Courier New" w:hAnsi="Courier New"/>
                <w:sz w:val="20"/>
              </w:rPr>
              <w:t>const { id } = params</w:t>
            </w:r>
            <w:r>
              <w:rPr>
                <w:rFonts w:ascii="Arial" w:hAnsi="Arial"/>
                <w:sz w:val="20"/>
              </w:rPr>
              <w:t xml:space="preserve"> en todos los componentes y handlers dinámicos.</w:t>
            </w:r>
          </w:p>
        </w:tc>
      </w:tr>
      <w:tr>
        <w:tc>
          <w:tcPr>
            <w:tcW w:type="dxa" w:w="4561"/>
          </w:tcPr>
          <w:p>
            <w:pPr>
              <w:spacing w:before="40" w:after="40"/>
            </w:pPr>
            <w:r>
              <w:rPr>
                <w:rFonts w:ascii="Arial" w:hAnsi="Arial"/>
                <w:sz w:val="20"/>
              </w:rPr>
              <w:t>Evidencia en Git</w:t>
            </w:r>
          </w:p>
        </w:tc>
        <w:tc>
          <w:tcPr>
            <w:tcW w:type="dxa" w:w="4561"/>
          </w:tcPr>
          <w:p>
            <w:pPr>
              <w:spacing w:before="40" w:after="40"/>
            </w:pPr>
            <w:r>
              <w:rPr>
                <w:rFonts w:ascii="Arial" w:hAnsi="Arial"/>
                <w:sz w:val="20"/>
              </w:rPr>
              <w:t xml:space="preserve">Commits </w:t>
            </w:r>
            <w:r>
              <w:rPr>
                <w:rFonts w:ascii="Courier New" w:hAnsi="Courier New"/>
                <w:sz w:val="20"/>
              </w:rPr>
              <w:t>c77284d</w:t>
            </w:r>
            <w:r>
              <w:rPr>
                <w:rFonts w:ascii="Arial" w:hAnsi="Arial"/>
                <w:sz w:val="20"/>
              </w:rPr>
              <w:t xml:space="preserve">, </w:t>
            </w:r>
            <w:r>
              <w:rPr>
                <w:rFonts w:ascii="Courier New" w:hAnsi="Courier New"/>
                <w:sz w:val="20"/>
              </w:rPr>
              <w:t>518e343</w:t>
            </w:r>
            <w:r>
              <w:rPr>
                <w:rFonts w:ascii="Arial" w:hAnsi="Arial"/>
                <w:sz w:val="20"/>
              </w:rPr>
              <w:t xml:space="preserve">, </w:t>
            </w:r>
            <w:r>
              <w:rPr>
                <w:rFonts w:ascii="Courier New" w:hAnsi="Courier New"/>
                <w:sz w:val="20"/>
              </w:rPr>
              <w:t>9563ccc</w:t>
            </w:r>
            <w:r>
              <w:rPr>
                <w:rFonts w:ascii="Arial" w:hAnsi="Arial"/>
                <w:sz w:val="20"/>
              </w:rPr>
              <w:t xml:space="preserve">, </w:t>
            </w:r>
            <w:r>
              <w:rPr>
                <w:rFonts w:ascii="Courier New" w:hAnsi="Courier New"/>
                <w:sz w:val="20"/>
              </w:rPr>
              <w:t>0905c1c</w:t>
            </w:r>
            <w:r>
              <w:rPr>
                <w:rFonts w:ascii="Arial" w:hAnsi="Arial"/>
                <w:sz w:val="20"/>
              </w:rPr>
              <w:t xml:space="preserve">, </w:t>
            </w:r>
            <w:r>
              <w:rPr>
                <w:rFonts w:ascii="Courier New" w:hAnsi="Courier New"/>
                <w:sz w:val="20"/>
              </w:rPr>
              <w:t>4075114</w:t>
            </w:r>
            <w:r>
              <w:rPr>
                <w:rFonts w:ascii="Arial" w:hAnsi="Arial"/>
                <w:sz w:val="20"/>
              </w:rPr>
              <w:t xml:space="preserve"> (2026-02-18 y 2026-05-15).</w:t>
            </w:r>
          </w:p>
        </w:tc>
      </w:tr>
      <w:tr>
        <w:tc>
          <w:tcPr>
            <w:tcW w:type="dxa" w:w="4561"/>
          </w:tcPr>
          <w:p>
            <w:pPr>
              <w:spacing w:before="40" w:after="40"/>
            </w:pPr>
            <w:r>
              <w:rPr>
                <w:rFonts w:ascii="Arial" w:hAnsi="Arial"/>
                <w:sz w:val="20"/>
              </w:rPr>
              <w:t>Resultado observable</w:t>
            </w:r>
          </w:p>
        </w:tc>
        <w:tc>
          <w:tcPr>
            <w:tcW w:type="dxa" w:w="4561"/>
          </w:tcPr>
          <w:p>
            <w:pPr>
              <w:spacing w:before="40" w:after="40"/>
            </w:pPr>
            <w:r>
              <w:rPr>
                <w:rFonts w:ascii="Arial" w:hAnsi="Arial"/>
                <w:sz w:val="20"/>
              </w:rPr>
              <w:t>Eliminación de advertencias de compilación y comportamiento correcto en rutas dinámicas.</w:t>
            </w:r>
          </w:p>
        </w:tc>
      </w:tr>
      <w:tr>
        <w:tc>
          <w:tcPr>
            <w:tcW w:type="dxa" w:w="4561"/>
          </w:tcPr>
          <w:p>
            <w:pPr>
              <w:spacing w:before="40" w:after="40"/>
            </w:pPr>
            <w:r>
              <w:rPr>
                <w:rFonts w:ascii="Arial" w:hAnsi="Arial"/>
                <w:sz w:val="20"/>
              </w:rPr>
              <w:t>Aprendizaje técnico</w:t>
            </w:r>
          </w:p>
        </w:tc>
        <w:tc>
          <w:tcPr>
            <w:tcW w:type="dxa" w:w="4561"/>
          </w:tcPr>
          <w:p>
            <w:pPr>
              <w:spacing w:before="40" w:after="40"/>
            </w:pPr>
            <w:r>
              <w:rPr>
                <w:rFonts w:ascii="Arial" w:hAnsi="Arial"/>
                <w:sz w:val="20"/>
              </w:rPr>
              <w:t>La documentación de Next.js sobre el modelo de parámetros en App Router especifica el comportamiento asíncrono. Leer las notas de versión antes de comenzar cada incremento previene este tipo de correcciones en cascada.</w:t>
            </w:r>
          </w:p>
        </w:tc>
      </w:tr>
    </w:tbl>
    <w:p/>
    <w:p>
      <w:pPr>
        <w:pStyle w:val="Heading3"/>
      </w:pPr>
      <w:r>
        <w:t>Problema T-02 — Circularidad en las políticas de RLS al verificar el rol</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Elemento</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Situación técnica</w:t>
            </w:r>
          </w:p>
        </w:tc>
        <w:tc>
          <w:tcPr>
            <w:tcW w:type="dxa" w:w="4561"/>
          </w:tcPr>
          <w:p>
            <w:pPr>
              <w:spacing w:before="40" w:after="40"/>
            </w:pPr>
            <w:r>
              <w:rPr>
                <w:rFonts w:ascii="Arial" w:hAnsi="Arial"/>
                <w:sz w:val="20"/>
              </w:rPr>
              <w:t xml:space="preserve">Las políticas de RLS sobre </w:t>
            </w:r>
            <w:r>
              <w:rPr>
                <w:rFonts w:ascii="Courier New" w:hAnsi="Courier New"/>
                <w:sz w:val="20"/>
              </w:rPr>
              <w:t>user_roles</w:t>
            </w:r>
            <w:r>
              <w:rPr>
                <w:rFonts w:ascii="Arial" w:hAnsi="Arial"/>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rFonts w:ascii="Arial" w:hAnsi="Arial"/>
                <w:sz w:val="20"/>
              </w:rPr>
              <w:t xml:space="preserve"> directamente, se producía una recursión: la política intentaba evaluar la condición que dependía de la misma tabla que estaba siendo evaluada.</w:t>
            </w:r>
          </w:p>
        </w:tc>
      </w:tr>
      <w:tr>
        <w:tc>
          <w:tcPr>
            <w:tcW w:type="dxa" w:w="4561"/>
          </w:tcPr>
          <w:p>
            <w:pPr>
              <w:spacing w:before="40" w:after="40"/>
            </w:pPr>
            <w:r>
              <w:rPr>
                <w:rFonts w:ascii="Arial" w:hAnsi="Arial"/>
                <w:sz w:val="20"/>
              </w:rPr>
              <w:t>Componentes afectados</w:t>
            </w:r>
          </w:p>
        </w:tc>
        <w:tc>
          <w:tcPr>
            <w:tcW w:type="dxa" w:w="4561"/>
          </w:tcPr>
          <w:p>
            <w:pPr>
              <w:spacing w:before="40" w:after="40"/>
            </w:pPr>
            <w:r>
              <w:rPr>
                <w:rFonts w:ascii="Courier New" w:hAnsi="Courier New"/>
                <w:sz w:val="20"/>
              </w:rPr>
              <w:t>supabase/rls.sql</w:t>
            </w:r>
            <w:r>
              <w:rPr>
                <w:rFonts w:ascii="Arial" w:hAnsi="Arial"/>
                <w:sz w:val="20"/>
              </w:rPr>
              <w:t xml:space="preserve">, función </w:t>
            </w:r>
            <w:r>
              <w:rPr>
                <w:rFonts w:ascii="Courier New" w:hAnsi="Courier New"/>
                <w:sz w:val="20"/>
              </w:rPr>
              <w:t>get_my_role()</w:t>
            </w:r>
            <w:r>
              <w:rPr>
                <w:rFonts w:ascii="Arial" w:hAnsi="Arial"/>
                <w:sz w:val="20"/>
              </w:rPr>
              <w:t>.</w:t>
            </w:r>
          </w:p>
        </w:tc>
      </w:tr>
      <w:tr>
        <w:tc>
          <w:tcPr>
            <w:tcW w:type="dxa" w:w="4561"/>
          </w:tcPr>
          <w:p>
            <w:pPr>
              <w:spacing w:before="40" w:after="40"/>
            </w:pPr>
            <w:r>
              <w:rPr>
                <w:rFonts w:ascii="Arial" w:hAnsi="Arial"/>
                <w:sz w:val="20"/>
              </w:rPr>
              <w:t>Modificación realizada</w:t>
            </w:r>
          </w:p>
        </w:tc>
        <w:tc>
          <w:tcPr>
            <w:tcW w:type="dxa" w:w="4561"/>
          </w:tcPr>
          <w:p>
            <w:pPr>
              <w:spacing w:before="40" w:after="40"/>
            </w:pPr>
            <w:r>
              <w:rPr>
                <w:rFonts w:ascii="Arial" w:hAnsi="Arial"/>
                <w:sz w:val="20"/>
              </w:rPr>
              <w:t xml:space="preserve">La función </w:t>
            </w:r>
            <w:r>
              <w:rPr>
                <w:rFonts w:ascii="Courier New" w:hAnsi="Courier New"/>
                <w:sz w:val="20"/>
              </w:rPr>
              <w:t>get_my_role()</w:t>
            </w:r>
            <w:r>
              <w:rPr>
                <w:rFonts w:ascii="Arial" w:hAnsi="Arial"/>
                <w:sz w:val="20"/>
              </w:rPr>
              <w:t xml:space="preserve"> se declaró con </w:t>
            </w:r>
            <w:r>
              <w:rPr>
                <w:rFonts w:ascii="Courier New" w:hAnsi="Courier New"/>
                <w:sz w:val="20"/>
              </w:rPr>
              <w:t>SECURITY DEFINER</w:t>
            </w:r>
            <w:r>
              <w:rPr>
                <w:rFonts w:ascii="Arial" w:hAnsi="Arial"/>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rFonts w:ascii="Arial" w:hAnsi="Arial"/>
                <w:sz w:val="20"/>
              </w:rPr>
              <w:t xml:space="preserve"> sin activar sus propias políticas.</w:t>
            </w:r>
          </w:p>
        </w:tc>
      </w:tr>
      <w:tr>
        <w:tc>
          <w:tcPr>
            <w:tcW w:type="dxa" w:w="4561"/>
          </w:tcPr>
          <w:p>
            <w:pPr>
              <w:spacing w:before="40" w:after="40"/>
            </w:pPr>
            <w:r>
              <w:rPr>
                <w:rFonts w:ascii="Arial" w:hAnsi="Arial"/>
                <w:sz w:val="20"/>
              </w:rPr>
              <w:t>Evidencia en Git</w:t>
            </w:r>
          </w:p>
        </w:tc>
        <w:tc>
          <w:tcPr>
            <w:tcW w:type="dxa" w:w="4561"/>
          </w:tcPr>
          <w:p>
            <w:pPr>
              <w:spacing w:before="40" w:after="40"/>
            </w:pPr>
            <w:r>
              <w:rPr>
                <w:rFonts w:ascii="Arial" w:hAnsi="Arial"/>
                <w:sz w:val="20"/>
              </w:rPr>
              <w:t xml:space="preserve">Commit </w:t>
            </w:r>
            <w:r>
              <w:rPr>
                <w:rFonts w:ascii="Courier New" w:hAnsi="Courier New"/>
                <w:sz w:val="20"/>
              </w:rPr>
              <w:t>4d9f058</w:t>
            </w:r>
            <w:r>
              <w:rPr>
                <w:rFonts w:ascii="Arial" w:hAnsi="Arial"/>
                <w:sz w:val="20"/>
              </w:rPr>
              <w:t xml:space="preserve"> (2026-02-17), </w:t>
            </w:r>
            <w:r>
              <w:rPr>
                <w:rFonts w:ascii="Courier New" w:hAnsi="Courier New"/>
                <w:sz w:val="20"/>
              </w:rPr>
              <w:t>ca422c8</w:t>
            </w:r>
            <w:r>
              <w:rPr>
                <w:rFonts w:ascii="Arial" w:hAnsi="Arial"/>
                <w:sz w:val="20"/>
              </w:rPr>
              <w:t xml:space="preserve"> (2026-05-20). El segundo commit corrigió adicionalmente el orden de los </w:t>
            </w:r>
            <w:r>
              <w:rPr>
                <w:rFonts w:ascii="Courier New" w:hAnsi="Courier New"/>
                <w:sz w:val="20"/>
              </w:rPr>
              <w:t>REVOKE</w:t>
            </w:r>
            <w:r>
              <w:rPr>
                <w:rFonts w:ascii="Arial" w:hAnsi="Arial"/>
                <w:sz w:val="20"/>
              </w:rPr>
              <w:t>/</w:t>
            </w:r>
            <w:r>
              <w:rPr>
                <w:rFonts w:ascii="Courier New" w:hAnsi="Courier New"/>
                <w:sz w:val="20"/>
              </w:rPr>
              <w:t>GRANT</w:t>
            </w:r>
            <w:r>
              <w:rPr>
                <w:rFonts w:ascii="Arial" w:hAnsi="Arial"/>
                <w:sz w:val="20"/>
              </w:rPr>
              <w:t xml:space="preserve"> sobre la función, que impedía que ciertos roles la invocaran correctamente.</w:t>
            </w:r>
          </w:p>
        </w:tc>
      </w:tr>
      <w:tr>
        <w:tc>
          <w:tcPr>
            <w:tcW w:type="dxa" w:w="4561"/>
          </w:tcPr>
          <w:p>
            <w:pPr>
              <w:spacing w:before="40" w:after="40"/>
            </w:pPr>
            <w:r>
              <w:rPr>
                <w:rFonts w:ascii="Arial" w:hAnsi="Arial"/>
                <w:sz w:val="20"/>
              </w:rPr>
              <w:t>Resultado observable</w:t>
            </w:r>
          </w:p>
        </w:tc>
        <w:tc>
          <w:tcPr>
            <w:tcW w:type="dxa" w:w="4561"/>
          </w:tcPr>
          <w:p>
            <w:pPr>
              <w:spacing w:before="40" w:after="40"/>
            </w:pPr>
            <w:r>
              <w:rPr>
                <w:rFonts w:ascii="Arial" w:hAnsi="Arial"/>
                <w:sz w:val="20"/>
              </w:rPr>
              <w:t>Políticas de RLS funcionales sin circularidad; el rol se resuelve correctamente en todas las consultas.</w:t>
            </w:r>
          </w:p>
        </w:tc>
      </w:tr>
      <w:tr>
        <w:tc>
          <w:tcPr>
            <w:tcW w:type="dxa" w:w="4561"/>
          </w:tcPr>
          <w:p>
            <w:pPr>
              <w:spacing w:before="40" w:after="40"/>
            </w:pPr>
            <w:r>
              <w:rPr>
                <w:rFonts w:ascii="Arial" w:hAnsi="Arial"/>
                <w:sz w:val="20"/>
              </w:rPr>
              <w:t>Aprendizaje técnico</w:t>
            </w:r>
          </w:p>
        </w:tc>
        <w:tc>
          <w:tcPr>
            <w:tcW w:type="dxa" w:w="4561"/>
          </w:tcPr>
          <w:p>
            <w:pPr>
              <w:spacing w:before="40" w:after="40"/>
            </w:pPr>
            <w:r>
              <w:rPr>
                <w:rFonts w:ascii="Arial" w:hAnsi="Arial"/>
                <w:sz w:val="20"/>
              </w:rPr>
              <w:t xml:space="preserve">Al diseñar funciones que se usan dentro de políticas de RLS, la cláusula </w:t>
            </w:r>
            <w:r>
              <w:rPr>
                <w:rFonts w:ascii="Courier New" w:hAnsi="Courier New"/>
                <w:sz w:val="20"/>
              </w:rPr>
              <w:t>SECURITY DEFINER</w:t>
            </w:r>
            <w:r>
              <w:rPr>
                <w:rFonts w:ascii="Arial" w:hAnsi="Arial"/>
                <w:sz w:val="20"/>
              </w:rPr>
              <w:t xml:space="preserve"> es la herramienta estándar de PostgreSQL para este patrón. Debe usarse con precaución y con </w:t>
            </w:r>
            <w:r>
              <w:rPr>
                <w:rFonts w:ascii="Courier New" w:hAnsi="Courier New"/>
                <w:sz w:val="20"/>
              </w:rPr>
              <w:t>SET search_path = public</w:t>
            </w:r>
            <w:r>
              <w:rPr>
                <w:rFonts w:ascii="Arial" w:hAnsi="Arial"/>
                <w:sz w:val="20"/>
              </w:rPr>
              <w:t xml:space="preserve"> para evitar que el cambio de contexto de seguridad permita inyecciones mediante objetos homónimos en esquemas no controlados.</w:t>
            </w:r>
          </w:p>
        </w:tc>
      </w:tr>
    </w:tbl>
    <w:p/>
    <w:p>
      <w:pPr>
        <w:pStyle w:val="Heading3"/>
      </w:pPr>
      <w:r>
        <w:t>Problema T-03 — Tipado de relaciones anidadas en respuestas de Supabase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Elemento</w:t>
            </w:r>
          </w:p>
        </w:tc>
        <w:tc>
          <w:tcPr>
            <w:tcW w:type="dxa" w:w="2280"/>
          </w:tcPr>
          <w:p>
            <w:pPr>
              <w:spacing w:before="40" w:after="40"/>
            </w:pPr>
            <w:r>
              <w:rPr>
                <w:b/>
                <w:sz w:val="20"/>
              </w:rPr>
              <w:t>Detalle</w:t>
            </w:r>
          </w:p>
        </w:tc>
        <w:tc>
          <w:tcPr>
            <w:tcW w:type="dxa" w:w="2280"/>
          </w:tcPr>
          <w:p>
            <w:pPr>
              <w:spacing w:before="40" w:after="40"/>
            </w:pPr>
            <w:r>
              <w:rPr>
                <w:b/>
                <w:sz w:val="20"/>
              </w:rPr>
            </w:r>
          </w:p>
        </w:tc>
        <w:tc>
          <w:tcPr>
            <w:tcW w:type="dxa" w:w="2280"/>
          </w:tcPr>
          <w:p>
            <w:pPr>
              <w:spacing w:before="40" w:after="40"/>
            </w:pPr>
            <w:r>
              <w:rPr>
                <w:b/>
                <w:sz w:val="20"/>
              </w:rPr>
            </w:r>
          </w:p>
        </w:tc>
      </w:tr>
      <w:tr>
        <w:tc>
          <w:tcPr>
            <w:tcW w:type="dxa" w:w="2280"/>
          </w:tcPr>
          <w:p>
            <w:pPr>
              <w:spacing w:before="40" w:after="40"/>
            </w:pPr>
            <w:r>
              <w:rPr>
                <w:rFonts w:ascii="Arial" w:hAnsi="Arial"/>
                <w:sz w:val="20"/>
              </w:rPr>
              <w:t>Situación técnica</w:t>
            </w:r>
          </w:p>
        </w:tc>
        <w:tc>
          <w:tcPr>
            <w:tcW w:type="dxa" w:w="2280"/>
          </w:tcPr>
          <w:p>
            <w:pPr>
              <w:spacing w:before="40" w:after="40"/>
            </w:pPr>
            <w:r>
              <w:rPr>
                <w:rFonts w:ascii="Arial" w:hAnsi="Arial"/>
                <w:sz w:val="20"/>
              </w:rPr>
              <w:t>Al usar el cliente de Supabase para consultas con relaciones (</w:t>
            </w:r>
            <w:r>
              <w:rPr>
                <w:rFonts w:ascii="Courier New" w:hAnsi="Courier New"/>
                <w:sz w:val="20"/>
              </w:rPr>
              <w:t>select("..., application:applications!inner(user_id)")</w:t>
            </w:r>
            <w:r>
              <w:rPr>
                <w:rFonts w:ascii="Arial" w:hAnsi="Arial"/>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rFonts w:ascii="Arial" w:hAnsi="Arial"/>
                <w:sz w:val="20"/>
              </w:rPr>
              <w:t xml:space="preserve"> porque el tipo inferido era `{user_id: string}</w:t>
            </w:r>
          </w:p>
        </w:tc>
        <w:tc>
          <w:tcPr>
            <w:tcW w:type="dxa" w:w="2280"/>
          </w:tcPr>
          <w:p>
            <w:pPr>
              <w:spacing w:before="40" w:after="40"/>
            </w:pPr>
            <w:r>
              <w:rPr>
                <w:rFonts w:ascii="Arial" w:hAnsi="Arial"/>
                <w:sz w:val="20"/>
              </w:rPr>
              <w:t>{user_id: string}[]</w:t>
            </w:r>
          </w:p>
        </w:tc>
        <w:tc>
          <w:tcPr>
            <w:tcW w:type="dxa" w:w="2280"/>
          </w:tcPr>
          <w:p>
            <w:pPr>
              <w:spacing w:before="40" w:after="40"/>
            </w:pPr>
            <w:r>
              <w:rPr>
                <w:rFonts w:ascii="Arial" w:hAnsi="Arial"/>
                <w:sz w:val="20"/>
              </w:rPr>
              <w:t>null`.</w:t>
            </w:r>
          </w:p>
        </w:tc>
      </w:tr>
      <w:tr>
        <w:tc>
          <w:tcPr>
            <w:tcW w:type="dxa" w:w="2280"/>
          </w:tcPr>
          <w:p>
            <w:pPr>
              <w:spacing w:before="40" w:after="40"/>
            </w:pPr>
            <w:r>
              <w:rPr>
                <w:rFonts w:ascii="Arial" w:hAnsi="Arial"/>
                <w:sz w:val="20"/>
              </w:rPr>
              <w:t>Componentes afectados</w:t>
            </w:r>
          </w:p>
        </w:tc>
        <w:tc>
          <w:tcPr>
            <w:tcW w:type="dxa" w:w="2280"/>
          </w:tcPr>
          <w:p>
            <w:pPr>
              <w:spacing w:before="40" w:after="40"/>
            </w:pPr>
            <w:r>
              <w:rPr>
                <w:rFonts w:ascii="Courier New" w:hAnsi="Courier New"/>
                <w:sz w:val="20"/>
              </w:rPr>
              <w:t>app/api/attempts/[attemptId]/submit/route.ts</w:t>
            </w:r>
            <w:r>
              <w:rPr>
                <w:rFonts w:ascii="Arial" w:hAnsi="Arial"/>
                <w:sz w:val="20"/>
              </w:rPr>
              <w:t xml:space="preserve">, </w:t>
            </w:r>
            <w:r>
              <w:rPr>
                <w:rFonts w:ascii="Courier New" w:hAnsi="Courier New"/>
                <w:sz w:val="20"/>
              </w:rPr>
              <w:t>app/api/attempts/[attemptId]/answers/route.ts</w:t>
            </w:r>
            <w:r>
              <w:rPr>
                <w:rFonts w:ascii="Arial" w:hAnsi="Arial"/>
                <w:sz w:val="20"/>
              </w:rPr>
              <w:t>.</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Modificación realizada</w:t>
            </w:r>
          </w:p>
        </w:tc>
        <w:tc>
          <w:tcPr>
            <w:tcW w:type="dxa" w:w="2280"/>
          </w:tcPr>
          <w:p>
            <w:pPr>
              <w:spacing w:before="40" w:after="40"/>
            </w:pPr>
            <w:r>
              <w:rPr>
                <w:rFonts w:ascii="Arial" w:hAnsi="Arial"/>
                <w:sz w:val="20"/>
              </w:rPr>
              <w:t xml:space="preserve">Se agregó la normalización explícita </w:t>
            </w:r>
            <w:r>
              <w:rPr>
                <w:rFonts w:ascii="Courier New" w:hAnsi="Courier New"/>
                <w:sz w:val="20"/>
              </w:rPr>
              <w:t>const application = Array.isArray(attempt.application) ? attempt.application[0] : attempt.application</w:t>
            </w:r>
            <w:r>
              <w:rPr>
                <w:rFonts w:ascii="Arial" w:hAnsi="Arial"/>
                <w:sz w:val="20"/>
              </w:rPr>
              <w:t xml:space="preserve"> antes de acceder a sus propiedades, junto con la declaración del tipo esperado mediante el genérico </w:t>
            </w:r>
            <w:r>
              <w:rPr>
                <w:rFonts w:ascii="Courier New" w:hAnsi="Courier New"/>
                <w:sz w:val="20"/>
              </w:rPr>
              <w:t>.maybeSingle&lt;AttemptWithApplication&gt;()</w:t>
            </w:r>
            <w:r>
              <w:rPr>
                <w:rFonts w:ascii="Arial" w:hAnsi="Arial"/>
                <w:sz w:val="20"/>
              </w:rPr>
              <w:t>.</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Evidencia en Git</w:t>
            </w:r>
          </w:p>
        </w:tc>
        <w:tc>
          <w:tcPr>
            <w:tcW w:type="dxa" w:w="2280"/>
          </w:tcPr>
          <w:p>
            <w:pPr>
              <w:spacing w:before="40" w:after="40"/>
            </w:pPr>
            <w:r>
              <w:rPr>
                <w:rFonts w:ascii="Arial" w:hAnsi="Arial"/>
                <w:sz w:val="20"/>
              </w:rPr>
              <w:t xml:space="preserve">Commit </w:t>
            </w:r>
            <w:r>
              <w:rPr>
                <w:rFonts w:ascii="Courier New" w:hAnsi="Courier New"/>
                <w:sz w:val="20"/>
              </w:rPr>
              <w:t>4075114</w:t>
            </w:r>
            <w:r>
              <w:rPr>
                <w:rFonts w:ascii="Arial" w:hAnsi="Arial"/>
                <w:sz w:val="20"/>
              </w:rPr>
              <w:t xml:space="preserve"> (2026-05-15).</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Resultado observable</w:t>
            </w:r>
          </w:p>
        </w:tc>
        <w:tc>
          <w:tcPr>
            <w:tcW w:type="dxa" w:w="2280"/>
          </w:tcPr>
          <w:p>
            <w:pPr>
              <w:spacing w:before="40" w:after="40"/>
            </w:pPr>
            <w:r>
              <w:rPr>
                <w:rFonts w:ascii="Arial" w:hAnsi="Arial"/>
                <w:sz w:val="20"/>
              </w:rPr>
              <w:t xml:space="preserve">Compilación limpia del proyecto; el campo </w:t>
            </w:r>
            <w:r>
              <w:rPr>
                <w:rFonts w:ascii="Courier New" w:hAnsi="Courier New"/>
                <w:sz w:val="20"/>
              </w:rPr>
              <w:t>user_id</w:t>
            </w:r>
            <w:r>
              <w:rPr>
                <w:rFonts w:ascii="Arial" w:hAnsi="Arial"/>
                <w:sz w:val="20"/>
              </w:rPr>
              <w:t xml:space="preserve"> es accesible sin errores de tipos.</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Aprendizaje técnico</w:t>
            </w:r>
          </w:p>
        </w:tc>
        <w:tc>
          <w:tcPr>
            <w:tcW w:type="dxa" w:w="2280"/>
          </w:tcPr>
          <w:p>
            <w:pPr>
              <w:spacing w:before="40" w:after="40"/>
            </w:pPr>
            <w:r>
              <w:rPr>
                <w:rFonts w:ascii="Arial" w:hAnsi="Arial"/>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type="dxa" w:w="2280"/>
          </w:tcPr>
          <w:p>
            <w:pPr>
              <w:spacing w:before="40" w:after="40"/>
            </w:pPr>
          </w:p>
        </w:tc>
        <w:tc>
          <w:tcPr>
            <w:tcW w:type="dxa" w:w="2280"/>
          </w:tcPr>
          <w:p>
            <w:pPr>
              <w:spacing w:before="40" w:after="40"/>
            </w:pPr>
          </w:p>
        </w:tc>
      </w:tr>
    </w:tbl>
    <w:p/>
    <w:p>
      <w:pPr>
        <w:pStyle w:val="Heading3"/>
      </w:pPr>
      <w:r>
        <w:t>Problema T-04 — Almacenamiento del resumen psicométrico: columna ausente en producción</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Elemento</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Situación técnica</w:t>
            </w:r>
          </w:p>
        </w:tc>
        <w:tc>
          <w:tcPr>
            <w:tcW w:type="dxa" w:w="4561"/>
          </w:tcPr>
          <w:p>
            <w:pPr>
              <w:spacing w:before="40" w:after="40"/>
            </w:pPr>
            <w:r>
              <w:rPr>
                <w:rFonts w:ascii="Arial" w:hAnsi="Arial"/>
                <w:sz w:val="20"/>
              </w:rPr>
              <w:t xml:space="preserve">La columna </w:t>
            </w:r>
            <w:r>
              <w:rPr>
                <w:rFonts w:ascii="Courier New" w:hAnsi="Courier New"/>
                <w:sz w:val="20"/>
              </w:rPr>
              <w:t>psychometric_summary jsonb</w:t>
            </w:r>
            <w:r>
              <w:rPr>
                <w:rFonts w:ascii="Arial" w:hAnsi="Arial"/>
                <w:sz w:val="20"/>
              </w:rPr>
              <w:t xml:space="preserve"> se agregó a la tabla </w:t>
            </w:r>
            <w:r>
              <w:rPr>
                <w:rFonts w:ascii="Courier New" w:hAnsi="Courier New"/>
                <w:sz w:val="20"/>
              </w:rPr>
              <w:t>attempts</w:t>
            </w:r>
            <w:r>
              <w:rPr>
                <w:rFonts w:ascii="Arial" w:hAnsi="Arial"/>
                <w:sz w:val="20"/>
              </w:rPr>
              <w:t xml:space="preserve"> mediante migración (</w:t>
            </w:r>
            <w:r>
              <w:rPr>
                <w:rFonts w:ascii="Courier New" w:hAnsi="Courier New"/>
                <w:sz w:val="20"/>
              </w:rPr>
              <w:t>migration_attempts_psychometric_summary.sql</w:t>
            </w:r>
            <w:r>
              <w:rPr>
                <w:rFonts w:ascii="Arial" w:hAnsi="Arial"/>
                <w:sz w:val="20"/>
              </w:rPr>
              <w:t>), pero si la migración no se había aplicado en el entorno de producción al momento del despliegue, el intento de actualizar esa columna producía un error de base de datos que impedía el envío del intento por parte del candidato.</w:t>
            </w:r>
          </w:p>
        </w:tc>
      </w:tr>
      <w:tr>
        <w:tc>
          <w:tcPr>
            <w:tcW w:type="dxa" w:w="4561"/>
          </w:tcPr>
          <w:p>
            <w:pPr>
              <w:spacing w:before="40" w:after="40"/>
            </w:pPr>
            <w:r>
              <w:rPr>
                <w:rFonts w:ascii="Arial" w:hAnsi="Arial"/>
                <w:sz w:val="20"/>
              </w:rPr>
              <w:t>Componentes afectados</w:t>
            </w:r>
          </w:p>
        </w:tc>
        <w:tc>
          <w:tcPr>
            <w:tcW w:type="dxa" w:w="4561"/>
          </w:tcPr>
          <w:p>
            <w:pPr>
              <w:spacing w:before="40" w:after="40"/>
            </w:pPr>
            <w:r>
              <w:rPr>
                <w:rFonts w:ascii="Courier New" w:hAnsi="Courier New"/>
                <w:sz w:val="20"/>
              </w:rPr>
              <w:t>app/api/attempts/[attemptId]/submit/route.ts</w:t>
            </w:r>
            <w:r>
              <w:rPr>
                <w:rFonts w:ascii="Arial" w:hAnsi="Arial"/>
                <w:sz w:val="20"/>
              </w:rPr>
              <w:t>.</w:t>
            </w:r>
          </w:p>
        </w:tc>
      </w:tr>
      <w:tr>
        <w:tc>
          <w:tcPr>
            <w:tcW w:type="dxa" w:w="4561"/>
          </w:tcPr>
          <w:p>
            <w:pPr>
              <w:spacing w:before="40" w:after="40"/>
            </w:pPr>
            <w:r>
              <w:rPr>
                <w:rFonts w:ascii="Arial" w:hAnsi="Arial"/>
                <w:sz w:val="20"/>
              </w:rPr>
              <w:t>Modificación realizada</w:t>
            </w:r>
          </w:p>
        </w:tc>
        <w:tc>
          <w:tcPr>
            <w:tcW w:type="dxa" w:w="4561"/>
          </w:tcPr>
          <w:p>
            <w:pPr>
              <w:spacing w:before="40" w:after="40"/>
            </w:pPr>
            <w:r>
              <w:rPr>
                <w:rFonts w:ascii="Arial" w:hAnsi="Arial"/>
                <w:sz w:val="20"/>
              </w:rPr>
              <w:t xml:space="preserve">Se implementó un mecanismo de respaldo: si el error devuelto por Supabase contiene el mensaje </w:t>
            </w:r>
            <w:r>
              <w:rPr>
                <w:rFonts w:ascii="Courier New" w:hAnsi="Courier New"/>
                <w:sz w:val="20"/>
              </w:rPr>
              <w:t>"column"</w:t>
            </w:r>
            <w:r>
              <w:rPr>
                <w:rFonts w:ascii="Arial" w:hAnsi="Arial"/>
                <w:sz w:val="20"/>
              </w:rPr>
              <w:t xml:space="preserve"> y </w:t>
            </w:r>
            <w:r>
              <w:rPr>
                <w:rFonts w:ascii="Courier New" w:hAnsi="Courier New"/>
                <w:sz w:val="20"/>
              </w:rPr>
              <w:t>"psychometric_summary"</w:t>
            </w:r>
            <w:r>
              <w:rPr>
                <w:rFonts w:ascii="Arial" w:hAnsi="Arial"/>
                <w:sz w:val="20"/>
              </w:rPr>
              <w:t xml:space="preserve">, el Route Handler reintenta la actualización sin ese campo y guarda el resumen en la tabla </w:t>
            </w:r>
            <w:r>
              <w:rPr>
                <w:rFonts w:ascii="Courier New" w:hAnsi="Courier New"/>
                <w:sz w:val="20"/>
              </w:rPr>
              <w:t>reviews</w:t>
            </w:r>
            <w:r>
              <w:rPr>
                <w:rFonts w:ascii="Arial" w:hAnsi="Arial"/>
                <w:sz w:val="20"/>
              </w:rPr>
              <w:t xml:space="preserve"> como alternativa. El marcador </w:t>
            </w:r>
            <w:r>
              <w:rPr>
                <w:rFonts w:ascii="Courier New" w:hAnsi="Courier New"/>
                <w:sz w:val="20"/>
              </w:rPr>
              <w:t>isMissingColumnError()</w:t>
            </w:r>
            <w:r>
              <w:rPr>
                <w:rFonts w:ascii="Arial" w:hAnsi="Arial"/>
                <w:sz w:val="20"/>
              </w:rPr>
              <w:t xml:space="preserve"> detecta esta condición.</w:t>
            </w:r>
          </w:p>
        </w:tc>
      </w:tr>
      <w:tr>
        <w:tc>
          <w:tcPr>
            <w:tcW w:type="dxa" w:w="4561"/>
          </w:tcPr>
          <w:p>
            <w:pPr>
              <w:spacing w:before="40" w:after="40"/>
            </w:pPr>
            <w:r>
              <w:rPr>
                <w:rFonts w:ascii="Arial" w:hAnsi="Arial"/>
                <w:sz w:val="20"/>
              </w:rPr>
              <w:t>Evidencia en Git</w:t>
            </w:r>
          </w:p>
        </w:tc>
        <w:tc>
          <w:tcPr>
            <w:tcW w:type="dxa" w:w="4561"/>
          </w:tcPr>
          <w:p>
            <w:pPr>
              <w:spacing w:before="40" w:after="40"/>
            </w:pPr>
            <w:r>
              <w:rPr>
                <w:rFonts w:ascii="Arial" w:hAnsi="Arial"/>
                <w:sz w:val="20"/>
              </w:rPr>
              <w:t xml:space="preserve">Commit </w:t>
            </w:r>
            <w:r>
              <w:rPr>
                <w:rFonts w:ascii="Courier New" w:hAnsi="Courier New"/>
                <w:sz w:val="20"/>
              </w:rPr>
              <w:t>d7c0824</w:t>
            </w:r>
            <w:r>
              <w:rPr>
                <w:rFonts w:ascii="Arial" w:hAnsi="Arial"/>
                <w:sz w:val="20"/>
              </w:rPr>
              <w:t xml:space="preserve"> (2026-03-04).</w:t>
            </w:r>
          </w:p>
        </w:tc>
      </w:tr>
      <w:tr>
        <w:tc>
          <w:tcPr>
            <w:tcW w:type="dxa" w:w="4561"/>
          </w:tcPr>
          <w:p>
            <w:pPr>
              <w:spacing w:before="40" w:after="40"/>
            </w:pPr>
            <w:r>
              <w:rPr>
                <w:rFonts w:ascii="Arial" w:hAnsi="Arial"/>
                <w:sz w:val="20"/>
              </w:rPr>
              <w:t>Resultado observable</w:t>
            </w:r>
          </w:p>
        </w:tc>
        <w:tc>
          <w:tcPr>
            <w:tcW w:type="dxa" w:w="4561"/>
          </w:tcPr>
          <w:p>
            <w:pPr>
              <w:spacing w:before="40" w:after="40"/>
            </w:pPr>
            <w:r>
              <w:rPr>
                <w:rFonts w:ascii="Arial" w:hAnsi="Arial"/>
                <w:sz w:val="20"/>
              </w:rPr>
              <w:t>El sistema puede funcionar en ambos escenarios: con la columna presente (ruta principal) o sin ella (ruta de respaldo).</w:t>
            </w:r>
          </w:p>
        </w:tc>
      </w:tr>
      <w:tr>
        <w:tc>
          <w:tcPr>
            <w:tcW w:type="dxa" w:w="4561"/>
          </w:tcPr>
          <w:p>
            <w:pPr>
              <w:spacing w:before="40" w:after="40"/>
            </w:pPr>
            <w:r>
              <w:rPr>
                <w:rFonts w:ascii="Arial" w:hAnsi="Arial"/>
                <w:sz w:val="20"/>
              </w:rPr>
              <w:t>Aprendizaje técnico</w:t>
            </w:r>
          </w:p>
        </w:tc>
        <w:tc>
          <w:tcPr>
            <w:tcW w:type="dxa" w:w="4561"/>
          </w:tcPr>
          <w:p>
            <w:pPr>
              <w:spacing w:before="40" w:after="40"/>
            </w:pPr>
            <w:r>
              <w:rPr>
                <w:rFonts w:ascii="Arial" w:hAnsi="Arial"/>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p>
      <w:pPr>
        <w:pStyle w:val="Heading3"/>
      </w:pPr>
      <w:r>
        <w:t>Problema T-05 — Tipado del enumerado de decisiones de revisión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Elemento</w:t>
            </w:r>
          </w:p>
        </w:tc>
        <w:tc>
          <w:tcPr>
            <w:tcW w:type="dxa" w:w="2280"/>
          </w:tcPr>
          <w:p>
            <w:pPr>
              <w:spacing w:before="40" w:after="40"/>
            </w:pPr>
            <w:r>
              <w:rPr>
                <w:b/>
                <w:sz w:val="20"/>
              </w:rPr>
              <w:t>Detalle</w:t>
            </w:r>
          </w:p>
        </w:tc>
        <w:tc>
          <w:tcPr>
            <w:tcW w:type="dxa" w:w="2280"/>
          </w:tcPr>
          <w:p>
            <w:pPr>
              <w:spacing w:before="40" w:after="40"/>
            </w:pPr>
            <w:r>
              <w:rPr>
                <w:b/>
                <w:sz w:val="20"/>
              </w:rPr>
            </w:r>
          </w:p>
        </w:tc>
        <w:tc>
          <w:tcPr>
            <w:tcW w:type="dxa" w:w="2280"/>
          </w:tcPr>
          <w:p>
            <w:pPr>
              <w:spacing w:before="40" w:after="40"/>
            </w:pPr>
            <w:r>
              <w:rPr>
                <w:b/>
                <w:sz w:val="20"/>
              </w:rPr>
            </w:r>
          </w:p>
        </w:tc>
      </w:tr>
      <w:tr>
        <w:tc>
          <w:tcPr>
            <w:tcW w:type="dxa" w:w="2280"/>
          </w:tcPr>
          <w:p>
            <w:pPr>
              <w:spacing w:before="40" w:after="40"/>
            </w:pPr>
            <w:r>
              <w:rPr>
                <w:rFonts w:ascii="Arial" w:hAnsi="Arial"/>
                <w:sz w:val="20"/>
              </w:rPr>
              <w:t>Situación técnica</w:t>
            </w:r>
          </w:p>
        </w:tc>
        <w:tc>
          <w:tcPr>
            <w:tcW w:type="dxa" w:w="2280"/>
          </w:tcPr>
          <w:p>
            <w:pPr>
              <w:spacing w:before="40" w:after="40"/>
            </w:pPr>
            <w:r>
              <w:rPr>
                <w:rFonts w:ascii="Arial" w:hAnsi="Arial"/>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Componentes afectados</w:t>
            </w:r>
          </w:p>
        </w:tc>
        <w:tc>
          <w:tcPr>
            <w:tcW w:type="dxa" w:w="2280"/>
          </w:tcPr>
          <w:p>
            <w:pPr>
              <w:spacing w:before="40" w:after="40"/>
            </w:pPr>
            <w:r>
              <w:rPr>
                <w:rFonts w:ascii="Courier New" w:hAnsi="Courier New"/>
                <w:sz w:val="20"/>
              </w:rPr>
              <w:t>app/api/admin/attempts/[id]/route.ts</w:t>
            </w:r>
            <w:r>
              <w:rPr>
                <w:rFonts w:ascii="Arial" w:hAnsi="Arial"/>
                <w:sz w:val="20"/>
              </w:rPr>
              <w:t xml:space="preserve">, </w:t>
            </w:r>
            <w:r>
              <w:rPr>
                <w:rFonts w:ascii="Courier New" w:hAnsi="Courier New"/>
                <w:sz w:val="20"/>
              </w:rPr>
              <w:t>app/admin/attempts/[id]/page.tsx</w:t>
            </w:r>
            <w:r>
              <w:rPr>
                <w:rFonts w:ascii="Arial" w:hAnsi="Arial"/>
                <w:sz w:val="20"/>
              </w:rPr>
              <w:t xml:space="preserve">, </w:t>
            </w:r>
            <w:r>
              <w:rPr>
                <w:rFonts w:ascii="Courier New" w:hAnsi="Courier New"/>
                <w:sz w:val="20"/>
              </w:rPr>
              <w:t>app/api/admin/utils.ts</w:t>
            </w:r>
            <w:r>
              <w:rPr>
                <w:rFonts w:ascii="Arial" w:hAnsi="Arial"/>
                <w:sz w:val="20"/>
              </w:rPr>
              <w:t>.</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Modificación realizada</w:t>
            </w:r>
          </w:p>
        </w:tc>
        <w:tc>
          <w:tcPr>
            <w:tcW w:type="dxa" w:w="2280"/>
          </w:tcPr>
          <w:p>
            <w:pPr>
              <w:spacing w:before="40" w:after="40"/>
            </w:pPr>
            <w:r>
              <w:rPr>
                <w:rFonts w:ascii="Arial" w:hAnsi="Arial"/>
                <w:sz w:val="20"/>
              </w:rPr>
              <w:t xml:space="preserve">Se creó el archivo </w:t>
            </w:r>
            <w:r>
              <w:rPr>
                <w:rFonts w:ascii="Courier New" w:hAnsi="Courier New"/>
                <w:sz w:val="20"/>
              </w:rPr>
              <w:t>lib/reviewDecision.ts</w:t>
            </w:r>
            <w:r>
              <w:rPr>
                <w:rFonts w:ascii="Arial" w:hAnsi="Arial"/>
                <w:sz w:val="20"/>
              </w:rPr>
              <w:t xml:space="preserve"> que exporta el tipo unión `ReviewDecision = "APPROVED"</w:t>
            </w:r>
          </w:p>
        </w:tc>
        <w:tc>
          <w:tcPr>
            <w:tcW w:type="dxa" w:w="2280"/>
          </w:tcPr>
          <w:p>
            <w:pPr>
              <w:spacing w:before="40" w:after="40"/>
            </w:pPr>
            <w:r>
              <w:rPr>
                <w:rFonts w:ascii="Arial" w:hAnsi="Arial"/>
                <w:sz w:val="20"/>
              </w:rPr>
              <w:t>"REJECTED"</w:t>
            </w:r>
          </w:p>
        </w:tc>
        <w:tc>
          <w:tcPr>
            <w:tcW w:type="dxa" w:w="2280"/>
          </w:tcPr>
          <w:p>
            <w:pPr>
              <w:spacing w:before="40" w:after="40"/>
            </w:pPr>
            <w:r>
              <w:rPr>
                <w:rFonts w:ascii="Arial" w:hAnsi="Arial"/>
                <w:sz w:val="20"/>
              </w:rPr>
              <w:t>"INFO_REQUIRED"</w:t>
            </w:r>
            <w:r>
              <w:rPr>
                <w:rFonts w:ascii="Courier New" w:hAnsi="Courier New"/>
                <w:sz w:val="20"/>
              </w:rPr>
              <w:t xml:space="preserve"> y la función de guardia </w:t>
            </w:r>
            <w:r>
              <w:rPr>
                <w:rFonts w:ascii="Arial" w:hAnsi="Arial"/>
                <w:sz w:val="20"/>
              </w:rPr>
              <w:t>isReviewDecision(value)`. Todos los usos del valor de decisión en el código fueron actualizados para usar este tipo.</w:t>
            </w:r>
          </w:p>
        </w:tc>
      </w:tr>
      <w:tr>
        <w:tc>
          <w:tcPr>
            <w:tcW w:type="dxa" w:w="2280"/>
          </w:tcPr>
          <w:p>
            <w:pPr>
              <w:spacing w:before="40" w:after="40"/>
            </w:pPr>
            <w:r>
              <w:rPr>
                <w:rFonts w:ascii="Arial" w:hAnsi="Arial"/>
                <w:sz w:val="20"/>
              </w:rPr>
              <w:t>Evidencia en Git</w:t>
            </w:r>
          </w:p>
        </w:tc>
        <w:tc>
          <w:tcPr>
            <w:tcW w:type="dxa" w:w="2280"/>
          </w:tcPr>
          <w:p>
            <w:pPr>
              <w:spacing w:before="40" w:after="40"/>
            </w:pPr>
            <w:r>
              <w:rPr>
                <w:rFonts w:ascii="Arial" w:hAnsi="Arial"/>
                <w:sz w:val="20"/>
              </w:rPr>
              <w:t xml:space="preserve">Commit </w:t>
            </w:r>
            <w:r>
              <w:rPr>
                <w:rFonts w:ascii="Courier New" w:hAnsi="Courier New"/>
                <w:sz w:val="20"/>
              </w:rPr>
              <w:t>0b84137</w:t>
            </w:r>
            <w:r>
              <w:rPr>
                <w:rFonts w:ascii="Arial" w:hAnsi="Arial"/>
                <w:sz w:val="20"/>
              </w:rPr>
              <w:t xml:space="preserve"> (2026-05-15).</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Resultado observable</w:t>
            </w:r>
          </w:p>
        </w:tc>
        <w:tc>
          <w:tcPr>
            <w:tcW w:type="dxa" w:w="2280"/>
          </w:tcPr>
          <w:p>
            <w:pPr>
              <w:spacing w:before="40" w:after="40"/>
            </w:pPr>
            <w:r>
              <w:rPr>
                <w:rFonts w:ascii="Arial" w:hAnsi="Arial"/>
                <w:sz w:val="20"/>
              </w:rPr>
              <w:t>Compilación limpia; cualquier valor de decisión no reconocido es detectado por TypeScript en tiempo de compilación.</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Aprendizaje técnico</w:t>
            </w:r>
          </w:p>
        </w:tc>
        <w:tc>
          <w:tcPr>
            <w:tcW w:type="dxa" w:w="2280"/>
          </w:tcPr>
          <w:p>
            <w:pPr>
              <w:spacing w:before="40" w:after="40"/>
            </w:pPr>
            <w:r>
              <w:rPr>
                <w:rFonts w:ascii="Arial" w:hAnsi="Arial"/>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type="dxa" w:w="2280"/>
          </w:tcPr>
          <w:p>
            <w:pPr>
              <w:spacing w:before="40" w:after="40"/>
            </w:pPr>
          </w:p>
        </w:tc>
        <w:tc>
          <w:tcPr>
            <w:tcW w:type="dxa" w:w="2280"/>
          </w:tcPr>
          <w:p>
            <w:pPr>
              <w:spacing w:before="40" w:after="40"/>
            </w:pPr>
          </w:p>
        </w:tc>
      </w:tr>
    </w:tbl>
    <w:p/>
    <w:p>
      <w:pPr>
        <w:pStyle w:val="Heading2"/>
      </w:pPr>
      <w:r>
        <w:t>4.7 Herramientas para el control de versiones</w:t>
      </w:r>
    </w:p>
    <w:p>
      <w:pPr>
        <w:jc w:val="both"/>
      </w:pPr>
      <w:r>
        <w:rPr>
          <w:rFonts w:ascii="Arial" w:hAnsi="Arial"/>
          <w:sz w:val="22"/>
        </w:rPr>
        <w:t xml:space="preserve">El sistema de control de versiones utilizado fue </w:t>
      </w:r>
      <w:r>
        <w:rPr>
          <w:b/>
        </w:rPr>
        <w:t>Git</w:t>
      </w:r>
      <w:r>
        <w:rPr>
          <w:rFonts w:ascii="Arial" w:hAnsi="Arial"/>
          <w:sz w:val="22"/>
        </w:rPr>
        <w:t xml:space="preserve">, con el repositorio remoto alojado en </w:t>
      </w:r>
      <w:r>
        <w:rPr>
          <w:b/>
        </w:rPr>
        <w:t>GitHub</w:t>
      </w:r>
      <w:r>
        <w:rPr>
          <w:rFonts w:ascii="Arial" w:hAnsi="Arial"/>
          <w:sz w:val="22"/>
        </w:rPr>
        <w:t xml:space="preserve"> bajo la cuenta </w:t>
      </w:r>
      <w:r>
        <w:rPr>
          <w:rFonts w:ascii="Courier New" w:hAnsi="Courier New"/>
          <w:sz w:val="18"/>
        </w:rPr>
        <w:t>MoyRb</w:t>
      </w:r>
      <w:r>
        <w:rPr>
          <w:rFonts w:ascii="Arial" w:hAnsi="Arial"/>
          <w:sz w:val="22"/>
        </w:rPr>
        <w:t>. El historial del repositorio al cierre del desarrollo registra 56 commits distribuidos a lo largo de seis meses, desde el 30 de diciembre de 2025 hasta el 20 de mayo de 2026.</w:t>
      </w:r>
    </w:p>
    <w:p>
      <w:pPr>
        <w:jc w:val="both"/>
      </w:pPr>
      <w:r>
        <w:rPr>
          <w:rFonts w:ascii="Arial" w:hAnsi="Arial"/>
          <w:sz w:val="22"/>
        </w:rPr>
        <w:t xml:space="preserve">La estrategia de trabajo visible en el historial combina commits directos a la rama </w:t>
      </w:r>
      <w:r>
        <w:rPr>
          <w:rFonts w:ascii="Courier New" w:hAnsi="Courier New"/>
          <w:sz w:val="18"/>
        </w:rPr>
        <w:t>main</w:t>
      </w:r>
      <w:r>
        <w:rPr>
          <w:rFonts w:ascii="Arial" w:hAnsi="Arial"/>
          <w:sz w:val="22"/>
        </w:rPr>
        <w:t xml:space="preserve"> para el trabajo de desarrollo individual, con ramas de trabajo que se integran mediante </w:t>
      </w:r>
      <w:r>
        <w:rPr>
          <w:i/>
        </w:rPr>
        <w:t>pull requests</w:t>
      </w:r>
      <w:r>
        <w:rPr>
          <w:rFonts w:ascii="Arial" w:hAnsi="Arial"/>
          <w:sz w:val="22"/>
        </w:rPr>
        <w:t xml:space="preserve">. Los nombres de las ramas siguen un patrón consistente con el prefijo </w:t>
      </w:r>
      <w:r>
        <w:rPr>
          <w:rFonts w:ascii="Courier New" w:hAnsi="Courier New"/>
          <w:sz w:val="18"/>
        </w:rPr>
        <w:t>codex/</w:t>
      </w:r>
      <w:r>
        <w:rPr>
          <w:rFonts w:ascii="Arial" w:hAnsi="Arial"/>
          <w:sz w:val="22"/>
        </w:rPr>
        <w:t xml:space="preserve"> seguido de una descripción del cambio (por ejemplo, </w:t>
      </w:r>
      <w:r>
        <w:rPr>
          <w:rFonts w:ascii="Courier New" w:hAnsi="Courier New"/>
          <w:sz w:val="18"/>
        </w:rPr>
        <w:t>codex/fix-typescript-build-errors</w:t>
      </w:r>
      <w:r>
        <w:rPr>
          <w:rFonts w:ascii="Arial" w:hAnsi="Arial"/>
          <w:sz w:val="22"/>
        </w:rPr>
        <w:t xml:space="preserve">, </w:t>
      </w:r>
      <w:r>
        <w:rPr>
          <w:rFonts w:ascii="Courier New" w:hAnsi="Courier New"/>
          <w:sz w:val="18"/>
        </w:rPr>
        <w:t>codex/implement-assessment-completion-requirement</w:t>
      </w:r>
      <w:r>
        <w:rPr>
          <w:rFonts w:ascii="Arial" w:hAnsi="Arial"/>
          <w:sz w:val="22"/>
        </w:rPr>
        <w:t>). Esta convención facilita identificar el propósito de cada integración al revisar el historial.</w:t>
      </w:r>
    </w:p>
    <w:p>
      <w:pPr>
        <w:jc w:val="both"/>
      </w:pPr>
      <w:r>
        <w:rPr>
          <w:rFonts w:ascii="Arial" w:hAnsi="Arial"/>
          <w:sz w:val="22"/>
        </w:rP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pPr>
        <w:jc w:val="both"/>
      </w:pPr>
      <w:r>
        <w:rPr>
          <w:rFonts w:ascii="Arial" w:hAnsi="Arial"/>
          <w:sz w:val="22"/>
        </w:rPr>
        <w:t xml:space="preserve">El archivo </w:t>
      </w:r>
      <w:r>
        <w:rPr>
          <w:rFonts w:ascii="Courier New" w:hAnsi="Courier New"/>
          <w:sz w:val="18"/>
        </w:rPr>
        <w:t>.gitignore</w:t>
      </w:r>
      <w:r>
        <w:rPr>
          <w:rFonts w:ascii="Arial" w:hAnsi="Arial"/>
          <w:sz w:val="22"/>
        </w:rPr>
        <w:t xml:space="preserve"> excluye correctamente los archivos </w:t>
      </w:r>
      <w:r>
        <w:rPr>
          <w:rFonts w:ascii="Courier New" w:hAnsi="Courier New"/>
          <w:sz w:val="18"/>
        </w:rPr>
        <w:t>.env.local</w:t>
      </w:r>
      <w:r>
        <w:rPr>
          <w:rFonts w:ascii="Arial" w:hAnsi="Arial"/>
          <w:sz w:val="22"/>
        </w:rPr>
        <w:t xml:space="preserve"> y </w:t>
      </w:r>
      <w:r>
        <w:rPr>
          <w:rFonts w:ascii="Courier New" w:hAnsi="Courier New"/>
          <w:sz w:val="18"/>
        </w:rPr>
        <w:t>.env*.local</w:t>
      </w:r>
      <w:r>
        <w:rPr>
          <w:rFonts w:ascii="Arial" w:hAnsi="Arial"/>
          <w:sz w:val="22"/>
        </w:rPr>
        <w:t xml:space="preserve"> que contienen las variables de entorno con credenciales sensibles, garantizando que éstas no queden expuestas en el historial del repositorio.</w:t>
      </w:r>
    </w:p>
    <w:p>
      <w:pPr>
        <w:pStyle w:val="Heading2"/>
      </w:pPr>
      <w:r>
        <w:t>4.8 Relación con el proceso de prototipado evolutivo</w:t>
      </w:r>
    </w:p>
    <w:p>
      <w:pPr>
        <w:jc w:val="both"/>
      </w:pPr>
      <w:r>
        <w:rPr>
          <w:rFonts w:ascii="Arial" w:hAnsi="Arial"/>
          <w:sz w:val="22"/>
        </w:rPr>
        <w:t>La siguiente tabla vincula las fases del modelo de prototipado evolutivo, tal como se describe en el Trabajo A (Arciniega Robles, 2026, sección 3.1), con las actividades técnicas del Trabajo 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Fase del modelo (Trabajo A)</w:t>
            </w:r>
          </w:p>
        </w:tc>
        <w:tc>
          <w:tcPr>
            <w:tcW w:type="dxa" w:w="2280"/>
          </w:tcPr>
          <w:p>
            <w:pPr>
              <w:spacing w:before="40" w:after="40"/>
            </w:pPr>
            <w:r>
              <w:rPr>
                <w:b/>
                <w:sz w:val="20"/>
              </w:rPr>
              <w:t>Actividad técnica (Trabajo B)</w:t>
            </w:r>
          </w:p>
        </w:tc>
        <w:tc>
          <w:tcPr>
            <w:tcW w:type="dxa" w:w="2280"/>
          </w:tcPr>
          <w:p>
            <w:pPr>
              <w:spacing w:before="40" w:after="40"/>
            </w:pPr>
            <w:r>
              <w:rPr>
                <w:b/>
                <w:sz w:val="20"/>
              </w:rPr>
              <w:t>Iteración</w:t>
            </w:r>
          </w:p>
        </w:tc>
        <w:tc>
          <w:tcPr>
            <w:tcW w:type="dxa" w:w="2280"/>
          </w:tcPr>
          <w:p>
            <w:pPr>
              <w:spacing w:before="40" w:after="40"/>
            </w:pPr>
            <w:r>
              <w:rPr>
                <w:b/>
                <w:sz w:val="20"/>
              </w:rPr>
              <w:t>Evidencia</w:t>
            </w:r>
          </w:p>
        </w:tc>
      </w:tr>
      <w:tr>
        <w:tc>
          <w:tcPr>
            <w:tcW w:type="dxa" w:w="2280"/>
          </w:tcPr>
          <w:p>
            <w:pPr>
              <w:spacing w:before="40" w:after="40"/>
            </w:pPr>
            <w:r>
              <w:rPr>
                <w:rFonts w:ascii="Arial" w:hAnsi="Arial"/>
                <w:sz w:val="20"/>
              </w:rPr>
              <w:t>Definición de requisitos iniciales</w:t>
            </w:r>
          </w:p>
        </w:tc>
        <w:tc>
          <w:tcPr>
            <w:tcW w:type="dxa" w:w="2280"/>
          </w:tcPr>
          <w:p>
            <w:pPr>
              <w:spacing w:before="40" w:after="40"/>
            </w:pPr>
            <w:r>
              <w:rPr>
                <w:rFonts w:ascii="Arial" w:hAnsi="Arial"/>
                <w:sz w:val="20"/>
              </w:rPr>
              <w:t>Lectura del catálogo de RF, RNF y CU del Trabajo A; identificación de tablas y endpoints necesarios</w:t>
            </w:r>
          </w:p>
        </w:tc>
        <w:tc>
          <w:tcPr>
            <w:tcW w:type="dxa" w:w="2280"/>
          </w:tcPr>
          <w:p>
            <w:pPr>
              <w:spacing w:before="40" w:after="40"/>
            </w:pPr>
            <w:r>
              <w:rPr>
                <w:rFonts w:ascii="Arial" w:hAnsi="Arial"/>
                <w:sz w:val="20"/>
              </w:rPr>
              <w:t>Previa a cada iteración</w:t>
            </w:r>
          </w:p>
        </w:tc>
        <w:tc>
          <w:tcPr>
            <w:tcW w:type="dxa" w:w="2280"/>
          </w:tcPr>
          <w:p>
            <w:pPr>
              <w:spacing w:before="40" w:after="40"/>
            </w:pPr>
            <w:r>
              <w:rPr>
                <w:rFonts w:ascii="Courier New" w:hAnsi="Courier New"/>
                <w:sz w:val="20"/>
              </w:rPr>
              <w:t>docs/titulacion/02-matriz-requisitos-implementacion.md</w:t>
            </w:r>
          </w:p>
        </w:tc>
      </w:tr>
      <w:tr>
        <w:tc>
          <w:tcPr>
            <w:tcW w:type="dxa" w:w="2280"/>
          </w:tcPr>
          <w:p>
            <w:pPr>
              <w:spacing w:before="40" w:after="40"/>
            </w:pPr>
            <w:r>
              <w:rPr>
                <w:rFonts w:ascii="Arial" w:hAnsi="Arial"/>
                <w:sz w:val="20"/>
              </w:rPr>
              <w:t>Diseño rápido del prototipo</w:t>
            </w:r>
          </w:p>
        </w:tc>
        <w:tc>
          <w:tcPr>
            <w:tcW w:type="dxa" w:w="2280"/>
          </w:tcPr>
          <w:p>
            <w:pPr>
              <w:spacing w:before="40" w:after="40"/>
            </w:pPr>
            <w:r>
              <w:rPr>
                <w:rFonts w:ascii="Arial" w:hAnsi="Arial"/>
                <w:sz w:val="20"/>
              </w:rPr>
              <w:t>Definición de rutas Next.js, tipos TypeScript y consultas Supabase antes de implementar</w:t>
            </w:r>
          </w:p>
        </w:tc>
        <w:tc>
          <w:tcPr>
            <w:tcW w:type="dxa" w:w="2280"/>
          </w:tcPr>
          <w:p>
            <w:pPr>
              <w:spacing w:before="40" w:after="40"/>
            </w:pPr>
            <w:r>
              <w:rPr>
                <w:rFonts w:ascii="Arial" w:hAnsi="Arial"/>
                <w:sz w:val="20"/>
              </w:rPr>
              <w:t>Iteraciones 1-8</w:t>
            </w:r>
          </w:p>
        </w:tc>
        <w:tc>
          <w:tcPr>
            <w:tcW w:type="dxa" w:w="2280"/>
          </w:tcPr>
          <w:p>
            <w:pPr>
              <w:spacing w:before="40" w:after="40"/>
            </w:pPr>
            <w:r>
              <w:rPr>
                <w:rFonts w:ascii="Arial" w:hAnsi="Arial"/>
                <w:sz w:val="20"/>
              </w:rPr>
              <w:t xml:space="preserve">Arquitectura visible en </w:t>
            </w:r>
            <w:r>
              <w:rPr>
                <w:rFonts w:ascii="Courier New" w:hAnsi="Courier New"/>
                <w:sz w:val="20"/>
              </w:rPr>
              <w:t>app/</w:t>
            </w:r>
            <w:r>
              <w:rPr>
                <w:rFonts w:ascii="Arial" w:hAnsi="Arial"/>
                <w:sz w:val="20"/>
              </w:rPr>
              <w:t xml:space="preserve"> y </w:t>
            </w:r>
            <w:r>
              <w:rPr>
                <w:rFonts w:ascii="Courier New" w:hAnsi="Courier New"/>
                <w:sz w:val="20"/>
              </w:rPr>
              <w:t>supabase/</w:t>
            </w:r>
          </w:p>
        </w:tc>
      </w:tr>
      <w:tr>
        <w:tc>
          <w:tcPr>
            <w:tcW w:type="dxa" w:w="2280"/>
          </w:tcPr>
          <w:p>
            <w:pPr>
              <w:spacing w:before="40" w:after="40"/>
            </w:pPr>
            <w:r>
              <w:rPr>
                <w:rFonts w:ascii="Arial" w:hAnsi="Arial"/>
                <w:sz w:val="20"/>
              </w:rPr>
              <w:t>Construcción del prototipo</w:t>
            </w:r>
          </w:p>
        </w:tc>
        <w:tc>
          <w:tcPr>
            <w:tcW w:type="dxa" w:w="2280"/>
          </w:tcPr>
          <w:p>
            <w:pPr>
              <w:spacing w:before="40" w:after="40"/>
            </w:pPr>
            <w:r>
              <w:rPr>
                <w:rFonts w:ascii="Arial" w:hAnsi="Arial"/>
                <w:sz w:val="20"/>
              </w:rPr>
              <w:t>Implementación de Server Components, Client Components y Route Handlers</w:t>
            </w:r>
          </w:p>
        </w:tc>
        <w:tc>
          <w:tcPr>
            <w:tcW w:type="dxa" w:w="2280"/>
          </w:tcPr>
          <w:p>
            <w:pPr>
              <w:spacing w:before="40" w:after="40"/>
            </w:pPr>
            <w:r>
              <w:rPr>
                <w:rFonts w:ascii="Arial" w:hAnsi="Arial"/>
                <w:sz w:val="20"/>
              </w:rPr>
              <w:t>Iteraciones 1-8</w:t>
            </w:r>
          </w:p>
        </w:tc>
        <w:tc>
          <w:tcPr>
            <w:tcW w:type="dxa" w:w="2280"/>
          </w:tcPr>
          <w:p>
            <w:pPr>
              <w:spacing w:before="40" w:after="40"/>
            </w:pPr>
            <w:r>
              <w:rPr>
                <w:rFonts w:ascii="Arial" w:hAnsi="Arial"/>
                <w:sz w:val="20"/>
              </w:rPr>
              <w:t>Commits en Git (ver sección 4.4)</w:t>
            </w:r>
          </w:p>
        </w:tc>
      </w:tr>
      <w:tr>
        <w:tc>
          <w:tcPr>
            <w:tcW w:type="dxa" w:w="2280"/>
          </w:tcPr>
          <w:p>
            <w:pPr>
              <w:spacing w:before="40" w:after="40"/>
            </w:pPr>
            <w:r>
              <w:rPr>
                <w:rFonts w:ascii="Arial" w:hAnsi="Arial"/>
                <w:sz w:val="20"/>
              </w:rPr>
              <w:t>Evaluación del prototipo</w:t>
            </w:r>
          </w:p>
        </w:tc>
        <w:tc>
          <w:tcPr>
            <w:tcW w:type="dxa" w:w="2280"/>
          </w:tcPr>
          <w:p>
            <w:pPr>
              <w:spacing w:before="40" w:after="40"/>
            </w:pPr>
            <w:r>
              <w:rPr>
                <w:rFonts w:ascii="Arial" w:hAnsi="Arial"/>
                <w:sz w:val="20"/>
              </w:rPr>
              <w:t>Verificación funcional manual del flujo completo de cada incremento</w:t>
            </w:r>
          </w:p>
        </w:tc>
        <w:tc>
          <w:tcPr>
            <w:tcW w:type="dxa" w:w="2280"/>
          </w:tcPr>
          <w:p>
            <w:pPr>
              <w:spacing w:before="40" w:after="40"/>
            </w:pPr>
            <w:r>
              <w:rPr>
                <w:rFonts w:ascii="Arial" w:hAnsi="Arial"/>
                <w:sz w:val="20"/>
              </w:rPr>
              <w:t>Tras cada iteración</w:t>
            </w:r>
          </w:p>
        </w:tc>
        <w:tc>
          <w:tcPr>
            <w:tcW w:type="dxa" w:w="2280"/>
          </w:tcPr>
          <w:p>
            <w:pPr>
              <w:spacing w:before="40" w:after="40"/>
            </w:pPr>
            <w:r>
              <w:rPr>
                <w:rFonts w:ascii="Arial" w:hAnsi="Arial"/>
                <w:sz w:val="20"/>
              </w:rPr>
              <w:t>Correcciones en la misma o siguiente iteración</w:t>
            </w:r>
          </w:p>
        </w:tc>
      </w:tr>
      <w:tr>
        <w:tc>
          <w:tcPr>
            <w:tcW w:type="dxa" w:w="2280"/>
          </w:tcPr>
          <w:p>
            <w:pPr>
              <w:spacing w:before="40" w:after="40"/>
            </w:pPr>
            <w:r>
              <w:rPr>
                <w:rFonts w:ascii="Arial" w:hAnsi="Arial"/>
                <w:sz w:val="20"/>
              </w:rPr>
              <w:t>Refinamiento</w:t>
            </w:r>
          </w:p>
        </w:tc>
        <w:tc>
          <w:tcPr>
            <w:tcW w:type="dxa" w:w="2280"/>
          </w:tcPr>
          <w:p>
            <w:pPr>
              <w:spacing w:before="40" w:after="40"/>
            </w:pPr>
            <w:r>
              <w:rPr>
                <w:rFonts w:ascii="Arial" w:hAnsi="Arial"/>
                <w:sz w:val="20"/>
              </w:rPr>
              <w:t>Corrección de errores, ajuste de comportamiento, mejoras de interfaz</w:t>
            </w:r>
          </w:p>
        </w:tc>
        <w:tc>
          <w:tcPr>
            <w:tcW w:type="dxa" w:w="2280"/>
          </w:tcPr>
          <w:p>
            <w:pPr>
              <w:spacing w:before="40" w:after="40"/>
            </w:pPr>
            <w:r>
              <w:rPr>
                <w:rFonts w:ascii="Arial" w:hAnsi="Arial"/>
                <w:sz w:val="20"/>
              </w:rPr>
              <w:t>Iteraciones 5, 7, 8</w:t>
            </w:r>
          </w:p>
        </w:tc>
        <w:tc>
          <w:tcPr>
            <w:tcW w:type="dxa" w:w="2280"/>
          </w:tcPr>
          <w:p>
            <w:pPr>
              <w:spacing w:before="40" w:after="40"/>
            </w:pPr>
            <w:r>
              <w:rPr>
                <w:rFonts w:ascii="Arial" w:hAnsi="Arial"/>
                <w:sz w:val="20"/>
              </w:rPr>
              <w:t>Commits de fix y ajuste (T-01 a T-05)</w:t>
            </w:r>
          </w:p>
        </w:tc>
      </w:tr>
      <w:tr>
        <w:tc>
          <w:tcPr>
            <w:tcW w:type="dxa" w:w="2280"/>
          </w:tcPr>
          <w:p>
            <w:pPr>
              <w:spacing w:before="40" w:after="40"/>
            </w:pPr>
            <w:r>
              <w:rPr>
                <w:rFonts w:ascii="Arial" w:hAnsi="Arial"/>
                <w:sz w:val="20"/>
              </w:rPr>
              <w:t>Entrega de la versión funcional</w:t>
            </w:r>
          </w:p>
        </w:tc>
        <w:tc>
          <w:tcPr>
            <w:tcW w:type="dxa" w:w="2280"/>
          </w:tcPr>
          <w:p>
            <w:pPr>
              <w:spacing w:before="40" w:after="40"/>
            </w:pPr>
            <w:r>
              <w:rPr>
                <w:rFonts w:ascii="Arial" w:hAnsi="Arial"/>
                <w:sz w:val="20"/>
              </w:rPr>
              <w:t>Sistema completo con 18 RF implementados, ejecutable localmente</w:t>
            </w:r>
          </w:p>
        </w:tc>
        <w:tc>
          <w:tcPr>
            <w:tcW w:type="dxa" w:w="2280"/>
          </w:tcPr>
          <w:p>
            <w:pPr>
              <w:spacing w:before="40" w:after="40"/>
            </w:pPr>
            <w:r>
              <w:rPr>
                <w:rFonts w:ascii="Arial" w:hAnsi="Arial"/>
                <w:sz w:val="20"/>
              </w:rPr>
              <w:t>Iteración 8</w:t>
            </w:r>
          </w:p>
        </w:tc>
        <w:tc>
          <w:tcPr>
            <w:tcW w:type="dxa" w:w="2280"/>
          </w:tcPr>
          <w:p>
            <w:pPr>
              <w:spacing w:before="40" w:after="40"/>
            </w:pPr>
            <w:r>
              <w:rPr>
                <w:rFonts w:ascii="Arial" w:hAnsi="Arial"/>
                <w:sz w:val="20"/>
              </w:rPr>
              <w:t xml:space="preserve">Estado final del repositorio </w:t>
            </w:r>
            <w:r>
              <w:rPr>
                <w:rFonts w:ascii="Courier New" w:hAnsi="Courier New"/>
                <w:sz w:val="20"/>
              </w:rPr>
              <w:t>main</w:t>
            </w:r>
          </w:p>
        </w:tc>
      </w:tr>
    </w:tbl>
    <w:p/>
    <w:p>
      <w:pPr>
        <w:jc w:val="both"/>
      </w:pPr>
      <w:r>
        <w:rPr>
          <w:rFonts w:ascii="Arial" w:hAnsi="Arial"/>
          <w:sz w:val="22"/>
        </w:rP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iteraciones para alcanzar la arquitectura definitiva.</w:t>
      </w:r>
    </w:p>
    <w:p>
      <w:pPr>
        <w:pStyle w:val="Heading2"/>
      </w:pPr>
      <w:r>
        <w:t>4.9 Evaluación de la metodología</w:t>
      </w:r>
    </w:p>
    <w:p>
      <w:pPr>
        <w:pStyle w:val="Heading3"/>
      </w:pPr>
      <w:r>
        <w:t>Ventajas observadas en el contexto del proyecto</w:t>
      </w:r>
    </w:p>
    <w:p>
      <w:pPr>
        <w:jc w:val="both"/>
      </w:pPr>
      <w:r>
        <w:rPr>
          <w:b/>
        </w:rPr>
        <w:t>Flexibilidad ante requisitos emergentes.</w:t>
      </w:r>
      <w:r>
        <w:rPr>
          <w:rFonts w:ascii="Arial" w:hAnsi="Arial"/>
          <w:sz w:val="22"/>
        </w:rP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pPr>
        <w:jc w:val="both"/>
      </w:pPr>
      <w:r>
        <w:rPr>
          <w:b/>
        </w:rPr>
        <w:t>Verificación temprana del comportamiento.</w:t>
      </w:r>
      <w:r>
        <w:rPr>
          <w:rFonts w:ascii="Arial" w:hAnsi="Arial"/>
          <w:sz w:val="22"/>
        </w:rP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pPr>
        <w:jc w:val="both"/>
      </w:pPr>
      <w:r>
        <w:rPr>
          <w:b/>
        </w:rPr>
        <w:t>Adaptabilidad del equipo reducido.</w:t>
      </w:r>
      <w:r>
        <w:rPr>
          <w:rFonts w:ascii="Arial" w:hAnsi="Arial"/>
          <w:sz w:val="22"/>
        </w:rPr>
        <w:t xml:space="preserve"> Para un desarrollador individual, la capacidad de decidir en cada ciclo qué funcionalidad implementar a continuación —sin overhead de planificación formal— fue una ventaja operativa real.</w:t>
      </w:r>
    </w:p>
    <w:p>
      <w:pPr>
        <w:pStyle w:val="Heading3"/>
      </w:pPr>
      <w:r>
        <w:t>Limitaciones observadas</w:t>
      </w:r>
    </w:p>
    <w:p>
      <w:pPr>
        <w:jc w:val="both"/>
      </w:pPr>
      <w:r>
        <w:rPr>
          <w:b/>
        </w:rPr>
        <w:t>Ausencia de pruebas automatizadas.</w:t>
      </w:r>
      <w:r>
        <w:rPr>
          <w:rFonts w:ascii="Arial" w:hAnsi="Arial"/>
          <w:sz w:val="22"/>
        </w:rP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pPr>
        <w:jc w:val="both"/>
      </w:pPr>
      <w:r>
        <w:rPr>
          <w:b/>
        </w:rPr>
        <w:t>Acumulación de mecanismos de compatibilidad.</w:t>
      </w:r>
      <w:r>
        <w:rPr>
          <w:rFonts w:ascii="Arial" w:hAnsi="Arial"/>
          <w:sz w:val="22"/>
        </w:rPr>
        <w:t xml:space="preserve"> El mecanismo de respaldo para </w:t>
      </w:r>
      <w:r>
        <w:rPr>
          <w:rFonts w:ascii="Courier New" w:hAnsi="Courier New"/>
          <w:sz w:val="18"/>
        </w:rPr>
        <w:t>psychometric_summary</w:t>
      </w:r>
      <w:r>
        <w:rPr>
          <w:rFonts w:ascii="Arial" w:hAnsi="Arial"/>
          <w:sz w:val="22"/>
        </w:rPr>
        <w:t xml:space="preserve"> (T-04) y el doble almacenamiento de decisiones administrativas (D-02) son ejemplos de código que acumula soluciones de compatibilidad que en un ciclo de refactorización posterior deberían simplificarse.</w:t>
      </w:r>
    </w:p>
    <w:p>
      <w:pPr>
        <w:jc w:val="both"/>
      </w:pPr>
      <w:r>
        <w:rPr>
          <w:b/>
        </w:rPr>
        <w:t>Dependencia del historial de Git como documentación.</w:t>
      </w:r>
      <w:r>
        <w:rPr>
          <w:rFonts w:ascii="Arial" w:hAnsi="Arial"/>
          <w:sz w:val="22"/>
        </w:rP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rPr>
          <w:rFonts w:ascii="Arial" w:hAnsi="Arial"/>
          <w:sz w:val="22"/>
        </w:rPr>
        <w:t xml:space="preserve"> con el mensaje "si"— no aportan información sobre el propósito del cambio, lo que reduce la trazabilidad en esos puntos.</w:t>
      </w:r>
    </w:p>
    <w:p>
      <w:pPr>
        <w:pStyle w:val="Heading3"/>
      </w:pPr>
      <w:r>
        <w:t>Adecuación al proyecto</w:t>
      </w:r>
    </w:p>
    <w:p>
      <w:pPr>
        <w:jc w:val="both"/>
      </w:pPr>
      <w:r>
        <w:rPr>
          <w:rFonts w:ascii="Arial" w:hAnsi="Arial"/>
          <w:sz w:val="22"/>
        </w:rP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pPr>
        <w:pStyle w:val="Heading2"/>
      </w:pPr>
      <w:r>
        <w:t>4.10 Conclusiones del capítulo</w:t>
      </w:r>
    </w:p>
    <w:p>
      <w:pPr>
        <w:jc w:val="both"/>
      </w:pPr>
      <w:r>
        <w:rPr>
          <w:rFonts w:ascii="Arial" w:hAnsi="Arial"/>
          <w:sz w:val="22"/>
        </w:rP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pPr>
        <w:jc w:val="both"/>
      </w:pPr>
      <w:r>
        <w:rPr>
          <w:rFonts w:ascii="Arial" w:hAnsi="Arial"/>
          <w:sz w:val="22"/>
        </w:rP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manifiestan al compilar para producción.</w:t>
      </w:r>
    </w:p>
    <w:p>
      <w:pPr>
        <w:jc w:val="both"/>
      </w:pPr>
      <w:r>
        <w:rPr>
          <w:rFonts w:ascii="Arial" w:hAnsi="Arial"/>
          <w:sz w:val="22"/>
        </w:rP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r>
        <w:br w:type="page"/>
      </w:r>
    </w:p>
    <w:p>
      <w:pPr>
        <w:pStyle w:val="Heading1"/>
      </w:pPr>
      <w:r>
        <w:t>Capítulo V. Desarrollo e implementación del sistema</w:t>
      </w:r>
    </w:p>
    <w:p>
      <w:pPr>
        <w:pStyle w:val="Heading2"/>
      </w:pPr>
      <w:r>
        <w:t>5.1 Organización y arquitectura del software implementado</w:t>
      </w:r>
    </w:p>
    <w:p>
      <w:pPr>
        <w:pStyle w:val="Heading3"/>
      </w:pPr>
      <w:r>
        <w:t>5.1.1 Estructura de directorios</w:t>
      </w:r>
    </w:p>
    <w:p>
      <w:pPr>
        <w:jc w:val="both"/>
      </w:pPr>
      <w:r>
        <w:rPr>
          <w:rFonts w:ascii="Arial" w:hAnsi="Arial"/>
          <w:sz w:val="22"/>
        </w:rPr>
        <w:t xml:space="preserve">UCES Plataforma de Talento es un monorepo organizado en dos grandes carpetas: </w:t>
      </w:r>
      <w:r>
        <w:rPr>
          <w:rFonts w:ascii="Courier New" w:hAnsi="Courier New"/>
          <w:sz w:val="18"/>
        </w:rPr>
        <w:t>my-app/</w:t>
      </w:r>
      <w:r>
        <w:rPr>
          <w:rFonts w:ascii="Arial" w:hAnsi="Arial"/>
          <w:sz w:val="22"/>
        </w:rPr>
        <w:t xml:space="preserve">, que contiene toda la aplicación Next.js, y </w:t>
      </w:r>
      <w:r>
        <w:rPr>
          <w:rFonts w:ascii="Courier New" w:hAnsi="Courier New"/>
          <w:sz w:val="18"/>
        </w:rPr>
        <w:t>supabase/</w:t>
      </w:r>
      <w:r>
        <w:rPr>
          <w:rFonts w:ascii="Arial" w:hAnsi="Arial"/>
          <w:sz w:val="22"/>
        </w:rPr>
        <w:t>, que concentra los artefactos de base de datos. Esta separación refleja la independencia entre la lógica de la aplicación y la definición de la infraestructura de datos.</w:t>
      </w:r>
    </w:p>
    <w:p>
      <w:pPr>
        <w:pStyle w:val="CodeBlock"/>
        <w:shd w:val="clear" w:color="auto" w:fill="F2F2F2"/>
      </w:pPr>
      <w:r>
        <w:t>uces-plataforma/</w:t>
        <w:br/>
        <w:t>├── my-app/                        ← Aplicación Next.js 16.1.1</w:t>
        <w:br/>
        <w:t>│   ├── app/                       ← App Router (rutas, páginas, APIs)</w:t>
        <w:br/>
        <w:t>│   │   ├── page.tsx               ← Landing pública</w:t>
        <w:br/>
        <w:t>│   │   ├── layout.tsx             ← Layout raíz con estilos globales</w:t>
        <w:br/>
        <w:t>│   │   ├── login/page.tsx</w:t>
        <w:br/>
        <w:t>│   │   ├── register/page.tsx</w:t>
        <w:br/>
        <w:t>│   │   ├── panel/page.tsx</w:t>
        <w:br/>
        <w:t>│   │   ├── perfil/page.tsx</w:t>
        <w:br/>
        <w:t>│   │   ├── psicometrico/page.tsx</w:t>
        <w:br/>
        <w:t>│   │   ├── modulos/[moduleId]/page.tsx</w:t>
        <w:br/>
        <w:t>│   │   ├── vacantes/[id]/page.tsx</w:t>
        <w:br/>
        <w:t>│   │   ├── vacantes/[id]/postular.tsx</w:t>
        <w:br/>
        <w:t>│   │   ├── evaluacion/[attemptId]/</w:t>
        <w:br/>
        <w:t>│   │   │   ├── page.tsx           ← Server Component: carga datos</w:t>
        <w:br/>
        <w:t>│   │   │   ├── cliente.tsx        ← Client Component: timer e interacción</w:t>
        <w:br/>
        <w:t>│   │   │   └── utils.ts           ← Helper formatBytes</w:t>
        <w:br/>
        <w:t>│   │   ├── resultado/[attemptId]/page.tsx</w:t>
        <w:br/>
        <w:t>│   │   ├── admin/page.tsx</w:t>
        <w:br/>
        <w:t>│   │   ├── admin/attempts/[id]/page.tsx</w:t>
        <w:br/>
        <w:t>│   │   └── api/                   ← Route Handlers</w:t>
        <w:br/>
        <w:t>│   │       ├── auth/register/route.ts</w:t>
        <w:br/>
        <w:t>│   │       ├── psicometrico/start/route.ts</w:t>
        <w:br/>
        <w:t>│   │       ├── vacancies/[id]/apply/route.ts</w:t>
        <w:br/>
        <w:t>│   │       ├── attempts/[id]/answers/route.ts</w:t>
        <w:br/>
        <w:t>│   │       ├── attempts/[id]/submit/route.ts</w:t>
        <w:br/>
        <w:t>│   │       └── admin/             ← 13 endpoints protegidos con requireAdmin()</w:t>
        <w:br/>
        <w:t>│   ├── components/ui/             ← Componentes shadcn/ui (Button, Card, Badge...)</w:t>
        <w:br/>
        <w:t>│   └── lib/                       ← Bibliotecas de negocio</w:t>
        <w:br/>
        <w:t>│       ├── auth.ts                ← getRoleForSession, resolveRole</w:t>
        <w:br/>
        <w:t>│       ├── curp.ts                ← hashCurpHmac, normalizeCurp</w:t>
        <w:br/>
        <w:t>│       ├── psicometrico.ts        ← getPsicometricoAttemptState, ensurePsicometricoAttempt</w:t>
        <w:br/>
        <w:t>│       ├── psicometricoResults.ts ← calculatePsicometricoSummary</w:t>
        <w:br/>
        <w:t>│       ├── reviewDecision.ts      ← ReviewDecision type, isReviewDecision</w:t>
        <w:br/>
        <w:t>│       ├── supabaseClient.ts      ← Cliente browser (singleton)</w:t>
        <w:br/>
        <w:t>│       └── supabaseServer.ts      ← Cliente servidor (service role)</w:t>
        <w:br/>
        <w:t>├── supabase/</w:t>
        <w:br/>
        <w:t>│   ├── schema.sql                 ← Definición de las 13 tablas</w:t>
        <w:br/>
        <w:t>│   ├── rls.sql                    ← Función get_my_role() y todas las políticas RLS</w:t>
        <w:br/>
        <w:t>│   ├── roles.sql                  ← Tabla user_roles con backfill</w:t>
        <w:br/>
        <w:t>│   ├── seed.sql                   ← Datos de prueba y cuestionario psicométrico</w:t>
        <w:br/>
        <w:t>│   └── migration_*.sql            ← Migraciones incrementales</w:t>
      </w:r>
    </w:p>
    <w:p>
      <w:pPr>
        <w:pStyle w:val="Heading3"/>
      </w:pPr>
      <w:r>
        <w:t>5.1.2 Arquitectura implementada</w:t>
      </w:r>
    </w:p>
    <w:p>
      <w:pPr>
        <w:jc w:val="both"/>
      </w:pPr>
      <w:r>
        <w:rPr>
          <w:rFonts w:ascii="Arial" w:hAnsi="Arial"/>
          <w:sz w:val="22"/>
        </w:rPr>
        <w:t>La arquitectura sigue el patrón de tres capas adaptado a la plataforma Next.js/Supabase:</w:t>
      </w:r>
    </w:p>
    <w:p>
      <w:pPr>
        <w:jc w:val="both"/>
      </w:pPr>
      <w:r>
        <w:rPr>
          <w:b/>
        </w:rPr>
        <w:t>Figura 5.1 — Diagrama de arquitectura implementada</w:t>
      </w:r>
    </w:p>
    <w:p>
      <w:pPr>
        <w:pStyle w:val="CodeBlock"/>
        <w:shd w:val="clear" w:color="auto" w:fill="F2F2F2"/>
      </w:pPr>
      <w:r>
        <w:t>┌─────────────────────────────────────────────────────────────────┐</w:t>
        <w:br/>
        <w:t>│                    NAVEGADOR DEL USUARIO                        │</w:t>
        <w:br/>
        <w:t>│                                                                 │</w:t>
        <w:br/>
        <w:t>│  ┌───────────────────────────────────────────────────────────┐  │</w:t>
        <w:br/>
        <w:t>│  │           Client Components ("use client")                │  │</w:t>
        <w:br/>
        <w:t>│  │  panel/page • evaluacion/cliente • postular • perfil      │  │</w:t>
        <w:br/>
        <w:t>│  │  • Gestión de estado local (useState, useEffect)          │  │</w:t>
        <w:br/>
        <w:t>│  │  • Sesión vía supabaseBrowser() + anon key                │  │</w:t>
        <w:br/>
        <w:t>│  │  • Envía requests HTTP a Route Handlers con Bearer JWT    │  │</w:t>
        <w:br/>
        <w:t>│  └───────────────────────┬───────────────────────────────────┘  │</w:t>
        <w:br/>
        <w:t>└──────────────────────────│──────────────────────────────────────┘</w:t>
        <w:br/>
        <w:t xml:space="preserve">                           │ HTTPS / fetch()</w:t>
        <w:br/>
        <w:t>┌──────────────────────────▼──────────────────────────────────────┐</w:t>
        <w:br/>
        <w:t>│                  SERVIDOR NEXT.JS (Edge/Node)                   │</w:t>
        <w:br/>
        <w:t>│                                                                 │</w:t>
        <w:br/>
        <w:t>│  ┌──────────────────────────┐  ┌──────────────────────────────┐ │</w:t>
        <w:br/>
        <w:t>│  │    Server Components     │  │      Route Handlers           │ │</w:t>
        <w:br/>
        <w:t>│  │  evaluacion/page.tsx     │  │  api/auth/register            │ │</w:t>
        <w:br/>
        <w:t>│  │  resultado/page.tsx      │  │  api/vacancies/[id]/apply     │ │</w:t>
        <w:br/>
        <w:t>│  │  admin/attempts/[id]     │  │  api/attempts/[id]/answers    │ │</w:t>
        <w:br/>
        <w:t>│  │                          │  │  api/attempts/[id]/submit     │ │</w:t>
        <w:br/>
        <w:t>│  │  • supabaseServer()      │  │  api/admin/** (13 endpoints)  │ │</w:t>
        <w:br/>
        <w:t>│  │  • service_role key      │  │  • JWT validation             │ │</w:t>
        <w:br/>
        <w:t>│  │  • Sin exposición al     │  │  • requireAdmin() para admin  │ │</w:t>
        <w:br/>
        <w:t>│  │    cliente               │  │  • supabaseServer() o         │ │</w:t>
        <w:br/>
        <w:t>│  └──────────────────────────┘  │    supabaseBrowser-as-user    │ │</w:t>
        <w:br/>
        <w:t>│                                └──────────────────────────────┘ │</w:t>
        <w:br/>
        <w:t>└──────────────────────────────────────────────────────────────────┘</w:t>
        <w:br/>
        <w:t xml:space="preserve">                           │ SDK @supabase/supabase-js</w:t>
        <w:br/>
        <w:t>┌──────────────────────────▼──────────────────────────────────────┐</w:t>
        <w:br/>
        <w:t>│                      SUPABASE (BaaS)                            │</w:t>
        <w:br/>
        <w:t>│                                                                 │</w:t>
        <w:br/>
        <w:t>│  ┌─────────────────┐  ┌──────────────────┐  ┌───────────────┐  │</w:t>
        <w:br/>
        <w:t>│  │  Supabase Auth  │  │  PostgreSQL 16   │  │   Storage     │  │</w:t>
        <w:br/>
        <w:t>│  │                 │  │                  │  │               │  │</w:t>
        <w:br/>
        <w:t>│  │  • JWT emisión  │  │  • 13 tablas     │  │  Bucket:      │  │</w:t>
        <w:br/>
        <w:t>│  │  • getUser()    │  │  • RLS en todas  │  │  "evidences"  │  │</w:t>
        <w:br/>
        <w:t>│  │  • admin API    │  │  • get_my_role() │  │  (privado)    │  │</w:t>
        <w:br/>
        <w:t>│  └─────────────────┘  └──────────────────┘  └───────────────┘  │</w:t>
        <w:br/>
        <w:t>└─────────────────────────────────────────────────────────────────┘</w:t>
      </w:r>
    </w:p>
    <w:p>
      <w:pPr>
        <w:pStyle w:val="Heading3"/>
      </w:pPr>
      <w:r>
        <w:t>5.1.3 Componentes principales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Componente</w:t>
            </w:r>
          </w:p>
        </w:tc>
        <w:tc>
          <w:tcPr>
            <w:tcW w:type="dxa" w:w="2280"/>
          </w:tcPr>
          <w:p>
            <w:pPr>
              <w:spacing w:before="40" w:after="40"/>
            </w:pPr>
            <w:r>
              <w:rPr>
                <w:b/>
                <w:sz w:val="20"/>
              </w:rPr>
              <w:t>Tipo</w:t>
            </w:r>
          </w:p>
        </w:tc>
        <w:tc>
          <w:tcPr>
            <w:tcW w:type="dxa" w:w="2280"/>
          </w:tcPr>
          <w:p>
            <w:pPr>
              <w:spacing w:before="40" w:after="40"/>
            </w:pPr>
            <w:r>
              <w:rPr>
                <w:b/>
                <w:sz w:val="20"/>
              </w:rPr>
              <w:t>Responsabilidad</w:t>
            </w:r>
          </w:p>
        </w:tc>
        <w:tc>
          <w:tcPr>
            <w:tcW w:type="dxa" w:w="2280"/>
          </w:tcPr>
          <w:p>
            <w:pPr>
              <w:spacing w:before="40" w:after="40"/>
            </w:pPr>
            <w:r>
              <w:rPr>
                <w:b/>
                <w:sz w:val="20"/>
              </w:rPr>
              <w:t>Archivo</w:t>
            </w:r>
          </w:p>
        </w:tc>
      </w:tr>
      <w:tr>
        <w:tc>
          <w:tcPr>
            <w:tcW w:type="dxa" w:w="2280"/>
          </w:tcPr>
          <w:p>
            <w:pPr>
              <w:spacing w:before="40" w:after="40"/>
            </w:pPr>
            <w:r>
              <w:rPr>
                <w:rFonts w:ascii="Courier New" w:hAnsi="Courier New"/>
                <w:sz w:val="20"/>
              </w:rPr>
              <w:t>EvaluationPage</w:t>
            </w:r>
          </w:p>
        </w:tc>
        <w:tc>
          <w:tcPr>
            <w:tcW w:type="dxa" w:w="2280"/>
          </w:tcPr>
          <w:p>
            <w:pPr>
              <w:spacing w:before="40" w:after="40"/>
            </w:pPr>
            <w:r>
              <w:rPr>
                <w:rFonts w:ascii="Arial" w:hAnsi="Arial"/>
                <w:sz w:val="20"/>
              </w:rPr>
              <w:t>Server Component</w:t>
            </w:r>
          </w:p>
        </w:tc>
        <w:tc>
          <w:tcPr>
            <w:tcW w:type="dxa" w:w="2280"/>
          </w:tcPr>
          <w:p>
            <w:pPr>
              <w:spacing w:before="40" w:after="40"/>
            </w:pPr>
            <w:r>
              <w:rPr>
                <w:rFonts w:ascii="Arial" w:hAnsi="Arial"/>
                <w:sz w:val="20"/>
              </w:rPr>
              <w:t>Carga intento, preguntas y respuestas guardadas desde servidor</w:t>
            </w:r>
          </w:p>
        </w:tc>
        <w:tc>
          <w:tcPr>
            <w:tcW w:type="dxa" w:w="2280"/>
          </w:tcPr>
          <w:p>
            <w:pPr>
              <w:spacing w:before="40" w:after="40"/>
            </w:pPr>
            <w:r>
              <w:rPr>
                <w:rFonts w:ascii="Courier New" w:hAnsi="Courier New"/>
                <w:sz w:val="20"/>
              </w:rPr>
              <w:t>app/evaluacion/[attemptId]/page.tsx</w:t>
            </w:r>
          </w:p>
        </w:tc>
      </w:tr>
      <w:tr>
        <w:tc>
          <w:tcPr>
            <w:tcW w:type="dxa" w:w="2280"/>
          </w:tcPr>
          <w:p>
            <w:pPr>
              <w:spacing w:before="40" w:after="40"/>
            </w:pPr>
            <w:r>
              <w:rPr>
                <w:rFonts w:ascii="Courier New" w:hAnsi="Courier New"/>
                <w:sz w:val="20"/>
              </w:rPr>
              <w:t>EvaluationClient</w:t>
            </w:r>
          </w:p>
        </w:tc>
        <w:tc>
          <w:tcPr>
            <w:tcW w:type="dxa" w:w="2280"/>
          </w:tcPr>
          <w:p>
            <w:pPr>
              <w:spacing w:before="40" w:after="40"/>
            </w:pPr>
            <w:r>
              <w:rPr>
                <w:rFonts w:ascii="Arial" w:hAnsi="Arial"/>
                <w:sz w:val="20"/>
              </w:rPr>
              <w:t>Client Component</w:t>
            </w:r>
          </w:p>
        </w:tc>
        <w:tc>
          <w:tcPr>
            <w:tcW w:type="dxa" w:w="2280"/>
          </w:tcPr>
          <w:p>
            <w:pPr>
              <w:spacing w:before="40" w:after="40"/>
            </w:pPr>
            <w:r>
              <w:rPr>
                <w:rFonts w:ascii="Arial" w:hAnsi="Arial"/>
                <w:sz w:val="20"/>
              </w:rPr>
              <w:t>Timer, guardado de respuestas, carga de evidencia, envío</w:t>
            </w:r>
          </w:p>
        </w:tc>
        <w:tc>
          <w:tcPr>
            <w:tcW w:type="dxa" w:w="2280"/>
          </w:tcPr>
          <w:p>
            <w:pPr>
              <w:spacing w:before="40" w:after="40"/>
            </w:pPr>
            <w:r>
              <w:rPr>
                <w:rFonts w:ascii="Courier New" w:hAnsi="Courier New"/>
                <w:sz w:val="20"/>
              </w:rPr>
              <w:t>app/evaluacion/[attemptId]/cliente.tsx</w:t>
            </w:r>
          </w:p>
        </w:tc>
      </w:tr>
      <w:tr>
        <w:tc>
          <w:tcPr>
            <w:tcW w:type="dxa" w:w="2280"/>
          </w:tcPr>
          <w:p>
            <w:pPr>
              <w:spacing w:before="40" w:after="40"/>
            </w:pPr>
            <w:r>
              <w:rPr>
                <w:rFonts w:ascii="Courier New" w:hAnsi="Courier New"/>
                <w:sz w:val="20"/>
              </w:rPr>
              <w:t>PanelPage</w:t>
            </w:r>
          </w:p>
        </w:tc>
        <w:tc>
          <w:tcPr>
            <w:tcW w:type="dxa" w:w="2280"/>
          </w:tcPr>
          <w:p>
            <w:pPr>
              <w:spacing w:before="40" w:after="40"/>
            </w:pPr>
            <w:r>
              <w:rPr>
                <w:rFonts w:ascii="Arial" w:hAnsi="Arial"/>
                <w:sz w:val="20"/>
              </w:rPr>
              <w:t>Client Component</w:t>
            </w:r>
          </w:p>
        </w:tc>
        <w:tc>
          <w:tcPr>
            <w:tcW w:type="dxa" w:w="2280"/>
          </w:tcPr>
          <w:p>
            <w:pPr>
              <w:spacing w:before="40" w:after="40"/>
            </w:pPr>
            <w:r>
              <w:rPr>
                <w:rFonts w:ascii="Arial" w:hAnsi="Arial"/>
                <w:sz w:val="20"/>
              </w:rPr>
              <w:t>Sesión, rol, módulos, estado psicométrico</w:t>
            </w:r>
          </w:p>
        </w:tc>
        <w:tc>
          <w:tcPr>
            <w:tcW w:type="dxa" w:w="2280"/>
          </w:tcPr>
          <w:p>
            <w:pPr>
              <w:spacing w:before="40" w:after="40"/>
            </w:pPr>
            <w:r>
              <w:rPr>
                <w:rFonts w:ascii="Courier New" w:hAnsi="Courier New"/>
                <w:sz w:val="20"/>
              </w:rPr>
              <w:t>app/panel/page.tsx</w:t>
            </w:r>
          </w:p>
        </w:tc>
      </w:tr>
      <w:tr>
        <w:tc>
          <w:tcPr>
            <w:tcW w:type="dxa" w:w="2280"/>
          </w:tcPr>
          <w:p>
            <w:pPr>
              <w:spacing w:before="40" w:after="40"/>
            </w:pPr>
            <w:r>
              <w:rPr>
                <w:rFonts w:ascii="Courier New" w:hAnsi="Courier New"/>
                <w:sz w:val="20"/>
              </w:rPr>
              <w:t>ApplyButton</w:t>
            </w:r>
          </w:p>
        </w:tc>
        <w:tc>
          <w:tcPr>
            <w:tcW w:type="dxa" w:w="2280"/>
          </w:tcPr>
          <w:p>
            <w:pPr>
              <w:spacing w:before="40" w:after="40"/>
            </w:pPr>
            <w:r>
              <w:rPr>
                <w:rFonts w:ascii="Arial" w:hAnsi="Arial"/>
                <w:sz w:val="20"/>
              </w:rPr>
              <w:t>Client Component</w:t>
            </w:r>
          </w:p>
        </w:tc>
        <w:tc>
          <w:tcPr>
            <w:tcW w:type="dxa" w:w="2280"/>
          </w:tcPr>
          <w:p>
            <w:pPr>
              <w:spacing w:before="40" w:after="40"/>
            </w:pPr>
            <w:r>
              <w:rPr>
                <w:rFonts w:ascii="Arial" w:hAnsi="Arial"/>
                <w:sz w:val="20"/>
              </w:rPr>
              <w:t>Flujo de postulación con manejo de errores y redirección</w:t>
            </w:r>
          </w:p>
        </w:tc>
        <w:tc>
          <w:tcPr>
            <w:tcW w:type="dxa" w:w="2280"/>
          </w:tcPr>
          <w:p>
            <w:pPr>
              <w:spacing w:before="40" w:after="40"/>
            </w:pPr>
            <w:r>
              <w:rPr>
                <w:rFonts w:ascii="Courier New" w:hAnsi="Courier New"/>
                <w:sz w:val="20"/>
              </w:rPr>
              <w:t>app/vacantes/[id]/postular.tsx</w:t>
            </w:r>
          </w:p>
        </w:tc>
      </w:tr>
      <w:tr>
        <w:tc>
          <w:tcPr>
            <w:tcW w:type="dxa" w:w="2280"/>
          </w:tcPr>
          <w:p>
            <w:pPr>
              <w:spacing w:before="40" w:after="40"/>
            </w:pPr>
            <w:r>
              <w:rPr>
                <w:rFonts w:ascii="Courier New" w:hAnsi="Courier New"/>
                <w:sz w:val="20"/>
              </w:rPr>
              <w:t>requireAdmin()</w:t>
            </w:r>
          </w:p>
        </w:tc>
        <w:tc>
          <w:tcPr>
            <w:tcW w:type="dxa" w:w="2280"/>
          </w:tcPr>
          <w:p>
            <w:pPr>
              <w:spacing w:before="40" w:after="40"/>
            </w:pPr>
            <w:r>
              <w:rPr>
                <w:rFonts w:ascii="Arial" w:hAnsi="Arial"/>
                <w:sz w:val="20"/>
              </w:rPr>
              <w:t>Middleware de API</w:t>
            </w:r>
          </w:p>
        </w:tc>
        <w:tc>
          <w:tcPr>
            <w:tcW w:type="dxa" w:w="2280"/>
          </w:tcPr>
          <w:p>
            <w:pPr>
              <w:spacing w:before="40" w:after="40"/>
            </w:pPr>
            <w:r>
              <w:rPr>
                <w:rFonts w:ascii="Arial" w:hAnsi="Arial"/>
                <w:sz w:val="20"/>
              </w:rPr>
              <w:t>Validación JWT + verificación de rol admin</w:t>
            </w:r>
          </w:p>
        </w:tc>
        <w:tc>
          <w:tcPr>
            <w:tcW w:type="dxa" w:w="2280"/>
          </w:tcPr>
          <w:p>
            <w:pPr>
              <w:spacing w:before="40" w:after="40"/>
            </w:pPr>
            <w:r>
              <w:rPr>
                <w:rFonts w:ascii="Courier New" w:hAnsi="Courier New"/>
                <w:sz w:val="20"/>
              </w:rPr>
              <w:t>app/api/admin/utils.ts</w:t>
            </w:r>
          </w:p>
        </w:tc>
      </w:tr>
      <w:tr>
        <w:tc>
          <w:tcPr>
            <w:tcW w:type="dxa" w:w="2280"/>
          </w:tcPr>
          <w:p>
            <w:pPr>
              <w:spacing w:before="40" w:after="40"/>
            </w:pPr>
            <w:r>
              <w:rPr>
                <w:rFonts w:ascii="Courier New" w:hAnsi="Courier New"/>
                <w:sz w:val="20"/>
              </w:rPr>
              <w:t>supabaseBrowser()</w:t>
            </w:r>
          </w:p>
        </w:tc>
        <w:tc>
          <w:tcPr>
            <w:tcW w:type="dxa" w:w="2280"/>
          </w:tcPr>
          <w:p>
            <w:pPr>
              <w:spacing w:before="40" w:after="40"/>
            </w:pPr>
            <w:r>
              <w:rPr>
                <w:rFonts w:ascii="Arial" w:hAnsi="Arial"/>
                <w:sz w:val="20"/>
              </w:rPr>
              <w:t>Singleton</w:t>
            </w:r>
          </w:p>
        </w:tc>
        <w:tc>
          <w:tcPr>
            <w:tcW w:type="dxa" w:w="2280"/>
          </w:tcPr>
          <w:p>
            <w:pPr>
              <w:spacing w:before="40" w:after="40"/>
            </w:pPr>
            <w:r>
              <w:rPr>
                <w:rFonts w:ascii="Arial" w:hAnsi="Arial"/>
                <w:sz w:val="20"/>
              </w:rPr>
              <w:t>Cliente Supabase para el navegador con clave anónima</w:t>
            </w:r>
          </w:p>
        </w:tc>
        <w:tc>
          <w:tcPr>
            <w:tcW w:type="dxa" w:w="2280"/>
          </w:tcPr>
          <w:p>
            <w:pPr>
              <w:spacing w:before="40" w:after="40"/>
            </w:pPr>
            <w:r>
              <w:rPr>
                <w:rFonts w:ascii="Courier New" w:hAnsi="Courier New"/>
                <w:sz w:val="20"/>
              </w:rPr>
              <w:t>lib/supabaseClient.ts</w:t>
            </w:r>
          </w:p>
        </w:tc>
      </w:tr>
      <w:tr>
        <w:tc>
          <w:tcPr>
            <w:tcW w:type="dxa" w:w="2280"/>
          </w:tcPr>
          <w:p>
            <w:pPr>
              <w:spacing w:before="40" w:after="40"/>
            </w:pPr>
            <w:r>
              <w:rPr>
                <w:rFonts w:ascii="Courier New" w:hAnsi="Courier New"/>
                <w:sz w:val="20"/>
              </w:rPr>
              <w:t>supabaseServer()</w:t>
            </w:r>
          </w:p>
        </w:tc>
        <w:tc>
          <w:tcPr>
            <w:tcW w:type="dxa" w:w="2280"/>
          </w:tcPr>
          <w:p>
            <w:pPr>
              <w:spacing w:before="40" w:after="40"/>
            </w:pPr>
            <w:r>
              <w:rPr>
                <w:rFonts w:ascii="Arial" w:hAnsi="Arial"/>
                <w:sz w:val="20"/>
              </w:rPr>
              <w:t>Factory</w:t>
            </w:r>
          </w:p>
        </w:tc>
        <w:tc>
          <w:tcPr>
            <w:tcW w:type="dxa" w:w="2280"/>
          </w:tcPr>
          <w:p>
            <w:pPr>
              <w:spacing w:before="40" w:after="40"/>
            </w:pPr>
            <w:r>
              <w:rPr>
                <w:rFonts w:ascii="Arial" w:hAnsi="Arial"/>
                <w:sz w:val="20"/>
              </w:rPr>
              <w:t>Cliente Supabase con clave de servicio para el servidor</w:t>
            </w:r>
          </w:p>
        </w:tc>
        <w:tc>
          <w:tcPr>
            <w:tcW w:type="dxa" w:w="2280"/>
          </w:tcPr>
          <w:p>
            <w:pPr>
              <w:spacing w:before="40" w:after="40"/>
            </w:pPr>
            <w:r>
              <w:rPr>
                <w:rFonts w:ascii="Courier New" w:hAnsi="Courier New"/>
                <w:sz w:val="20"/>
              </w:rPr>
              <w:t>lib/supabaseServer.ts</w:t>
            </w:r>
          </w:p>
        </w:tc>
      </w:tr>
      <w:tr>
        <w:tc>
          <w:tcPr>
            <w:tcW w:type="dxa" w:w="2280"/>
          </w:tcPr>
          <w:p>
            <w:pPr>
              <w:spacing w:before="40" w:after="40"/>
            </w:pPr>
            <w:r>
              <w:rPr>
                <w:rFonts w:ascii="Courier New" w:hAnsi="Courier New"/>
                <w:sz w:val="20"/>
              </w:rPr>
              <w:t>getRoleForSession()</w:t>
            </w:r>
          </w:p>
        </w:tc>
        <w:tc>
          <w:tcPr>
            <w:tcW w:type="dxa" w:w="2280"/>
          </w:tcPr>
          <w:p>
            <w:pPr>
              <w:spacing w:before="40" w:after="40"/>
            </w:pPr>
            <w:r>
              <w:rPr>
                <w:rFonts w:ascii="Arial" w:hAnsi="Arial"/>
                <w:sz w:val="20"/>
              </w:rPr>
              <w:t>Función utilitaria</w:t>
            </w:r>
          </w:p>
        </w:tc>
        <w:tc>
          <w:tcPr>
            <w:tcW w:type="dxa" w:w="2280"/>
          </w:tcPr>
          <w:p>
            <w:pPr>
              <w:spacing w:before="40" w:after="40"/>
            </w:pPr>
            <w:r>
              <w:rPr>
                <w:rFonts w:ascii="Arial" w:hAnsi="Arial"/>
                <w:sz w:val="20"/>
              </w:rPr>
              <w:t xml:space="preserve">Invoca RPC </w:t>
            </w:r>
            <w:r>
              <w:rPr>
                <w:rFonts w:ascii="Courier New" w:hAnsi="Courier New"/>
                <w:sz w:val="20"/>
              </w:rPr>
              <w:t>get_my_role()</w:t>
            </w:r>
            <w:r>
              <w:rPr>
                <w:rFonts w:ascii="Arial" w:hAnsi="Arial"/>
                <w:sz w:val="20"/>
              </w:rPr>
              <w:t xml:space="preserve"> y normaliza el resultado</w:t>
            </w:r>
          </w:p>
        </w:tc>
        <w:tc>
          <w:tcPr>
            <w:tcW w:type="dxa" w:w="2280"/>
          </w:tcPr>
          <w:p>
            <w:pPr>
              <w:spacing w:before="40" w:after="40"/>
            </w:pPr>
            <w:r>
              <w:rPr>
                <w:rFonts w:ascii="Courier New" w:hAnsi="Courier New"/>
                <w:sz w:val="20"/>
              </w:rPr>
              <w:t>lib/auth.ts</w:t>
            </w:r>
          </w:p>
        </w:tc>
      </w:tr>
      <w:tr>
        <w:tc>
          <w:tcPr>
            <w:tcW w:type="dxa" w:w="2280"/>
          </w:tcPr>
          <w:p>
            <w:pPr>
              <w:spacing w:before="40" w:after="40"/>
            </w:pPr>
            <w:r>
              <w:rPr>
                <w:rFonts w:ascii="Courier New" w:hAnsi="Courier New"/>
                <w:sz w:val="20"/>
              </w:rPr>
              <w:t>hashCurpHmac()</w:t>
            </w:r>
          </w:p>
        </w:tc>
        <w:tc>
          <w:tcPr>
            <w:tcW w:type="dxa" w:w="2280"/>
          </w:tcPr>
          <w:p>
            <w:pPr>
              <w:spacing w:before="40" w:after="40"/>
            </w:pPr>
            <w:r>
              <w:rPr>
                <w:rFonts w:ascii="Arial" w:hAnsi="Arial"/>
                <w:sz w:val="20"/>
              </w:rPr>
              <w:t>Función criptográfica</w:t>
            </w:r>
          </w:p>
        </w:tc>
        <w:tc>
          <w:tcPr>
            <w:tcW w:type="dxa" w:w="2280"/>
          </w:tcPr>
          <w:p>
            <w:pPr>
              <w:spacing w:before="40" w:after="40"/>
            </w:pPr>
            <w:r>
              <w:rPr>
                <w:rFonts w:ascii="Arial" w:hAnsi="Arial"/>
                <w:sz w:val="20"/>
              </w:rPr>
              <w:t>HMAC-SHA256 de la CURP con clave de entorno</w:t>
            </w:r>
          </w:p>
        </w:tc>
        <w:tc>
          <w:tcPr>
            <w:tcW w:type="dxa" w:w="2280"/>
          </w:tcPr>
          <w:p>
            <w:pPr>
              <w:spacing w:before="40" w:after="40"/>
            </w:pPr>
            <w:r>
              <w:rPr>
                <w:rFonts w:ascii="Courier New" w:hAnsi="Courier New"/>
                <w:sz w:val="20"/>
              </w:rPr>
              <w:t>lib/curp.ts</w:t>
            </w:r>
          </w:p>
        </w:tc>
      </w:tr>
      <w:tr>
        <w:tc>
          <w:tcPr>
            <w:tcW w:type="dxa" w:w="2280"/>
          </w:tcPr>
          <w:p>
            <w:pPr>
              <w:spacing w:before="40" w:after="40"/>
            </w:pPr>
            <w:r>
              <w:rPr>
                <w:rFonts w:ascii="Courier New" w:hAnsi="Courier New"/>
                <w:sz w:val="20"/>
              </w:rPr>
              <w:t>calculatePsicometricoSummary()</w:t>
            </w:r>
          </w:p>
        </w:tc>
        <w:tc>
          <w:tcPr>
            <w:tcW w:type="dxa" w:w="2280"/>
          </w:tcPr>
          <w:p>
            <w:pPr>
              <w:spacing w:before="40" w:after="40"/>
            </w:pPr>
            <w:r>
              <w:rPr>
                <w:rFonts w:ascii="Arial" w:hAnsi="Arial"/>
                <w:sz w:val="20"/>
              </w:rPr>
              <w:t>Función de cálculo</w:t>
            </w:r>
          </w:p>
        </w:tc>
        <w:tc>
          <w:tcPr>
            <w:tcW w:type="dxa" w:w="2280"/>
          </w:tcPr>
          <w:p>
            <w:pPr>
              <w:spacing w:before="40" w:after="40"/>
            </w:pPr>
            <w:r>
              <w:rPr>
                <w:rFonts w:ascii="Arial" w:hAnsi="Arial"/>
                <w:sz w:val="20"/>
              </w:rPr>
              <w:t>Score Big Five, clasificación por rasgo</w:t>
            </w:r>
          </w:p>
        </w:tc>
        <w:tc>
          <w:tcPr>
            <w:tcW w:type="dxa" w:w="2280"/>
          </w:tcPr>
          <w:p>
            <w:pPr>
              <w:spacing w:before="40" w:after="40"/>
            </w:pPr>
            <w:r>
              <w:rPr>
                <w:rFonts w:ascii="Courier New" w:hAnsi="Courier New"/>
                <w:sz w:val="20"/>
              </w:rPr>
              <w:t>lib/psicometricoResults.ts</w:t>
            </w:r>
          </w:p>
        </w:tc>
      </w:tr>
    </w:tbl>
    <w:p/>
    <w:p>
      <w:pPr>
        <w:pStyle w:val="Heading3"/>
      </w:pPr>
      <w:r>
        <w:t>5.1.4 Diferencia entre la arquitectura propuesta y la implementada</w:t>
      </w:r>
    </w:p>
    <w:p>
      <w:pPr>
        <w:jc w:val="both"/>
      </w:pPr>
      <w:r>
        <w:rPr>
          <w:rFonts w:ascii="Arial" w:hAnsi="Arial"/>
          <w:sz w:val="22"/>
        </w:rPr>
        <w:t>El Trabajo A propuso una arquitectura web en tres capas (presentación, lógica de negocio, datos) sin especificar el framework. La implementación realiza esa separación dentro del modelo de Next.js App Router:</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Capa propuesta (Trabajo A)</w:t>
            </w:r>
          </w:p>
        </w:tc>
        <w:tc>
          <w:tcPr>
            <w:tcW w:type="dxa" w:w="4561"/>
          </w:tcPr>
          <w:p>
            <w:pPr>
              <w:spacing w:before="40" w:after="40"/>
            </w:pPr>
            <w:r>
              <w:rPr>
                <w:b/>
                <w:sz w:val="20"/>
              </w:rPr>
              <w:t>Realización en Trabajo B</w:t>
            </w:r>
          </w:p>
        </w:tc>
      </w:tr>
      <w:tr>
        <w:tc>
          <w:tcPr>
            <w:tcW w:type="dxa" w:w="4561"/>
          </w:tcPr>
          <w:p>
            <w:pPr>
              <w:spacing w:before="40" w:after="40"/>
            </w:pPr>
            <w:r>
              <w:rPr>
                <w:rFonts w:ascii="Arial" w:hAnsi="Arial"/>
                <w:sz w:val="20"/>
              </w:rPr>
              <w:t>Capa de presentación</w:t>
            </w:r>
          </w:p>
        </w:tc>
        <w:tc>
          <w:tcPr>
            <w:tcW w:type="dxa" w:w="4561"/>
          </w:tcPr>
          <w:p>
            <w:pPr>
              <w:spacing w:before="40" w:after="40"/>
            </w:pPr>
            <w:r>
              <w:rPr>
                <w:rFonts w:ascii="Arial" w:hAnsi="Arial"/>
                <w:sz w:val="20"/>
              </w:rPr>
              <w:t xml:space="preserve">Server Components + Client Components en </w:t>
            </w:r>
            <w:r>
              <w:rPr>
                <w:rFonts w:ascii="Courier New" w:hAnsi="Courier New"/>
                <w:sz w:val="20"/>
              </w:rPr>
              <w:t>app/</w:t>
            </w:r>
          </w:p>
        </w:tc>
      </w:tr>
      <w:tr>
        <w:tc>
          <w:tcPr>
            <w:tcW w:type="dxa" w:w="4561"/>
          </w:tcPr>
          <w:p>
            <w:pPr>
              <w:spacing w:before="40" w:after="40"/>
            </w:pPr>
            <w:r>
              <w:rPr>
                <w:rFonts w:ascii="Arial" w:hAnsi="Arial"/>
                <w:sz w:val="20"/>
              </w:rPr>
              <w:t>Capa de lógica de negocio</w:t>
            </w:r>
          </w:p>
        </w:tc>
        <w:tc>
          <w:tcPr>
            <w:tcW w:type="dxa" w:w="4561"/>
          </w:tcPr>
          <w:p>
            <w:pPr>
              <w:spacing w:before="40" w:after="40"/>
            </w:pPr>
            <w:r>
              <w:rPr>
                <w:rFonts w:ascii="Arial" w:hAnsi="Arial"/>
                <w:sz w:val="20"/>
              </w:rPr>
              <w:t xml:space="preserve">Route Handlers en </w:t>
            </w:r>
            <w:r>
              <w:rPr>
                <w:rFonts w:ascii="Courier New" w:hAnsi="Courier New"/>
                <w:sz w:val="20"/>
              </w:rPr>
              <w:t>app/api/</w:t>
            </w:r>
            <w:r>
              <w:rPr>
                <w:rFonts w:ascii="Arial" w:hAnsi="Arial"/>
                <w:sz w:val="20"/>
              </w:rPr>
              <w:t xml:space="preserve"> + funciones en </w:t>
            </w:r>
            <w:r>
              <w:rPr>
                <w:rFonts w:ascii="Courier New" w:hAnsi="Courier New"/>
                <w:sz w:val="20"/>
              </w:rPr>
              <w:t>lib/</w:t>
            </w:r>
          </w:p>
        </w:tc>
      </w:tr>
      <w:tr>
        <w:tc>
          <w:tcPr>
            <w:tcW w:type="dxa" w:w="4561"/>
          </w:tcPr>
          <w:p>
            <w:pPr>
              <w:spacing w:before="40" w:after="40"/>
            </w:pPr>
            <w:r>
              <w:rPr>
                <w:rFonts w:ascii="Arial" w:hAnsi="Arial"/>
                <w:sz w:val="20"/>
              </w:rPr>
              <w:t>Capa de datos</w:t>
            </w:r>
          </w:p>
        </w:tc>
        <w:tc>
          <w:tcPr>
            <w:tcW w:type="dxa" w:w="4561"/>
          </w:tcPr>
          <w:p>
            <w:pPr>
              <w:spacing w:before="40" w:after="40"/>
            </w:pPr>
            <w:r>
              <w:rPr>
                <w:rFonts w:ascii="Arial" w:hAnsi="Arial"/>
                <w:sz w:val="20"/>
              </w:rPr>
              <w:t>PostgreSQL en Supabase, accedido vía SDK</w:t>
            </w:r>
          </w:p>
        </w:tc>
      </w:tr>
      <w:tr>
        <w:tc>
          <w:tcPr>
            <w:tcW w:type="dxa" w:w="4561"/>
          </w:tcPr>
          <w:p>
            <w:pPr>
              <w:spacing w:before="40" w:after="40"/>
            </w:pPr>
            <w:r>
              <w:rPr>
                <w:rFonts w:ascii="Arial" w:hAnsi="Arial"/>
                <w:sz w:val="20"/>
              </w:rPr>
              <w:t>Control de acceso</w:t>
            </w:r>
          </w:p>
        </w:tc>
        <w:tc>
          <w:tcPr>
            <w:tcW w:type="dxa" w:w="4561"/>
          </w:tcPr>
          <w:p>
            <w:pPr>
              <w:spacing w:before="40" w:after="40"/>
            </w:pPr>
            <w:r>
              <w:rPr>
                <w:rFonts w:ascii="Arial" w:hAnsi="Arial"/>
                <w:sz w:val="20"/>
              </w:rPr>
              <w:t xml:space="preserve">RLS en PostgreSQL + </w:t>
            </w:r>
            <w:r>
              <w:rPr>
                <w:rFonts w:ascii="Courier New" w:hAnsi="Courier New"/>
                <w:sz w:val="20"/>
              </w:rPr>
              <w:t>requireAdmin()</w:t>
            </w:r>
            <w:r>
              <w:rPr>
                <w:rFonts w:ascii="Arial" w:hAnsi="Arial"/>
                <w:sz w:val="20"/>
              </w:rPr>
              <w:t xml:space="preserve"> en API</w:t>
            </w:r>
          </w:p>
        </w:tc>
      </w:tr>
    </w:tbl>
    <w:p/>
    <w:p>
      <w:pPr>
        <w:jc w:val="both"/>
      </w:pPr>
      <w:r>
        <w:rPr>
          <w:rFonts w:ascii="Arial" w:hAnsi="Arial"/>
          <w:sz w:val="22"/>
        </w:rP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pPr>
        <w:pStyle w:val="Heading2"/>
      </w:pPr>
      <w:r>
        <w:t>5.2 Configuración e integración de Supabase</w:t>
      </w:r>
    </w:p>
    <w:p>
      <w:pPr>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pStyle w:val="Heading3"/>
      </w:pPr>
      <w:r>
        <w:t>5.2.1 Dos clientes, dos contextos</w:t>
      </w:r>
    </w:p>
    <w:p>
      <w:pPr>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jc w:val="both"/>
      </w:pPr>
      <w:r>
        <w:rPr>
          <w:rFonts w:ascii="Arial" w:hAnsi="Arial"/>
          <w:sz w:val="22"/>
        </w:rPr>
        <w:t>La integración con Supabase se divide en dos instancias del cliente con propósitos y niveles de privilegio distintos.</w:t>
      </w:r>
    </w:p>
    <w:p>
      <w:pPr>
        <w:jc w:val="both"/>
      </w:pPr>
      <w:r>
        <w:rPr>
          <w:b/>
        </w:rPr>
        <w:t>Cliente de navegador</w:t>
      </w:r>
      <w:r>
        <w:rPr>
          <w:rFonts w:ascii="Arial" w:hAnsi="Arial"/>
          <w:sz w:val="22"/>
        </w:rPr>
        <w:t xml:space="preserve"> — </w:t>
      </w:r>
      <w:r>
        <w:rPr>
          <w:rFonts w:ascii="Courier New" w:hAnsi="Courier New"/>
          <w:sz w:val="18"/>
        </w:rPr>
        <w:t>lib/supabaseClient.ts</w:t>
      </w:r>
    </w:p>
    <w:p>
      <w:pPr>
        <w:pStyle w:val="CodeBlock"/>
        <w:shd w:val="clear" w:color="auto" w:fill="F2F2F2"/>
      </w:pPr>
      <w:r>
        <w:t>// lib/supabaseClient.ts</w:t>
        <w:br/>
        <w:t>export const supabaseBrowser = () =&gt; {</w:t>
        <w:br/>
        <w:t xml:space="preserve">  if (!browserClient) {</w:t>
        <w:br/>
        <w:t xml:space="preserve">    browserClient = createClient(supabaseUrl, supabaseKey);  // anon key</w:t>
        <w:br/>
        <w:t xml:space="preserve">  }</w:t>
        <w:br/>
        <w:t xml:space="preserve">  return browserClient;</w:t>
        <w:br/>
        <w:t>};</w:t>
      </w:r>
    </w:p>
    <w:p>
      <w:pPr>
        <w:jc w:val="both"/>
      </w:pPr>
      <w:r>
        <w:rPr>
          <w:rFonts w:ascii="Arial" w:hAnsi="Arial"/>
          <w:sz w:val="22"/>
        </w:rPr>
        <w:t>Este cliente usa la clave anónima (</w:t>
      </w:r>
      <w:r>
        <w:rPr>
          <w:rFonts w:ascii="Courier New" w:hAnsi="Courier New"/>
          <w:sz w:val="18"/>
        </w:rPr>
        <w:t>NEXT_PUBLIC_SUPABASE_ANON_KEY</w:t>
      </w:r>
      <w:r>
        <w:rPr>
          <w:rFonts w:ascii="Arial" w:hAnsi="Arial"/>
          <w:sz w:val="22"/>
        </w:rP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pPr>
        <w:jc w:val="both"/>
      </w:pPr>
      <w:r>
        <w:rPr>
          <w:b/>
        </w:rPr>
        <w:t>Cliente de servidor</w:t>
      </w:r>
      <w:r>
        <w:rPr>
          <w:rFonts w:ascii="Arial" w:hAnsi="Arial"/>
          <w:sz w:val="22"/>
        </w:rPr>
        <w:t xml:space="preserve"> — </w:t>
      </w:r>
      <w:r>
        <w:rPr>
          <w:rFonts w:ascii="Courier New" w:hAnsi="Courier New"/>
          <w:sz w:val="18"/>
        </w:rPr>
        <w:t>lib/supabaseServer.ts</w:t>
      </w:r>
    </w:p>
    <w:p>
      <w:pPr>
        <w:pStyle w:val="CodeBlock"/>
        <w:shd w:val="clear" w:color="auto" w:fill="F2F2F2"/>
      </w:pPr>
      <w:r>
        <w:t>// lib/supabaseServer.ts</w:t>
        <w:br/>
        <w:t>export const supabaseServer = () =&gt; {</w:t>
        <w:br/>
        <w:t xml:space="preserve">  return createClient(supabaseUrl, serviceRole, {</w:t>
        <w:br/>
        <w:t xml:space="preserve">    auth: { autoRefreshToken: false, persistSession: false }</w:t>
        <w:br/>
        <w:t xml:space="preserve">  });</w:t>
        <w:br/>
        <w:t>};</w:t>
      </w:r>
    </w:p>
    <w:p>
      <w:pPr>
        <w:jc w:val="both"/>
      </w:pPr>
      <w:r>
        <w:rPr>
          <w:rFonts w:ascii="Arial" w:hAnsi="Arial"/>
          <w:sz w:val="22"/>
        </w:rPr>
        <w:t>Este cliente usa la clave de rol de servicio (</w:t>
      </w:r>
      <w:r>
        <w:rPr>
          <w:rFonts w:ascii="Courier New" w:hAnsi="Courier New"/>
          <w:sz w:val="18"/>
        </w:rPr>
        <w:t>SUPABASE_SERVICE_ROLE_KEY</w:t>
      </w:r>
      <w:r>
        <w:rPr>
          <w:rFonts w:ascii="Arial" w:hAnsi="Arial"/>
          <w:sz w:val="22"/>
        </w:rP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rPr>
          <w:rFonts w:ascii="Arial" w:hAnsi="Arial"/>
          <w:sz w:val="22"/>
        </w:rPr>
        <w:t xml:space="preserve"> y </w:t>
      </w:r>
      <w:r>
        <w:rPr>
          <w:rFonts w:ascii="Courier New" w:hAnsi="Courier New"/>
          <w:sz w:val="18"/>
        </w:rPr>
        <w:t>persistSession: false</w:t>
      </w:r>
      <w:r>
        <w:rPr>
          <w:rFonts w:ascii="Arial" w:hAnsi="Arial"/>
          <w:sz w:val="22"/>
        </w:rPr>
        <w:t xml:space="preserve"> indican que este cliente no mantiene estado entre solicitudes, lo que es correcto para un entorno sin estado como las funciones de servidor.</w:t>
      </w:r>
    </w:p>
    <w:p>
      <w:pPr>
        <w:pStyle w:val="Heading3"/>
      </w:pPr>
      <w:r>
        <w:t>5.2.2 Variables de entorno y separación de credenciales</w:t>
      </w:r>
    </w:p>
    <w:p>
      <w:pPr>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Variable</w:t>
            </w:r>
          </w:p>
        </w:tc>
        <w:tc>
          <w:tcPr>
            <w:tcW w:type="dxa" w:w="2280"/>
          </w:tcPr>
          <w:p>
            <w:pPr>
              <w:spacing w:before="40" w:after="40"/>
            </w:pPr>
            <w:r>
              <w:rPr>
                <w:b/>
                <w:sz w:val="20"/>
              </w:rPr>
              <w:t>Prefijo</w:t>
            </w:r>
          </w:p>
        </w:tc>
        <w:tc>
          <w:tcPr>
            <w:tcW w:type="dxa" w:w="2280"/>
          </w:tcPr>
          <w:p>
            <w:pPr>
              <w:spacing w:before="40" w:after="40"/>
            </w:pPr>
            <w:r>
              <w:rPr>
                <w:b/>
                <w:sz w:val="20"/>
              </w:rPr>
              <w:t>Accesible en</w:t>
            </w:r>
          </w:p>
        </w:tc>
        <w:tc>
          <w:tcPr>
            <w:tcW w:type="dxa" w:w="2280"/>
          </w:tcPr>
          <w:p>
            <w:pPr>
              <w:spacing w:before="40" w:after="40"/>
            </w:pPr>
            <w:r>
              <w:rPr>
                <w:b/>
                <w:sz w:val="20"/>
              </w:rPr>
              <w:t>Propósito</w:t>
            </w:r>
          </w:p>
        </w:tc>
      </w:tr>
      <w:tr>
        <w:tc>
          <w:tcPr>
            <w:tcW w:type="dxa" w:w="2280"/>
          </w:tcPr>
          <w:p>
            <w:pPr>
              <w:spacing w:before="40" w:after="40"/>
            </w:pPr>
            <w:r>
              <w:rPr>
                <w:rFonts w:ascii="Courier New" w:hAnsi="Courier New"/>
                <w:sz w:val="20"/>
              </w:rPr>
              <w:t>NEXT_PUBLIC_SUPABASE_URL</w:t>
            </w:r>
          </w:p>
        </w:tc>
        <w:tc>
          <w:tcPr>
            <w:tcW w:type="dxa" w:w="2280"/>
          </w:tcPr>
          <w:p>
            <w:pPr>
              <w:spacing w:before="40" w:after="40"/>
            </w:pPr>
            <w:r>
              <w:rPr>
                <w:rFonts w:ascii="Courier New" w:hAnsi="Courier New"/>
                <w:sz w:val="20"/>
              </w:rPr>
              <w:t>NEXT_PUBLIC_</w:t>
            </w:r>
          </w:p>
        </w:tc>
        <w:tc>
          <w:tcPr>
            <w:tcW w:type="dxa" w:w="2280"/>
          </w:tcPr>
          <w:p>
            <w:pPr>
              <w:spacing w:before="40" w:after="40"/>
            </w:pPr>
            <w:r>
              <w:rPr>
                <w:rFonts w:ascii="Arial" w:hAnsi="Arial"/>
                <w:sz w:val="20"/>
              </w:rPr>
              <w:t>Cliente + Servidor</w:t>
            </w:r>
          </w:p>
        </w:tc>
        <w:tc>
          <w:tcPr>
            <w:tcW w:type="dxa" w:w="2280"/>
          </w:tcPr>
          <w:p>
            <w:pPr>
              <w:spacing w:before="40" w:after="40"/>
            </w:pPr>
            <w:r>
              <w:rPr>
                <w:rFonts w:ascii="Arial" w:hAnsi="Arial"/>
                <w:sz w:val="20"/>
              </w:rPr>
              <w:t>URL del proyecto Supabase</w:t>
            </w:r>
          </w:p>
        </w:tc>
      </w:tr>
      <w:tr>
        <w:tc>
          <w:tcPr>
            <w:tcW w:type="dxa" w:w="2280"/>
          </w:tcPr>
          <w:p>
            <w:pPr>
              <w:spacing w:before="40" w:after="40"/>
            </w:pPr>
            <w:r>
              <w:rPr>
                <w:rFonts w:ascii="Courier New" w:hAnsi="Courier New"/>
                <w:sz w:val="20"/>
              </w:rPr>
              <w:t>NEXT_PUBLIC_SUPABASE_ANON_KEY</w:t>
            </w:r>
          </w:p>
        </w:tc>
        <w:tc>
          <w:tcPr>
            <w:tcW w:type="dxa" w:w="2280"/>
          </w:tcPr>
          <w:p>
            <w:pPr>
              <w:spacing w:before="40" w:after="40"/>
            </w:pPr>
            <w:r>
              <w:rPr>
                <w:rFonts w:ascii="Courier New" w:hAnsi="Courier New"/>
                <w:sz w:val="20"/>
              </w:rPr>
              <w:t>NEXT_PUBLIC_</w:t>
            </w:r>
          </w:p>
        </w:tc>
        <w:tc>
          <w:tcPr>
            <w:tcW w:type="dxa" w:w="2280"/>
          </w:tcPr>
          <w:p>
            <w:pPr>
              <w:spacing w:before="40" w:after="40"/>
            </w:pPr>
            <w:r>
              <w:rPr>
                <w:rFonts w:ascii="Arial" w:hAnsi="Arial"/>
                <w:sz w:val="20"/>
              </w:rPr>
              <w:t>Cliente + Servidor</w:t>
            </w:r>
          </w:p>
        </w:tc>
        <w:tc>
          <w:tcPr>
            <w:tcW w:type="dxa" w:w="2280"/>
          </w:tcPr>
          <w:p>
            <w:pPr>
              <w:spacing w:before="40" w:after="40"/>
            </w:pPr>
            <w:r>
              <w:rPr>
                <w:rFonts w:ascii="Arial" w:hAnsi="Arial"/>
                <w:sz w:val="20"/>
              </w:rPr>
              <w:t>Clave pública para operaciones RLS</w:t>
            </w:r>
          </w:p>
        </w:tc>
      </w:tr>
      <w:tr>
        <w:tc>
          <w:tcPr>
            <w:tcW w:type="dxa" w:w="2280"/>
          </w:tcPr>
          <w:p>
            <w:pPr>
              <w:spacing w:before="40" w:after="40"/>
            </w:pPr>
            <w:r>
              <w:rPr>
                <w:rFonts w:ascii="Courier New" w:hAnsi="Courier New"/>
                <w:sz w:val="20"/>
              </w:rPr>
              <w:t>SUPABASE_SERVICE_ROLE_KEY</w:t>
            </w:r>
          </w:p>
        </w:tc>
        <w:tc>
          <w:tcPr>
            <w:tcW w:type="dxa" w:w="2280"/>
          </w:tcPr>
          <w:p>
            <w:pPr>
              <w:spacing w:before="40" w:after="40"/>
            </w:pPr>
            <w:r>
              <w:rPr>
                <w:rFonts w:ascii="Arial" w:hAnsi="Arial"/>
                <w:sz w:val="20"/>
              </w:rPr>
              <w:t>Sin prefijo</w:t>
            </w:r>
          </w:p>
        </w:tc>
        <w:tc>
          <w:tcPr>
            <w:tcW w:type="dxa" w:w="2280"/>
          </w:tcPr>
          <w:p>
            <w:pPr>
              <w:spacing w:before="40" w:after="40"/>
            </w:pPr>
            <w:r>
              <w:rPr>
                <w:rFonts w:ascii="Arial" w:hAnsi="Arial"/>
                <w:sz w:val="20"/>
              </w:rPr>
              <w:t>Solo servidor</w:t>
            </w:r>
          </w:p>
        </w:tc>
        <w:tc>
          <w:tcPr>
            <w:tcW w:type="dxa" w:w="2280"/>
          </w:tcPr>
          <w:p>
            <w:pPr>
              <w:spacing w:before="40" w:after="40"/>
            </w:pPr>
            <w:r>
              <w:rPr>
                <w:rFonts w:ascii="Arial" w:hAnsi="Arial"/>
                <w:sz w:val="20"/>
              </w:rPr>
              <w:t>Clave privilegiada, omite RLS</w:t>
            </w:r>
          </w:p>
        </w:tc>
      </w:tr>
      <w:tr>
        <w:tc>
          <w:tcPr>
            <w:tcW w:type="dxa" w:w="2280"/>
          </w:tcPr>
          <w:p>
            <w:pPr>
              <w:spacing w:before="40" w:after="40"/>
            </w:pPr>
            <w:r>
              <w:rPr>
                <w:rFonts w:ascii="Courier New" w:hAnsi="Courier New"/>
                <w:sz w:val="20"/>
              </w:rPr>
              <w:t>CURP_HASH_SECRET</w:t>
            </w:r>
          </w:p>
        </w:tc>
        <w:tc>
          <w:tcPr>
            <w:tcW w:type="dxa" w:w="2280"/>
          </w:tcPr>
          <w:p>
            <w:pPr>
              <w:spacing w:before="40" w:after="40"/>
            </w:pPr>
            <w:r>
              <w:rPr>
                <w:rFonts w:ascii="Arial" w:hAnsi="Arial"/>
                <w:sz w:val="20"/>
              </w:rPr>
              <w:t>Sin prefijo</w:t>
            </w:r>
          </w:p>
        </w:tc>
        <w:tc>
          <w:tcPr>
            <w:tcW w:type="dxa" w:w="2280"/>
          </w:tcPr>
          <w:p>
            <w:pPr>
              <w:spacing w:before="40" w:after="40"/>
            </w:pPr>
            <w:r>
              <w:rPr>
                <w:rFonts w:ascii="Arial" w:hAnsi="Arial"/>
                <w:sz w:val="20"/>
              </w:rPr>
              <w:t>Solo servidor</w:t>
            </w:r>
          </w:p>
        </w:tc>
        <w:tc>
          <w:tcPr>
            <w:tcW w:type="dxa" w:w="2280"/>
          </w:tcPr>
          <w:p>
            <w:pPr>
              <w:spacing w:before="40" w:after="40"/>
            </w:pPr>
            <w:r>
              <w:rPr>
                <w:rFonts w:ascii="Arial" w:hAnsi="Arial"/>
                <w:sz w:val="20"/>
              </w:rPr>
              <w:t>Clave HMAC para protección de CURP</w:t>
            </w:r>
          </w:p>
        </w:tc>
      </w:tr>
    </w:tbl>
    <w:p/>
    <w:p>
      <w:pPr>
        <w:jc w:val="both"/>
      </w:pPr>
      <w:r>
        <w:rPr>
          <w:rFonts w:ascii="Arial" w:hAnsi="Arial"/>
          <w:sz w:val="22"/>
        </w:rPr>
        <w:t xml:space="preserve">La convención de Next.js que distingue variables con </w:t>
      </w:r>
      <w:r>
        <w:rPr>
          <w:rFonts w:ascii="Courier New" w:hAnsi="Courier New"/>
          <w:sz w:val="18"/>
        </w:rPr>
        <w:t>NEXT_PUBLIC_</w:t>
      </w:r>
      <w:r>
        <w:rPr>
          <w:rFonts w:ascii="Arial" w:hAnsi="Arial"/>
          <w:sz w:val="22"/>
        </w:rPr>
        <w:t xml:space="preserve"> (incluidas en el bundle del cliente) de las que no llevan ese prefijo (solo disponibles en el servidor) es el mecanismo que garantiza que las credenciales privilegiadas no lleguen al navegador.</w:t>
      </w:r>
    </w:p>
    <w:p>
      <w:pPr>
        <w:pStyle w:val="Heading2"/>
      </w:pPr>
      <w:r>
        <w:t>5.3 Implementación del registro y autenticación</w:t>
      </w:r>
    </w:p>
    <w:p>
      <w:pPr>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EV-5A-05-registro-formulario.png"/>
                    <pic:cNvPicPr/>
                  </pic:nvPicPr>
                  <pic:blipFill>
                    <a:blip r:embed="rId12"/>
                    <a:stretch>
                      <a:fillRect/>
                    </a:stretch>
                  </pic:blipFill>
                  <pic:spPr>
                    <a:xfrm>
                      <a:off x="0" y="0"/>
                      <a:ext cx="5040000" cy="3150000"/>
                    </a:xfrm>
                    <a:prstGeom prst="rect"/>
                  </pic:spPr>
                </pic:pic>
              </a:graphicData>
            </a:graphic>
          </wp:inline>
        </w:drawing>
      </w:r>
    </w:p>
    <w:p>
      <w:pPr>
        <w:pStyle w:val="FigureCaption"/>
      </w:pPr>
      <w:r>
        <w:t>Figura 5.5. Formulario de registro de candidato (/register). Fuente: captura de pantalla propia, 2026.</w:t>
      </w:r>
    </w:p>
    <w:p>
      <w:pPr>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EV-5A-06-curp-duplicada.png"/>
                    <pic:cNvPicPr/>
                  </pic:nvPicPr>
                  <pic:blipFill>
                    <a:blip r:embed="rId13"/>
                    <a:stretch>
                      <a:fillRect/>
                    </a:stretch>
                  </pic:blipFill>
                  <pic:spPr>
                    <a:xfrm>
                      <a:off x="0" y="0"/>
                      <a:ext cx="5040000" cy="3150000"/>
                    </a:xfrm>
                    <a:prstGeom prst="rect"/>
                  </pic:spPr>
                </pic:pic>
              </a:graphicData>
            </a:graphic>
          </wp:inline>
        </w:drawing>
      </w:r>
    </w:p>
    <w:p>
      <w:pPr>
        <w:pStyle w:val="FigureCaption"/>
      </w:pPr>
      <w:r>
        <w:t>Figura 5.6. Mensaje de error por CURP ya registrada (CP-02a). Fuente: captura de pantalla propia, 2026.</w:t>
      </w:r>
    </w:p>
    <w:p>
      <w:pPr>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EV-5A-07-login.png"/>
                    <pic:cNvPicPr/>
                  </pic:nvPicPr>
                  <pic:blipFill>
                    <a:blip r:embed="rId14"/>
                    <a:stretch>
                      <a:fillRect/>
                    </a:stretch>
                  </pic:blipFill>
                  <pic:spPr>
                    <a:xfrm>
                      <a:off x="0" y="0"/>
                      <a:ext cx="5040000" cy="3150000"/>
                    </a:xfrm>
                    <a:prstGeom prst="rect"/>
                  </pic:spPr>
                </pic:pic>
              </a:graphicData>
            </a:graphic>
          </wp:inline>
        </w:drawing>
      </w:r>
    </w:p>
    <w:p>
      <w:pPr>
        <w:pStyle w:val="FigureCaption"/>
      </w:pPr>
      <w:r>
        <w:t>Figura 5.7. Formulario de inicio de sesión (/login). Fuente: captura de pantalla propia, 2026.</w:t>
      </w:r>
    </w:p>
    <w:p>
      <w:pPr>
        <w:pStyle w:val="Heading3"/>
      </w:pPr>
      <w:r>
        <w:t>5.3.1 Flujo de registro (RF-01, RF-02)</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EV-5A-05-registro-formulario.png"/>
                    <pic:cNvPicPr/>
                  </pic:nvPicPr>
                  <pic:blipFill>
                    <a:blip r:embed="rId12"/>
                    <a:stretch>
                      <a:fillRect/>
                    </a:stretch>
                  </pic:blipFill>
                  <pic:spPr>
                    <a:xfrm>
                      <a:off x="0" y="0"/>
                      <a:ext cx="5040000" cy="3150000"/>
                    </a:xfrm>
                    <a:prstGeom prst="rect"/>
                  </pic:spPr>
                </pic:pic>
              </a:graphicData>
            </a:graphic>
          </wp:inline>
        </w:drawing>
      </w:r>
    </w:p>
    <w:p>
      <w:pPr>
        <w:pStyle w:val="FigureCaption"/>
      </w:pPr>
      <w:r>
        <w:t>Figura 5.5. Formulario de registro de candidato (/register). Fuente: captura de pantalla propia, 2026.</w:t>
      </w:r>
    </w:p>
    <w:p>
      <w:pPr>
        <w:jc w:val="center"/>
      </w:pPr>
      <w:r>
        <w:drawing>
          <wp:inline xmlns:a="http://schemas.openxmlformats.org/drawingml/2006/main" xmlns:pic="http://schemas.openxmlformats.org/drawingml/2006/picture">
            <wp:extent cx="5040000" cy="3150000"/>
            <wp:docPr id="11" name="Picture 11"/>
            <wp:cNvGraphicFramePr>
              <a:graphicFrameLocks noChangeAspect="1"/>
            </wp:cNvGraphicFramePr>
            <a:graphic>
              <a:graphicData uri="http://schemas.openxmlformats.org/drawingml/2006/picture">
                <pic:pic>
                  <pic:nvPicPr>
                    <pic:cNvPr id="0" name="EV-5A-07-login.png"/>
                    <pic:cNvPicPr/>
                  </pic:nvPicPr>
                  <pic:blipFill>
                    <a:blip r:embed="rId14"/>
                    <a:stretch>
                      <a:fillRect/>
                    </a:stretch>
                  </pic:blipFill>
                  <pic:spPr>
                    <a:xfrm>
                      <a:off x="0" y="0"/>
                      <a:ext cx="5040000" cy="3150000"/>
                    </a:xfrm>
                    <a:prstGeom prst="rect"/>
                  </pic:spPr>
                </pic:pic>
              </a:graphicData>
            </a:graphic>
          </wp:inline>
        </w:drawing>
      </w:r>
    </w:p>
    <w:p>
      <w:pPr>
        <w:pStyle w:val="FigureCaption"/>
      </w:pPr>
      <w:r>
        <w:t>Figura 5.7. Formulario de inicio de sesión (/login). Fuente: captura de pantalla propia, 2026.</w:t>
      </w:r>
    </w:p>
    <w:p>
      <w:pPr>
        <w:jc w:val="both"/>
      </w:pPr>
      <w:r>
        <w:rPr>
          <w:rFonts w:ascii="Arial" w:hAnsi="Arial"/>
          <w:sz w:val="22"/>
        </w:rPr>
        <w:t xml:space="preserve">El registro de candidatos es la operación de mayor complejidad transaccional del sistema. El Route Handler </w:t>
      </w:r>
      <w:r>
        <w:rPr>
          <w:rFonts w:ascii="Courier New" w:hAnsi="Courier New"/>
          <w:sz w:val="18"/>
        </w:rPr>
        <w:t>POST /api/auth/register</w:t>
      </w:r>
      <w:r>
        <w:rPr>
          <w:rFonts w:ascii="Arial" w:hAnsi="Arial"/>
          <w:sz w:val="22"/>
        </w:rPr>
        <w:t xml:space="preserve"> coordina cuatro operaciones sobre tres tablas diferentes y el servicio de autenticación, con reversión automática si cualquier paso falla.</w:t>
      </w:r>
    </w:p>
    <w:p>
      <w:pPr>
        <w:jc w:val="both"/>
      </w:pPr>
      <w:r>
        <w:rPr>
          <w:b/>
        </w:rPr>
        <w:t>Figura 5.2 — Diagrama de secuencia del registro de candidato</w:t>
      </w:r>
    </w:p>
    <w:p>
      <w:pPr>
        <w:pStyle w:val="CodeBlock"/>
        <w:shd w:val="clear" w:color="auto" w:fill="F2F2F2"/>
      </w:pPr>
      <w:r>
        <w:t>sequenceDiagram</w:t>
        <w:br/>
        <w:t xml:space="preserve">    participant Cliente as Navegador&lt;br/&gt;(register/page.tsx)</w:t>
        <w:br/>
        <w:t xml:space="preserve">    participant API as Route Handler&lt;br/&gt;POST /api/auth/register</w:t>
        <w:br/>
        <w:t xml:space="preserve">    participant Auth as Supabase Auth</w:t>
        <w:br/>
        <w:t xml:space="preserve">    participant DB as PostgreSQL</w:t>
        <w:br/>
        <w:br/>
        <w:t xml:space="preserve">    Cliente-&gt;&gt;API: POST {email, password, curp}</w:t>
        <w:br/>
        <w:t xml:space="preserve">    API-&gt;&gt;API: normalizeCurp(curp) → MAYÚSCULAS sin espacios</w:t>
        <w:br/>
        <w:t xml:space="preserve">    API-&gt;&gt;API: curpPattern.test(curp) → valida formato regex</w:t>
        <w:br/>
        <w:t xml:space="preserve">    API-&gt;&gt;API: hashCurpHmac(secret, curp) → digest hex (HMAC-SHA256)</w:t>
        <w:br/>
        <w:t xml:space="preserve">    API-&gt;&gt;DB: SELECT user_id FROM curp_hashes WHERE curp_hash = $hash</w:t>
        <w:br/>
        <w:t xml:space="preserve">    alt CURP ya registrada</w:t>
        <w:br/>
        <w:t xml:space="preserve">        DB--&gt;&gt;API: {user_id: "..."}</w:t>
        <w:br/>
        <w:t xml:space="preserve">        API--&gt;&gt;Cliente: 400 "Esta CURP ya está registrada"</w:t>
        <w:br/>
        <w:t xml:space="preserve">    else CURP disponible</w:t>
        <w:br/>
        <w:t xml:space="preserve">        DB--&gt;&gt;API: null</w:t>
        <w:br/>
        <w:t xml:space="preserve">        API-&gt;&gt;Auth: admin.createUser({email, password, email_confirm: true})</w:t>
        <w:br/>
        <w:t xml:space="preserve">        Auth--&gt;&gt;API: {user: {id: uuid}}</w:t>
        <w:br/>
        <w:t xml:space="preserve">        API-&gt;&gt;DB: INSERT INTO profiles (user_id, email)</w:t>
        <w:br/>
        <w:t xml:space="preserve">        alt Error en profiles</w:t>
        <w:br/>
        <w:t xml:space="preserve">            API-&gt;&gt;Auth: admin.deleteUser(userId) ← rollback</w:t>
        <w:br/>
        <w:t xml:space="preserve">            API--&gt;&gt;Cliente: 500 "No se pudo guardar el perfil"</w:t>
        <w:br/>
        <w:t xml:space="preserve">        end</w:t>
        <w:br/>
        <w:t xml:space="preserve">        API-&gt;&gt;DB: INSERT INTO curp_hashes (user_id, curp_hash)</w:t>
        <w:br/>
        <w:t xml:space="preserve">        alt Error en curp_hashes (race condition)</w:t>
        <w:br/>
        <w:t xml:space="preserve">            API-&gt;&gt;Auth: admin.deleteUser(userId) ← rollback</w:t>
        <w:br/>
        <w:t xml:space="preserve">            API--&gt;&gt;Cliente: 400 "Esta CURP ya está registrada"</w:t>
        <w:br/>
        <w:t xml:space="preserve">        end</w:t>
        <w:br/>
        <w:t xml:space="preserve">        API-&gt;&gt;DB: INSERT INTO user_roles (user_id, role='user')</w:t>
        <w:br/>
        <w:t xml:space="preserve">        alt Error en user_roles</w:t>
        <w:br/>
        <w:t xml:space="preserve">            API-&gt;&gt;Auth: admin.deleteUser(userId) ← rollback</w:t>
        <w:br/>
        <w:t xml:space="preserve">            API--&gt;&gt;Cliente: 500 "No se pudo asignar el rol inicial"</w:t>
        <w:br/>
        <w:t xml:space="preserve">        end</w:t>
        <w:br/>
        <w:t xml:space="preserve">        API--&gt;&gt;Cliente: 201 {message: "Usuario creado"}</w:t>
        <w:br/>
        <w:t xml:space="preserve">    end</w:t>
      </w:r>
    </w:p>
    <w:p>
      <w:pPr>
        <w:jc w:val="both"/>
      </w:pPr>
      <w:r>
        <w:rPr>
          <w:b/>
        </w:rPr>
        <w:t>Análisis de las validaciones del registro:</w:t>
      </w:r>
    </w:p>
    <w:p>
      <w:pPr>
        <w:jc w:val="both"/>
      </w:pPr>
      <w:r>
        <w:rPr>
          <w:rFonts w:ascii="Arial" w:hAnsi="Arial"/>
          <w:sz w:val="22"/>
        </w:rPr>
        <w:t>El Route Handler ejecuta dos tipos de validaciones antes de crear el usuario:</w:t>
      </w:r>
    </w:p>
    <w:p>
      <w:pPr>
        <w:pStyle w:val="ListNumber"/>
      </w:pPr>
      <w:r>
        <w:rPr>
          <w:b/>
        </w:rPr>
        <w:t>Validación de formato de CURP:</w:t>
      </w:r>
      <w:r>
        <w:rPr>
          <w:rFonts w:ascii="Arial" w:hAnsi="Arial"/>
          <w:sz w:val="22"/>
        </w:rPr>
        <w:t xml:space="preserve"> La expresión regular </w:t>
      </w:r>
      <w:r>
        <w:rPr>
          <w:rFonts w:ascii="Courier New" w:hAnsi="Courier New"/>
          <w:sz w:val="18"/>
        </w:rPr>
        <w:t>/^[A-Z]{4}\d{6}[HM][A-Z]{5}[A-Z0-9]\d$/</w:t>
      </w:r>
      <w:r>
        <w:rPr>
          <w:rFonts w:ascii="Arial" w:hAnsi="Arial"/>
          <w:sz w:val="22"/>
        </w:rPr>
        <w:t xml:space="preserve"> verifica la estructura formal de 18 caracteres. Esta validación ocurre después de normalizar la CURP a mayúsculas mediante </w:t>
      </w:r>
      <w:r>
        <w:rPr>
          <w:rFonts w:ascii="Courier New" w:hAnsi="Courier New"/>
          <w:sz w:val="18"/>
        </w:rPr>
        <w:t>normalizeCurp()</w:t>
      </w:r>
      <w:r>
        <w:rPr>
          <w:rFonts w:ascii="Arial" w:hAnsi="Arial"/>
          <w:sz w:val="22"/>
        </w:rPr>
        <w:t>, lo que garantiza que "garca800101hdfrrr01" y "GARCA800101HDFRRR01" sean tratados como equivalentes.</w:t>
      </w:r>
    </w:p>
    <w:p>
      <w:pPr>
        <w:pStyle w:val="ListNumber"/>
      </w:pPr>
      <w:r>
        <w:rPr>
          <w:b/>
        </w:rPr>
        <w:t>Verificación de duplicado mediante HMAC:</w:t>
      </w:r>
      <w:r>
        <w:rPr>
          <w:rFonts w:ascii="Arial" w:hAnsi="Arial"/>
          <w:sz w:val="22"/>
        </w:rPr>
        <w:t xml:space="preserve"> El hash HMAC-SHA256 se calcula antes de cualquier operación de base de datos. La consulta sobre </w:t>
      </w:r>
      <w:r>
        <w:rPr>
          <w:rFonts w:ascii="Courier New" w:hAnsi="Courier New"/>
          <w:sz w:val="18"/>
        </w:rPr>
        <w:t>curp_hashes</w:t>
      </w:r>
      <w:r>
        <w:rPr>
          <w:rFonts w:ascii="Arial" w:hAnsi="Arial"/>
          <w:sz w:val="22"/>
        </w:rPr>
        <w:t xml:space="preserve"> verifica si ya existe ese hash. Este orden es deliberado: consultar antes de crear evita crear el usuario y luego descubrir que la CURP estaba registrada.</w:t>
      </w:r>
    </w:p>
    <w:p>
      <w:pPr>
        <w:jc w:val="both"/>
      </w:pPr>
      <w:r>
        <w:rPr>
          <w:b/>
        </w:rPr>
        <w:t>Patrón de rollback transaccional:</w:t>
      </w:r>
    </w:p>
    <w:p>
      <w:pPr>
        <w:jc w:val="both"/>
      </w:pPr>
      <w:r>
        <w:rPr>
          <w:rFonts w:ascii="Arial" w:hAnsi="Arial"/>
          <w:sz w:val="22"/>
        </w:rPr>
        <w:t>PostgreSQL soporta transacciones nativas (</w:t>
      </w:r>
      <w:r>
        <w:rPr>
          <w:rFonts w:ascii="Courier New" w:hAnsi="Courier New"/>
          <w:sz w:val="18"/>
        </w:rPr>
        <w:t>BEGIN / COMMIT / ROLLBACK</w:t>
      </w:r>
      <w:r>
        <w:rPr>
          <w:rFonts w:ascii="Arial" w:hAnsi="Arial"/>
          <w:sz w:val="22"/>
        </w:rP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rPr>
          <w:rFonts w:ascii="Arial" w:hAnsi="Arial"/>
          <w:sz w:val="22"/>
        </w:rPr>
        <w:t xml:space="preserve"> para revertir la creación del usuario en Supabase Auth antes de retornar el error al cliente. Esto garantiza que no queden usuarios huérfanos en el sistema de autenticación cuando la creación de registros dependientes falla.</w:t>
      </w:r>
    </w:p>
    <w:p>
      <w:pPr>
        <w:jc w:val="both"/>
      </w:pPr>
      <w:r>
        <w:rPr>
          <w:rFonts w:ascii="Arial" w:hAnsi="Arial"/>
          <w:sz w:val="22"/>
        </w:rPr>
        <w:t xml:space="preserve">La opción </w:t>
      </w:r>
      <w:r>
        <w:rPr>
          <w:rFonts w:ascii="Courier New" w:hAnsi="Courier New"/>
          <w:sz w:val="18"/>
        </w:rPr>
        <w:t>email_confirm: true</w:t>
      </w:r>
      <w:r>
        <w:rPr>
          <w:rFonts w:ascii="Arial" w:hAnsi="Arial"/>
          <w:sz w:val="22"/>
        </w:rPr>
        <w:t xml:space="preserve"> en </w:t>
      </w:r>
      <w:r>
        <w:rPr>
          <w:rFonts w:ascii="Courier New" w:hAnsi="Courier New"/>
          <w:sz w:val="18"/>
        </w:rPr>
        <w:t>admin.createUser()</w:t>
      </w:r>
      <w:r>
        <w:rPr>
          <w:rFonts w:ascii="Arial" w:hAnsi="Arial"/>
          <w:sz w:val="22"/>
        </w:rP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pPr>
        <w:pStyle w:val="Heading3"/>
      </w:pPr>
      <w:r>
        <w:t>5.3.2 Autenticación y resolución de rol (RF-03)</w:t>
      </w:r>
    </w:p>
    <w:p>
      <w:pPr>
        <w:jc w:val="center"/>
      </w:pPr>
      <w:r>
        <w:drawing>
          <wp:inline xmlns:a="http://schemas.openxmlformats.org/drawingml/2006/main" xmlns:pic="http://schemas.openxmlformats.org/drawingml/2006/picture">
            <wp:extent cx="5040000" cy="3150000"/>
            <wp:docPr id="12" name="Picture 12"/>
            <wp:cNvGraphicFramePr>
              <a:graphicFrameLocks noChangeAspect="1"/>
            </wp:cNvGraphicFramePr>
            <a:graphic>
              <a:graphicData uri="http://schemas.openxmlformats.org/drawingml/2006/picture">
                <pic:pic>
                  <pic:nvPicPr>
                    <pic:cNvPr id="0" name="EV-5A-05-registro-formulario.png"/>
                    <pic:cNvPicPr/>
                  </pic:nvPicPr>
                  <pic:blipFill>
                    <a:blip r:embed="rId12"/>
                    <a:stretch>
                      <a:fillRect/>
                    </a:stretch>
                  </pic:blipFill>
                  <pic:spPr>
                    <a:xfrm>
                      <a:off x="0" y="0"/>
                      <a:ext cx="5040000" cy="3150000"/>
                    </a:xfrm>
                    <a:prstGeom prst="rect"/>
                  </pic:spPr>
                </pic:pic>
              </a:graphicData>
            </a:graphic>
          </wp:inline>
        </w:drawing>
      </w:r>
    </w:p>
    <w:p>
      <w:pPr>
        <w:pStyle w:val="FigureCaption"/>
      </w:pPr>
      <w:r>
        <w:t>Figura 5.5. Formulario de registro de candidato (/register). Fuente: captura de pantalla propia, 2026.</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EV-5A-07-login.png"/>
                    <pic:cNvPicPr/>
                  </pic:nvPicPr>
                  <pic:blipFill>
                    <a:blip r:embed="rId14"/>
                    <a:stretch>
                      <a:fillRect/>
                    </a:stretch>
                  </pic:blipFill>
                  <pic:spPr>
                    <a:xfrm>
                      <a:off x="0" y="0"/>
                      <a:ext cx="5040000" cy="3150000"/>
                    </a:xfrm>
                    <a:prstGeom prst="rect"/>
                  </pic:spPr>
                </pic:pic>
              </a:graphicData>
            </a:graphic>
          </wp:inline>
        </w:drawing>
      </w:r>
    </w:p>
    <w:p>
      <w:pPr>
        <w:pStyle w:val="FigureCaption"/>
      </w:pPr>
      <w:r>
        <w:t>Figura 5.7. Formulario de inicio de sesión (/login). Fuente: captura de pantalla propia, 2026.</w:t>
      </w:r>
    </w:p>
    <w:p>
      <w:pPr>
        <w:jc w:val="both"/>
      </w:pPr>
      <w:r>
        <w:rPr>
          <w:rFonts w:ascii="Arial" w:hAnsi="Arial"/>
          <w:sz w:val="22"/>
        </w:rPr>
        <w:t>El inicio de sesión utiliza el método estándar de Supabase Auth:</w:t>
      </w:r>
    </w:p>
    <w:p>
      <w:pPr>
        <w:pStyle w:val="CodeBlock"/>
        <w:shd w:val="clear" w:color="auto" w:fill="F2F2F2"/>
      </w:pPr>
      <w:r>
        <w:t>// Dentro de app/login/page.tsx (Client Component)</w:t>
        <w:br/>
        <w:t>const { error } = await supabase.auth.signInWithPassword({ email, password });</w:t>
        <w:br/>
        <w:t>if (!error) router.push("/panel");</w:t>
      </w:r>
    </w:p>
    <w:p>
      <w:pPr>
        <w:jc w:val="both"/>
      </w:pPr>
      <w:r>
        <w:rPr>
          <w:rFonts w:ascii="Arial" w:hAnsi="Arial"/>
          <w:sz w:val="22"/>
        </w:rP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rPr>
          <w:rFonts w:ascii="Arial" w:hAnsi="Arial"/>
          <w:sz w:val="22"/>
        </w:rPr>
        <w:t>.</w:t>
      </w:r>
    </w:p>
    <w:p>
      <w:pPr>
        <w:jc w:val="both"/>
      </w:pPr>
      <w:r>
        <w:rPr>
          <w:rFonts w:ascii="Arial" w:hAnsi="Arial"/>
          <w:sz w:val="22"/>
        </w:rPr>
        <w:t xml:space="preserve">La resolución del rol del usuario ocurre en </w:t>
      </w:r>
      <w:r>
        <w:rPr>
          <w:rFonts w:ascii="Courier New" w:hAnsi="Courier New"/>
          <w:sz w:val="18"/>
        </w:rPr>
        <w:t>lib/auth.ts</w:t>
      </w:r>
      <w:r>
        <w:rPr>
          <w:rFonts w:ascii="Arial" w:hAnsi="Arial"/>
          <w:sz w:val="22"/>
        </w:rPr>
        <w:t>:</w:t>
      </w:r>
    </w:p>
    <w:p>
      <w:pPr>
        <w:pStyle w:val="CodeBlock"/>
        <w:shd w:val="clear" w:color="auto" w:fill="F2F2F2"/>
      </w:pPr>
      <w:r>
        <w:t>// lib/auth.ts</w:t>
        <w:br/>
        <w:t>export const getRoleForSession = async (supabase: SupabaseClient): Promise&lt;ProfileRole&gt; =&gt; {</w:t>
        <w:br/>
        <w:t xml:space="preserve">  const { data, error } = await supabase.rpc("get_my_role");</w:t>
        <w:br/>
        <w:t xml:space="preserve">  if (error) return "user";  // Fallback seguro ante cualquier error</w:t>
        <w:br/>
        <w:t xml:space="preserve">  return resolveRole(typeof data === "string" ? data : null);</w:t>
        <w:br/>
        <w:t>};</w:t>
      </w:r>
    </w:p>
    <w:p>
      <w:pPr>
        <w:jc w:val="both"/>
      </w:pPr>
      <w:r>
        <w:rPr>
          <w:rFonts w:ascii="Arial" w:hAnsi="Arial"/>
          <w:sz w:val="22"/>
        </w:rPr>
        <w:t xml:space="preserve">Esta función invoca el RPC </w:t>
      </w:r>
      <w:r>
        <w:rPr>
          <w:rFonts w:ascii="Courier New" w:hAnsi="Courier New"/>
          <w:sz w:val="18"/>
        </w:rPr>
        <w:t>get_my_role()</w:t>
      </w:r>
      <w:r>
        <w:rPr>
          <w:rFonts w:ascii="Arial" w:hAnsi="Arial"/>
          <w:sz w:val="22"/>
        </w:rPr>
        <w:t xml:space="preserve"> definido en la base de datos. El RPC, a su vez, consulta primero </w:t>
      </w:r>
      <w:r>
        <w:rPr>
          <w:rFonts w:ascii="Courier New" w:hAnsi="Courier New"/>
          <w:sz w:val="18"/>
        </w:rPr>
        <w:t>user_roles</w:t>
      </w:r>
      <w:r>
        <w:rPr>
          <w:rFonts w:ascii="Arial" w:hAnsi="Arial"/>
          <w:sz w:val="22"/>
        </w:rPr>
        <w:t xml:space="preserve"> para el usuario autenticado (</w:t>
      </w:r>
      <w:r>
        <w:rPr>
          <w:rFonts w:ascii="Courier New" w:hAnsi="Courier New"/>
          <w:sz w:val="18"/>
        </w:rPr>
        <w:t>auth.uid()</w:t>
      </w:r>
      <w:r>
        <w:rPr>
          <w:rFonts w:ascii="Arial" w:hAnsi="Arial"/>
          <w:sz w:val="22"/>
        </w:rPr>
        <w:t xml:space="preserve">), y luego cae a </w:t>
      </w:r>
      <w:r>
        <w:rPr>
          <w:rFonts w:ascii="Courier New" w:hAnsi="Courier New"/>
          <w:sz w:val="18"/>
        </w:rPr>
        <w:t>profiles.role</w:t>
      </w:r>
      <w:r>
        <w:rPr>
          <w:rFonts w:ascii="Arial" w:hAnsi="Arial"/>
          <w:sz w:val="22"/>
        </w:rPr>
        <w:t xml:space="preserve"> si no encuentra entrada. La función </w:t>
      </w:r>
      <w:r>
        <w:rPr>
          <w:rFonts w:ascii="Courier New" w:hAnsi="Courier New"/>
          <w:sz w:val="18"/>
        </w:rPr>
        <w:t>resolveRole()</w:t>
      </w:r>
      <w:r>
        <w:rPr>
          <w:rFonts w:ascii="Arial" w:hAnsi="Arial"/>
          <w:sz w:val="22"/>
        </w:rPr>
        <w:t xml:space="preserve"> aplica la sanitización final: solo acepta los valores literales </w:t>
      </w:r>
      <w:r>
        <w:rPr>
          <w:rFonts w:ascii="Courier New" w:hAnsi="Courier New"/>
          <w:sz w:val="18"/>
        </w:rPr>
        <w:t>"admin"</w:t>
      </w:r>
      <w:r>
        <w:rPr>
          <w:rFonts w:ascii="Arial" w:hAnsi="Arial"/>
          <w:sz w:val="22"/>
        </w:rPr>
        <w:t xml:space="preserve"> o </w:t>
      </w:r>
      <w:r>
        <w:rPr>
          <w:rFonts w:ascii="Courier New" w:hAnsi="Courier New"/>
          <w:sz w:val="18"/>
        </w:rPr>
        <w:t>"user"</w:t>
      </w:r>
      <w:r>
        <w:rPr>
          <w:rFonts w:ascii="Arial" w:hAnsi="Arial"/>
          <w:sz w:val="22"/>
        </w:rPr>
        <w:t xml:space="preserve">, retornando </w:t>
      </w:r>
      <w:r>
        <w:rPr>
          <w:rFonts w:ascii="Courier New" w:hAnsi="Courier New"/>
          <w:sz w:val="18"/>
        </w:rPr>
        <w:t>"user"</w:t>
      </w:r>
      <w:r>
        <w:rPr>
          <w:rFonts w:ascii="Arial" w:hAnsi="Arial"/>
          <w:sz w:val="22"/>
        </w:rPr>
        <w:t xml:space="preserve"> ante cualquier otro valor. Este triple nivel de defensa (RPC → resolveRole → fallback en error de RPC) garantiza que un valor inesperado en la base de datos no conceda privilegios elevados accidentalmente.</w:t>
      </w:r>
    </w:p>
    <w:p>
      <w:pPr>
        <w:pStyle w:val="Heading2"/>
      </w:pPr>
      <w:r>
        <w:t>5.4 Desarrollo del panel del candidato</w:t>
      </w:r>
    </w:p>
    <w:p>
      <w:pPr>
        <w:jc w:val="center"/>
      </w:pPr>
      <w:r>
        <w:drawing>
          <wp:inline xmlns:a="http://schemas.openxmlformats.org/drawingml/2006/main" xmlns:pic="http://schemas.openxmlformats.org/drawingml/2006/picture">
            <wp:extent cx="5040000" cy="3150000"/>
            <wp:docPr id="14" name="Picture 14"/>
            <wp:cNvGraphicFramePr>
              <a:graphicFrameLocks noChangeAspect="1"/>
            </wp:cNvGraphicFramePr>
            <a:graphic>
              <a:graphicData uri="http://schemas.openxmlformats.org/drawingml/2006/picture">
                <pic:pic>
                  <pic:nvPicPr>
                    <pic:cNvPr id="0" name="EV-5A-09-panel-candidato.png"/>
                    <pic:cNvPicPr/>
                  </pic:nvPicPr>
                  <pic:blipFill>
                    <a:blip r:embed="rId15"/>
                    <a:stretch>
                      <a:fillRect/>
                    </a:stretch>
                  </pic:blipFill>
                  <pic:spPr>
                    <a:xfrm>
                      <a:off x="0" y="0"/>
                      <a:ext cx="5040000" cy="3150000"/>
                    </a:xfrm>
                    <a:prstGeom prst="rect"/>
                  </pic:spPr>
                </pic:pic>
              </a:graphicData>
            </a:graphic>
          </wp:inline>
        </w:drawing>
      </w:r>
    </w:p>
    <w:p>
      <w:pPr>
        <w:pStyle w:val="FigureCaption"/>
      </w:pPr>
      <w:r>
        <w:t>Figura 5.9. Panel principal del candidato autenticado (/panel). Fuente: captura de pantalla propia, 2026.</w:t>
      </w:r>
    </w:p>
    <w:p>
      <w:pPr>
        <w:pStyle w:val="Heading3"/>
      </w:pPr>
      <w:r>
        <w:t>5.4.1 Arquitectura del panel (RF-04)</w:t>
      </w:r>
    </w:p>
    <w:p>
      <w:pPr>
        <w:jc w:val="center"/>
      </w:pPr>
      <w:r>
        <w:drawing>
          <wp:inline xmlns:a="http://schemas.openxmlformats.org/drawingml/2006/main" xmlns:pic="http://schemas.openxmlformats.org/drawingml/2006/picture">
            <wp:extent cx="5040000" cy="3150000"/>
            <wp:docPr id="15" name="Picture 15"/>
            <wp:cNvGraphicFramePr>
              <a:graphicFrameLocks noChangeAspect="1"/>
            </wp:cNvGraphicFramePr>
            <a:graphic>
              <a:graphicData uri="http://schemas.openxmlformats.org/drawingml/2006/picture">
                <pic:pic>
                  <pic:nvPicPr>
                    <pic:cNvPr id="0" name="EV-5A-09-panel-candidato.png"/>
                    <pic:cNvPicPr/>
                  </pic:nvPicPr>
                  <pic:blipFill>
                    <a:blip r:embed="rId15"/>
                    <a:stretch>
                      <a:fillRect/>
                    </a:stretch>
                  </pic:blipFill>
                  <pic:spPr>
                    <a:xfrm>
                      <a:off x="0" y="0"/>
                      <a:ext cx="5040000" cy="3150000"/>
                    </a:xfrm>
                    <a:prstGeom prst="rect"/>
                  </pic:spPr>
                </pic:pic>
              </a:graphicData>
            </a:graphic>
          </wp:inline>
        </w:drawing>
      </w:r>
    </w:p>
    <w:p>
      <w:pPr>
        <w:pStyle w:val="FigureCaption"/>
      </w:pPr>
      <w:r>
        <w:t>Figura 5.9. Panel principal del candidato autenticado (/panel). Fuente: captura de pantalla propia, 2026.</w:t>
      </w:r>
    </w:p>
    <w:p>
      <w:pPr>
        <w:jc w:val="both"/>
      </w:pPr>
      <w:r>
        <w:rPr>
          <w:rFonts w:ascii="Arial" w:hAnsi="Arial"/>
          <w:sz w:val="22"/>
        </w:rPr>
        <w:t>El panel del candidato (</w:t>
      </w:r>
      <w:r>
        <w:rPr>
          <w:rFonts w:ascii="Courier New" w:hAnsi="Courier New"/>
          <w:sz w:val="18"/>
        </w:rPr>
        <w:t>app/panel/page.tsx</w:t>
      </w:r>
      <w:r>
        <w:rPr>
          <w:rFonts w:ascii="Arial" w:hAnsi="Arial"/>
          <w:sz w:val="22"/>
        </w:rP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pPr>
        <w:jc w:val="both"/>
      </w:pPr>
      <w:r>
        <w:rPr>
          <w:rFonts w:ascii="Arial" w:hAnsi="Arial"/>
          <w:sz w:val="22"/>
        </w:rPr>
        <w:t>El panel carga sus datos mediante cinco efectos independientes que se ejecutan en secuencia condicionada:</w:t>
      </w:r>
    </w:p>
    <w:p>
      <w:pPr>
        <w:pStyle w:val="CodeBlock"/>
        <w:shd w:val="clear" w:color="auto" w:fill="F2F2F2"/>
      </w:pPr>
      <w:r>
        <w:t>Efecto 1: getSession() → Si no hay sesión → redirige a /login</w:t>
        <w:br/>
        <w:t xml:space="preserve">          Si hay sesión → setSession(data.session)</w:t>
        <w:br/>
        <w:t xml:space="preserve">               ↓</w:t>
        <w:br/>
        <w:t>Efecto 2: (depende de session) → carga perfil desde profiles</w:t>
        <w:br/>
        <w:t xml:space="preserve">               ↓</w:t>
        <w:br/>
        <w:t>Efecto 3: (depende de session) → getRoleForSession() → setUserRole</w:t>
        <w:br/>
        <w:t xml:space="preserve">               ↓</w:t>
        <w:br/>
        <w:t>Efecto 4: (depende de session) → carga módulos desde modules</w:t>
        <w:br/>
        <w:t xml:space="preserve">               ↓</w:t>
        <w:br/>
        <w:t>Efecto 5: (depende de session) → verifica estado del psicométrico</w:t>
      </w:r>
    </w:p>
    <w:p>
      <w:pPr>
        <w:jc w:val="both"/>
      </w:pPr>
      <w:r>
        <w:rPr>
          <w:rFonts w:ascii="Arial" w:hAnsi="Arial"/>
          <w:sz w:val="22"/>
        </w:rP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rPr>
          <w:rFonts w:ascii="Arial" w:hAnsi="Arial"/>
          <w:sz w:val="22"/>
        </w:rPr>
        <w:t>.</w:t>
      </w:r>
    </w:p>
    <w:p>
      <w:pPr>
        <w:pStyle w:val="Heading3"/>
      </w:pPr>
      <w:r>
        <w:t>5.4.2 Comportamiento adaptado al rol</w:t>
      </w:r>
    </w:p>
    <w:p>
      <w:pPr>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EV-5A-09-panel-candidato.png"/>
                    <pic:cNvPicPr/>
                  </pic:nvPicPr>
                  <pic:blipFill>
                    <a:blip r:embed="rId15"/>
                    <a:stretch>
                      <a:fillRect/>
                    </a:stretch>
                  </pic:blipFill>
                  <pic:spPr>
                    <a:xfrm>
                      <a:off x="0" y="0"/>
                      <a:ext cx="5040000" cy="3150000"/>
                    </a:xfrm>
                    <a:prstGeom prst="rect"/>
                  </pic:spPr>
                </pic:pic>
              </a:graphicData>
            </a:graphic>
          </wp:inline>
        </w:drawing>
      </w:r>
    </w:p>
    <w:p>
      <w:pPr>
        <w:pStyle w:val="FigureCaption"/>
      </w:pPr>
      <w:r>
        <w:t>Figura 5.9. Panel principal del candidato autenticado (/panel). Fuente: captura de pantalla propia, 2026.</w:t>
      </w:r>
    </w:p>
    <w:p>
      <w:pPr>
        <w:jc w:val="both"/>
      </w:pPr>
      <w:r>
        <w:rPr>
          <w:rFonts w:ascii="Arial" w:hAnsi="Arial"/>
          <w:sz w:val="22"/>
        </w:rPr>
        <w:t>Una vez que el rol se resuelve, la interfaz adapta su contenido:</w:t>
      </w:r>
    </w:p>
    <w:p>
      <w:pPr>
        <w:pStyle w:val="CodeBlock"/>
        <w:shd w:val="clear" w:color="auto" w:fill="F2F2F2"/>
      </w:pPr>
      <w:r>
        <w:t>// app/panel/page.tsx</w:t>
        <w:br/>
        <w:t>const isAdmin = userRole === "admin";</w:t>
        <w:br/>
        <w:t>// ...</w:t>
        <w:br/>
        <w:t>{isAdmin ? (</w:t>
        <w:br/>
        <w:t xml:space="preserve">  &lt;Button asChild&gt;</w:t>
        <w:br/>
        <w:t xml:space="preserve">    &lt;Link href="/admin"&gt;Panel administrativo&lt;/Link&gt;</w:t>
        <w:br/>
        <w:t xml:space="preserve">  &lt;/Button&gt;</w:t>
        <w:br/>
        <w:t>) : null}</w:t>
      </w:r>
    </w:p>
    <w:p>
      <w:pPr>
        <w:jc w:val="both"/>
      </w:pPr>
      <w:r>
        <w:rPr>
          <w:rFonts w:ascii="Arial" w:hAnsi="Arial"/>
          <w:sz w:val="22"/>
        </w:rPr>
        <w:t xml:space="preserve">El botón de acceso al panel administrativo solo se renderiza cuando </w:t>
      </w:r>
      <w:r>
        <w:rPr>
          <w:rFonts w:ascii="Courier New" w:hAnsi="Courier New"/>
          <w:sz w:val="18"/>
        </w:rPr>
        <w:t>userRole === "admin"</w:t>
      </w:r>
      <w:r>
        <w:rPr>
          <w:rFonts w:ascii="Arial" w:hAnsi="Arial"/>
          <w:sz w:val="22"/>
        </w:rP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rPr>
          <w:rFonts w:ascii="Arial" w:hAnsi="Arial"/>
          <w:sz w:val="22"/>
        </w:rPr>
        <w:t>, de modo que incluso si un usuario modificara el HTML del cliente, los Route Handlers rechazarían sus solicitudes.</w:t>
      </w:r>
    </w:p>
    <w:p>
      <w:pPr>
        <w:pStyle w:val="Heading3"/>
      </w:pPr>
      <w:r>
        <w:t>5.4.3 Indicador de estado psicométrico</w:t>
      </w:r>
    </w:p>
    <w:p>
      <w:pPr>
        <w:jc w:val="center"/>
      </w:pPr>
      <w:r>
        <w:drawing>
          <wp:inline xmlns:a="http://schemas.openxmlformats.org/drawingml/2006/main" xmlns:pic="http://schemas.openxmlformats.org/drawingml/2006/picture">
            <wp:extent cx="5040000" cy="3150000"/>
            <wp:docPr id="17" name="Picture 17"/>
            <wp:cNvGraphicFramePr>
              <a:graphicFrameLocks noChangeAspect="1"/>
            </wp:cNvGraphicFramePr>
            <a:graphic>
              <a:graphicData uri="http://schemas.openxmlformats.org/drawingml/2006/picture">
                <pic:pic>
                  <pic:nvPicPr>
                    <pic:cNvPr id="0" name="EV-5A-09-panel-candidato.png"/>
                    <pic:cNvPicPr/>
                  </pic:nvPicPr>
                  <pic:blipFill>
                    <a:blip r:embed="rId15"/>
                    <a:stretch>
                      <a:fillRect/>
                    </a:stretch>
                  </pic:blipFill>
                  <pic:spPr>
                    <a:xfrm>
                      <a:off x="0" y="0"/>
                      <a:ext cx="5040000" cy="3150000"/>
                    </a:xfrm>
                    <a:prstGeom prst="rect"/>
                  </pic:spPr>
                </pic:pic>
              </a:graphicData>
            </a:graphic>
          </wp:inline>
        </w:drawing>
      </w:r>
    </w:p>
    <w:p>
      <w:pPr>
        <w:pStyle w:val="FigureCaption"/>
      </w:pPr>
      <w:r>
        <w:t>Figura 5.9. Panel principal del candidato autenticado (/panel). Fuente: captura de pantalla propia, 2026.</w:t>
      </w:r>
    </w:p>
    <w:p>
      <w:pPr>
        <w:jc w:val="both"/>
      </w:pPr>
      <w:r>
        <w:rPr>
          <w:rFonts w:ascii="Arial" w:hAnsi="Arial"/>
          <w:sz w:val="22"/>
        </w:rPr>
        <w:t xml:space="preserve">El panel verifica el estado del cuestionario base consultando directamente la tabla </w:t>
      </w:r>
      <w:r>
        <w:rPr>
          <w:rFonts w:ascii="Courier New" w:hAnsi="Courier New"/>
          <w:sz w:val="18"/>
        </w:rPr>
        <w:t>attempts</w:t>
      </w:r>
      <w:r>
        <w:rPr>
          <w:rFonts w:ascii="Arial" w:hAnsi="Arial"/>
          <w:sz w:val="22"/>
        </w:rPr>
        <w:t xml:space="preserve"> con el UUID fijo del psicométrico (</w:t>
      </w:r>
      <w:r>
        <w:rPr>
          <w:rFonts w:ascii="Courier New" w:hAnsi="Courier New"/>
          <w:sz w:val="18"/>
        </w:rPr>
        <w:t>PSICOMETRICO_BASE_ASSESSMENT_ID = "f2000000-0000-0000-0000-000000000001"</w:t>
      </w:r>
      <w:r>
        <w:rPr>
          <w:rFonts w:ascii="Arial" w:hAnsi="Arial"/>
          <w:sz w:val="22"/>
        </w:rPr>
        <w:t>):</w:t>
      </w:r>
    </w:p>
    <w:p>
      <w:pPr>
        <w:pStyle w:val="CodeBlock"/>
        <w:shd w:val="clear" w:color="auto" w:fill="F2F2F2"/>
      </w:pPr>
      <w:r>
        <w:t>// app/panel/page.tsx</w:t>
        <w:br/>
        <w:t>const hasCompleted = attempts.some((attempt) =&gt;</w:t>
        <w:br/>
        <w:t xml:space="preserve">  Boolean(attempt.submitted_at) || completedStatuses.has(attempt.status ?? "")</w:t>
        <w:br/>
        <w:t>);</w:t>
        <w:br/>
        <w:t>setPsicometricoReady(hasCompleted);</w:t>
      </w:r>
    </w:p>
    <w:p>
      <w:pPr>
        <w:jc w:val="both"/>
      </w:pPr>
      <w:r>
        <w:rPr>
          <w:rFonts w:ascii="Arial" w:hAnsi="Arial"/>
          <w:sz w:val="22"/>
        </w:rP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pPr>
        <w:pStyle w:val="Heading2"/>
      </w:pPr>
      <w:r>
        <w:t>5.5 Gestión y consulta de vacantes</w:t>
      </w:r>
    </w:p>
    <w:p>
      <w:pPr>
        <w:jc w:val="center"/>
        <w:shd w:val="clear" w:color="auto" w:fill="FFE8E8"/>
      </w:pPr>
      <w:r>
        <w:rPr>
          <w:b/>
          <w:color w:val="B40000"/>
          <w:sz w:val="20"/>
        </w:rPr>
        <w:t>[ Figura 5.10. [MARCADOR — EV-5A-11 INVÁLIDA: captura muestra error 404. Requiere nueva captura de /vacantes con lista de vacantes activas.] ]</w:t>
      </w:r>
    </w:p>
    <w:p>
      <w:pPr>
        <w:pStyle w:val="FigureCaption"/>
      </w:pPr>
      <w:r>
        <w:t>Figura 5.10. [MARCADOR — EV-5A-11 INVÁLIDA: captura muestra error 404. Requiere nueva captura de /vacantes con lista de vacantes activas.]</w:t>
      </w:r>
    </w:p>
    <w:p>
      <w:pPr>
        <w:jc w:val="center"/>
      </w:pPr>
      <w:r>
        <w:drawing>
          <wp:inline xmlns:a="http://schemas.openxmlformats.org/drawingml/2006/main" xmlns:pic="http://schemas.openxmlformats.org/drawingml/2006/picture">
            <wp:extent cx="5040000" cy="3150000"/>
            <wp:docPr id="18" name="Picture 18"/>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5.11. Detalle de vacante con descripción y botón de postulación. Fuente: captura de pantalla propia, 2026.</w:t>
      </w:r>
    </w:p>
    <w:p>
      <w:pPr>
        <w:pStyle w:val="Heading3"/>
      </w:pPr>
      <w:r>
        <w:t>5.5.1 Jerarquía módulos → vacantes (RF-04, RF-05)</w:t>
      </w:r>
    </w:p>
    <w:p>
      <w:pPr>
        <w:jc w:val="center"/>
        <w:shd w:val="clear" w:color="auto" w:fill="FFE8E8"/>
      </w:pPr>
      <w:r>
        <w:rPr>
          <w:b/>
          <w:color w:val="B40000"/>
          <w:sz w:val="20"/>
        </w:rPr>
        <w:t>[ Figura 5.10. [MARCADOR — EV-5A-11 INVÁLIDA: captura muestra error 404. Requiere nueva captura de /vacantes con lista de vacantes activas.] ]</w:t>
      </w:r>
    </w:p>
    <w:p>
      <w:pPr>
        <w:pStyle w:val="FigureCaption"/>
      </w:pPr>
      <w:r>
        <w:t>Figura 5.10. [MARCADOR — EV-5A-11 INVÁLIDA: captura muestra error 404. Requiere nueva captura de /vacantes con lista de vacantes activas.]</w:t>
      </w:r>
    </w:p>
    <w:p>
      <w:pPr>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5.11. Detalle de vacante con descripción y botón de postulación. Fuente: captura de pantalla propia, 2026.</w:t>
      </w:r>
    </w:p>
    <w:p>
      <w:pPr>
        <w:jc w:val="both"/>
      </w:pPr>
      <w:r>
        <w:rPr>
          <w:rFonts w:ascii="Arial" w:hAnsi="Arial"/>
          <w:sz w:val="22"/>
        </w:rP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Ruta</w:t>
            </w:r>
          </w:p>
        </w:tc>
        <w:tc>
          <w:tcPr>
            <w:tcW w:type="dxa" w:w="3041"/>
          </w:tcPr>
          <w:p>
            <w:pPr>
              <w:spacing w:before="40" w:after="40"/>
            </w:pPr>
            <w:r>
              <w:rPr>
                <w:b/>
                <w:sz w:val="20"/>
              </w:rPr>
              <w:t>Componente</w:t>
            </w:r>
          </w:p>
        </w:tc>
        <w:tc>
          <w:tcPr>
            <w:tcW w:type="dxa" w:w="3041"/>
          </w:tcPr>
          <w:p>
            <w:pPr>
              <w:spacing w:before="40" w:after="40"/>
            </w:pPr>
            <w:r>
              <w:rPr>
                <w:b/>
                <w:sz w:val="20"/>
              </w:rPr>
              <w:t>Datos que carga</w:t>
            </w:r>
          </w:p>
        </w:tc>
      </w:tr>
      <w:tr>
        <w:tc>
          <w:tcPr>
            <w:tcW w:type="dxa" w:w="3041"/>
          </w:tcPr>
          <w:p>
            <w:pPr>
              <w:spacing w:before="40" w:after="40"/>
            </w:pPr>
            <w:r>
              <w:rPr>
                <w:rFonts w:ascii="Courier New" w:hAnsi="Courier New"/>
                <w:sz w:val="20"/>
              </w:rPr>
              <w:t>/panel</w:t>
            </w:r>
          </w:p>
        </w:tc>
        <w:tc>
          <w:tcPr>
            <w:tcW w:type="dxa" w:w="3041"/>
          </w:tcPr>
          <w:p>
            <w:pPr>
              <w:spacing w:before="40" w:after="40"/>
            </w:pPr>
            <w:r>
              <w:rPr>
                <w:rFonts w:ascii="Arial" w:hAnsi="Arial"/>
                <w:sz w:val="20"/>
              </w:rPr>
              <w:t>Client Component</w:t>
            </w:r>
          </w:p>
        </w:tc>
        <w:tc>
          <w:tcPr>
            <w:tcW w:type="dxa" w:w="3041"/>
          </w:tcPr>
          <w:p>
            <w:pPr>
              <w:spacing w:before="40" w:after="40"/>
            </w:pPr>
            <w:r>
              <w:rPr>
                <w:rFonts w:ascii="Arial" w:hAnsi="Arial"/>
                <w:sz w:val="20"/>
              </w:rPr>
              <w:t xml:space="preserve">Módulos: </w:t>
            </w:r>
            <w:r>
              <w:rPr>
                <w:rFonts w:ascii="Courier New" w:hAnsi="Courier New"/>
                <w:sz w:val="20"/>
              </w:rPr>
              <w:t>id, name, description</w:t>
            </w:r>
          </w:p>
        </w:tc>
      </w:tr>
      <w:tr>
        <w:tc>
          <w:tcPr>
            <w:tcW w:type="dxa" w:w="3041"/>
          </w:tcPr>
          <w:p>
            <w:pPr>
              <w:spacing w:before="40" w:after="40"/>
            </w:pPr>
            <w:r>
              <w:rPr>
                <w:rFonts w:ascii="Courier New" w:hAnsi="Courier New"/>
                <w:sz w:val="20"/>
              </w:rPr>
              <w:t>/modulos/[moduleId]</w:t>
            </w:r>
          </w:p>
        </w:tc>
        <w:tc>
          <w:tcPr>
            <w:tcW w:type="dxa" w:w="3041"/>
          </w:tcPr>
          <w:p>
            <w:pPr>
              <w:spacing w:before="40" w:after="40"/>
            </w:pPr>
            <w:r>
              <w:rPr>
                <w:rFonts w:ascii="Arial" w:hAnsi="Arial"/>
                <w:sz w:val="20"/>
              </w:rPr>
              <w:t>Server Component</w:t>
            </w:r>
          </w:p>
        </w:tc>
        <w:tc>
          <w:tcPr>
            <w:tcW w:type="dxa" w:w="3041"/>
          </w:tcPr>
          <w:p>
            <w:pPr>
              <w:spacing w:before="40" w:after="40"/>
            </w:pPr>
            <w:r>
              <w:rPr>
                <w:rFonts w:ascii="Arial" w:hAnsi="Arial"/>
                <w:sz w:val="20"/>
              </w:rPr>
              <w:t xml:space="preserve">Módulos con vacantes anidadas: </w:t>
            </w:r>
            <w:r>
              <w:rPr>
                <w:rFonts w:ascii="Courier New" w:hAnsi="Courier New"/>
                <w:sz w:val="20"/>
              </w:rPr>
              <w:t>vacancies(id, title, status, schedule, location)</w:t>
            </w:r>
          </w:p>
        </w:tc>
      </w:tr>
      <w:tr>
        <w:tc>
          <w:tcPr>
            <w:tcW w:type="dxa" w:w="3041"/>
          </w:tcPr>
          <w:p>
            <w:pPr>
              <w:spacing w:before="40" w:after="40"/>
            </w:pPr>
            <w:r>
              <w:rPr>
                <w:rFonts w:ascii="Courier New" w:hAnsi="Courier New"/>
                <w:sz w:val="20"/>
              </w:rPr>
              <w:t>/vacantes/[id]</w:t>
            </w:r>
          </w:p>
        </w:tc>
        <w:tc>
          <w:tcPr>
            <w:tcW w:type="dxa" w:w="3041"/>
          </w:tcPr>
          <w:p>
            <w:pPr>
              <w:spacing w:before="40" w:after="40"/>
            </w:pPr>
            <w:r>
              <w:rPr>
                <w:rFonts w:ascii="Arial" w:hAnsi="Arial"/>
                <w:sz w:val="20"/>
              </w:rPr>
              <w:t>Server Component</w:t>
            </w:r>
          </w:p>
        </w:tc>
        <w:tc>
          <w:tcPr>
            <w:tcW w:type="dxa" w:w="3041"/>
          </w:tcPr>
          <w:p>
            <w:pPr>
              <w:spacing w:before="40" w:after="40"/>
            </w:pPr>
            <w:r>
              <w:rPr>
                <w:rFonts w:ascii="Arial" w:hAnsi="Arial"/>
                <w:sz w:val="20"/>
              </w:rPr>
              <w:t>Detalle de vacante: descripción, requisitos, assessment asociado</w:t>
            </w:r>
          </w:p>
        </w:tc>
      </w:tr>
    </w:tbl>
    <w:p/>
    <w:p>
      <w:pPr>
        <w:jc w:val="both"/>
      </w:pPr>
      <w:r>
        <w:rPr>
          <w:rFonts w:ascii="Arial" w:hAnsi="Arial"/>
          <w:sz w:val="22"/>
        </w:rPr>
        <w:t xml:space="preserve">Las páginas </w:t>
      </w:r>
      <w:r>
        <w:rPr>
          <w:rFonts w:ascii="Courier New" w:hAnsi="Courier New"/>
          <w:sz w:val="18"/>
        </w:rPr>
        <w:t>/modulos/[moduleId]</w:t>
      </w:r>
      <w:r>
        <w:rPr>
          <w:rFonts w:ascii="Arial" w:hAnsi="Arial"/>
          <w:sz w:val="22"/>
        </w:rPr>
        <w:t xml:space="preserve"> y </w:t>
      </w:r>
      <w:r>
        <w:rPr>
          <w:rFonts w:ascii="Courier New" w:hAnsi="Courier New"/>
          <w:sz w:val="18"/>
        </w:rPr>
        <w:t>/vacantes/[id]</w:t>
      </w:r>
      <w:r>
        <w:rPr>
          <w:rFonts w:ascii="Arial" w:hAnsi="Arial"/>
          <w:sz w:val="22"/>
        </w:rPr>
        <w:t xml:space="preserve"> son Server Components que realizan sus consultas directamente en el servidor, sin exponer las credenciales al navegador:</w:t>
      </w:r>
    </w:p>
    <w:p>
      <w:pPr>
        <w:pStyle w:val="CodeBlock"/>
        <w:shd w:val="clear" w:color="auto" w:fill="F2F2F2"/>
      </w:pPr>
      <w:r>
        <w:t>// app/modulos/[moduleId]/page.tsx (simplificado)</w:t>
        <w:br/>
        <w:t>const supabase = supabaseServer();</w:t>
        <w:br/>
        <w:t>const { data: module } = await supabase</w:t>
        <w:br/>
        <w:t xml:space="preserve">  .from("modules")</w:t>
        <w:br/>
        <w:t xml:space="preserve">  .select("id, name, description, vacancies(id, title, status, schedule, location)")</w:t>
        <w:br/>
        <w:t xml:space="preserve">  .eq("id", moduleId)</w:t>
        <w:br/>
        <w:t xml:space="preserve">  .maybeSingle();</w:t>
      </w:r>
    </w:p>
    <w:p>
      <w:pPr>
        <w:pStyle w:val="Heading3"/>
      </w:pPr>
      <w:r>
        <w:t>5.5.2 Estados de vacante y disponibilidad</w:t>
      </w:r>
    </w:p>
    <w:p>
      <w:pPr>
        <w:jc w:val="center"/>
      </w:pPr>
      <w:r>
        <w:drawing>
          <wp:inline xmlns:a="http://schemas.openxmlformats.org/drawingml/2006/main" xmlns:pic="http://schemas.openxmlformats.org/drawingml/2006/picture">
            <wp:extent cx="5040000" cy="3150000"/>
            <wp:docPr id="20" name="Picture 20"/>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jc w:val="center"/>
        <w:shd w:val="clear" w:color="auto" w:fill="FFE8E8"/>
      </w:pPr>
      <w:r>
        <w:rPr>
          <w:b/>
          <w:color w:val="B40000"/>
          <w:sz w:val="20"/>
        </w:rPr>
        <w:t>[ Figura 5.10. [MARCADOR — EV-5A-11 INVÁLIDA: captura muestra error 404. Requiere nueva captura de /vacantes con lista de vacantes activas.] ]</w:t>
      </w:r>
    </w:p>
    <w:p>
      <w:pPr>
        <w:pStyle w:val="FigureCaption"/>
      </w:pPr>
      <w:r>
        <w:t>Figura 5.10. [MARCADOR — EV-5A-11 INVÁLIDA: captura muestra error 404. Requiere nueva captura de /vacantes con lista de vacantes activas.]</w:t>
      </w:r>
    </w:p>
    <w:p>
      <w:pPr>
        <w:jc w:val="center"/>
      </w:pPr>
      <w:r>
        <w:drawing>
          <wp:inline xmlns:a="http://schemas.openxmlformats.org/drawingml/2006/main" xmlns:pic="http://schemas.openxmlformats.org/drawingml/2006/picture">
            <wp:extent cx="5040000" cy="3150000"/>
            <wp:docPr id="21" name="Picture 21"/>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5.11. Detalle de vacante con descripción y botón de postulación. Fuente: captura de pantalla propia, 2026.</w:t>
      </w:r>
    </w:p>
    <w:p>
      <w:pPr>
        <w:jc w:val="both"/>
      </w:pPr>
      <w:r>
        <w:rPr>
          <w:rFonts w:ascii="Arial" w:hAnsi="Arial"/>
          <w:sz w:val="22"/>
        </w:rPr>
        <w:t xml:space="preserve">Las vacantes tienen tres estados posibles definidos en la base de datos: </w:t>
      </w:r>
      <w:r>
        <w:rPr>
          <w:rFonts w:ascii="Courier New" w:hAnsi="Courier New"/>
          <w:sz w:val="18"/>
        </w:rPr>
        <w:t>open</w:t>
      </w:r>
      <w:r>
        <w:rPr>
          <w:rFonts w:ascii="Arial" w:hAnsi="Arial"/>
          <w:sz w:val="22"/>
        </w:rPr>
        <w:t xml:space="preserve">, </w:t>
      </w:r>
      <w:r>
        <w:rPr>
          <w:rFonts w:ascii="Courier New" w:hAnsi="Courier New"/>
          <w:sz w:val="18"/>
        </w:rPr>
        <w:t>closed</w:t>
      </w:r>
      <w:r>
        <w:rPr>
          <w:rFonts w:ascii="Arial" w:hAnsi="Arial"/>
          <w:sz w:val="22"/>
        </w:rPr>
        <w:t xml:space="preserve"> y </w:t>
      </w:r>
      <w:r>
        <w:rPr>
          <w:rFonts w:ascii="Courier New" w:hAnsi="Courier New"/>
          <w:sz w:val="18"/>
        </w:rPr>
        <w:t>draft</w:t>
      </w:r>
      <w:r>
        <w:rPr>
          <w:rFonts w:ascii="Arial" w:hAnsi="Arial"/>
          <w:sz w:val="22"/>
        </w:rPr>
        <w:t xml:space="preserve">. Solo las vacantes con estado </w:t>
      </w:r>
      <w:r>
        <w:rPr>
          <w:rFonts w:ascii="Courier New" w:hAnsi="Courier New"/>
          <w:sz w:val="18"/>
        </w:rPr>
        <w:t>open</w:t>
      </w:r>
      <w:r>
        <w:rPr>
          <w:rFonts w:ascii="Arial" w:hAnsi="Arial"/>
          <w:sz w:val="22"/>
        </w:rPr>
        <w:t xml:space="preserve"> son accesibles para postulación. El componente de la página de vacante verifica el estado antes de mostrar el botón de postulación:</w:t>
      </w:r>
    </w:p>
    <w:p>
      <w:pPr>
        <w:pStyle w:val="CodeBlock"/>
        <w:shd w:val="clear" w:color="auto" w:fill="F2F2F2"/>
      </w:pPr>
      <w:r>
        <w:t>// app/vacantes/[id]/page.tsx</w:t>
        <w:br/>
        <w:t>const isOpen = vacancy.status === "open";</w:t>
        <w:br/>
        <w:t>// ...</w:t>
        <w:br/>
        <w:t>&lt;ApplyButton vacancyId={vacancy.id} disabled={!isOpen} /&gt;</w:t>
      </w:r>
    </w:p>
    <w:p>
      <w:pPr>
        <w:jc w:val="both"/>
      </w:pPr>
      <w:r>
        <w:rPr>
          <w:rFonts w:ascii="Arial" w:hAnsi="Arial"/>
          <w:sz w:val="22"/>
        </w:rPr>
        <w:t>La verificación del lado del servidor ocurre adicionalmente en el Route Handler de postulación (sección 5.6), que rechaza cualquier intento de postulación a una vacante no abierta.</w:t>
      </w:r>
    </w:p>
    <w:p>
      <w:pPr>
        <w:pStyle w:val="Heading2"/>
      </w:pPr>
      <w:r>
        <w:t>5.6 Implementación del proceso de postulación</w:t>
      </w:r>
    </w:p>
    <w:p>
      <w:pPr>
        <w:jc w:val="center"/>
      </w:pPr>
      <w:r>
        <w:drawing>
          <wp:inline xmlns:a="http://schemas.openxmlformats.org/drawingml/2006/main" xmlns:pic="http://schemas.openxmlformats.org/drawingml/2006/picture">
            <wp:extent cx="5040000" cy="3150000"/>
            <wp:docPr id="22" name="Picture 22"/>
            <wp:cNvGraphicFramePr>
              <a:graphicFrameLocks noChangeAspect="1"/>
            </wp:cNvGraphicFramePr>
            <a:graphic>
              <a:graphicData uri="http://schemas.openxmlformats.org/drawingml/2006/picture">
                <pic:pic>
                  <pic:nvPicPr>
                    <pic:cNvPr id="0" name="EV-5A-19-subida-evidencia.png"/>
                    <pic:cNvPicPr/>
                  </pic:nvPicPr>
                  <pic:blipFill>
                    <a:blip r:embed="rId17"/>
                    <a:stretch>
                      <a:fillRect/>
                    </a:stretch>
                  </pic:blipFill>
                  <pic:spPr>
                    <a:xfrm>
                      <a:off x="0" y="0"/>
                      <a:ext cx="5040000" cy="3150000"/>
                    </a:xfrm>
                    <a:prstGeom prst="rect"/>
                  </pic:spPr>
                </pic:pic>
              </a:graphicData>
            </a:graphic>
          </wp:inline>
        </w:drawing>
      </w:r>
    </w:p>
    <w:p>
      <w:pPr>
        <w:pStyle w:val="FigureCaption"/>
      </w:pPr>
      <w:r>
        <w:t>Figura 5.12. Interfaz de subida de archivo de evidencia en módulo activo. Fuente: captura de pantalla propia, 2026.</w:t>
      </w:r>
    </w:p>
    <w:p>
      <w:pPr>
        <w:pStyle w:val="Heading3"/>
      </w:pPr>
      <w:r>
        <w:t>5.6.1 Flujo completo del endpoint de postulación (RF-06, RF-07)</w:t>
      </w:r>
    </w:p>
    <w:p>
      <w:pPr>
        <w:jc w:val="center"/>
      </w:pPr>
      <w:r>
        <w:drawing>
          <wp:inline xmlns:a="http://schemas.openxmlformats.org/drawingml/2006/main" xmlns:pic="http://schemas.openxmlformats.org/drawingml/2006/picture">
            <wp:extent cx="5040000" cy="3150000"/>
            <wp:docPr id="23" name="Picture 23"/>
            <wp:cNvGraphicFramePr>
              <a:graphicFrameLocks noChangeAspect="1"/>
            </wp:cNvGraphicFramePr>
            <a:graphic>
              <a:graphicData uri="http://schemas.openxmlformats.org/drawingml/2006/picture">
                <pic:pic>
                  <pic:nvPicPr>
                    <pic:cNvPr id="0" name="EV-5A-19-subida-evidencia.png"/>
                    <pic:cNvPicPr/>
                  </pic:nvPicPr>
                  <pic:blipFill>
                    <a:blip r:embed="rId17"/>
                    <a:stretch>
                      <a:fillRect/>
                    </a:stretch>
                  </pic:blipFill>
                  <pic:spPr>
                    <a:xfrm>
                      <a:off x="0" y="0"/>
                      <a:ext cx="5040000" cy="3150000"/>
                    </a:xfrm>
                    <a:prstGeom prst="rect"/>
                  </pic:spPr>
                </pic:pic>
              </a:graphicData>
            </a:graphic>
          </wp:inline>
        </w:drawing>
      </w:r>
    </w:p>
    <w:p>
      <w:pPr>
        <w:pStyle w:val="FigureCaption"/>
      </w:pPr>
      <w:r>
        <w:t>Figura 5.12. Interfaz de subida de archivo de evidencia en módulo activo. Fuente: captura de pantalla propia, 2026.</w:t>
      </w:r>
    </w:p>
    <w:p>
      <w:pPr>
        <w:jc w:val="both"/>
      </w:pPr>
      <w:r>
        <w:rPr>
          <w:rFonts w:ascii="Arial" w:hAnsi="Arial"/>
          <w:sz w:val="22"/>
        </w:rPr>
        <w:t xml:space="preserve">El Route Handler </w:t>
      </w:r>
      <w:r>
        <w:rPr>
          <w:rFonts w:ascii="Courier New" w:hAnsi="Courier New"/>
          <w:sz w:val="18"/>
        </w:rPr>
        <w:t>POST /api/vacancies/[id]/apply</w:t>
      </w:r>
      <w:r>
        <w:rPr>
          <w:rFonts w:ascii="Arial" w:hAnsi="Arial"/>
          <w:sz w:val="22"/>
        </w:rPr>
        <w:t xml:space="preserve"> implementa la secuencia de verificaciones más elaborada del flujo del candidato. El handler ejecuta seis pasos en orden secuencial, donde cada paso puede detener el proceso con un error descriptivo.</w:t>
      </w:r>
    </w:p>
    <w:p>
      <w:pPr>
        <w:jc w:val="both"/>
      </w:pPr>
      <w:r>
        <w:rPr>
          <w:b/>
        </w:rPr>
        <w:t>Figura 5.3 — Diagrama de secuencia de la postulación</w:t>
      </w:r>
    </w:p>
    <w:p>
      <w:pPr>
        <w:pStyle w:val="CodeBlock"/>
        <w:shd w:val="clear" w:color="auto" w:fill="F2F2F2"/>
      </w:pPr>
      <w:r>
        <w:t>sequenceDiagram</w:t>
        <w:br/>
        <w:t xml:space="preserve">    participant UI as ApplyButton&lt;br/&gt;(postular.tsx)</w:t>
        <w:br/>
        <w:t xml:space="preserve">    participant API as POST /api/vacancies/[id]/apply</w:t>
        <w:br/>
        <w:t xml:space="preserve">    participant Psico as lib/psicometrico.ts</w:t>
        <w:br/>
        <w:t xml:space="preserve">    participant DB as PostgreSQL</w:t>
        <w:br/>
        <w:br/>
        <w:t xml:space="preserve">    UI-&gt;&gt;API: POST {Bearer JWT} (sin body)</w:t>
        <w:br/>
        <w:t xml:space="preserve">    API-&gt;&gt;API: Extrae y valida Bearer token</w:t>
        <w:br/>
        <w:t xml:space="preserve">    API-&gt;&gt;DB: auth.getUser(token) → userId</w:t>
        <w:br/>
        <w:t xml:space="preserve">    API-&gt;&gt;Psico: getPsicometricoAttemptState(supabase, userId)</w:t>
        <w:br/>
        <w:t xml:space="preserve">    Psico-&gt;&gt;DB: SELECT attempts WHERE assessment_id = UUID_FIJO AND user_id = userId</w:t>
        <w:br/>
        <w:t xml:space="preserve">    DB--&gt;&gt;Psico: lista de intentos psicométricos</w:t>
        <w:br/>
        <w:t xml:space="preserve">    alt Psicométrico NO completado</w:t>
        <w:br/>
        <w:t xml:space="preserve">        API--&gt;&gt;UI: 403 {error, requiresPsychometric: true, redirectTo: "/psicometrico"}</w:t>
        <w:br/>
        <w:t xml:space="preserve">        UI-&gt;&gt;UI: router.push("/psicometrico")</w:t>
        <w:br/>
        <w:t xml:space="preserve">    else Psicométrico completado</w:t>
        <w:br/>
        <w:t xml:space="preserve">        API-&gt;&gt;DB: SELECT vacancies WHERE id = vacancyId</w:t>
        <w:br/>
        <w:t xml:space="preserve">        alt Vacante no abierta</w:t>
        <w:br/>
        <w:t xml:space="preserve">            API--&gt;&gt;UI: 400 "Esta vacante no está abierta"</w:t>
        <w:br/>
        <w:t xml:space="preserve">        end</w:t>
        <w:br/>
        <w:t xml:space="preserve">        API-&gt;&gt;DB: SELECT assessments WHERE vacancy_id = vacancyId</w:t>
        <w:br/>
        <w:t xml:space="preserve">        alt Sin evaluación configurada</w:t>
        <w:br/>
        <w:t xml:space="preserve">            API--&gt;&gt;UI: 400 "La vacante no tiene evaluación configurada"</w:t>
        <w:br/>
        <w:t xml:space="preserve">        end</w:t>
        <w:br/>
        <w:t xml:space="preserve">        API-&gt;&gt;DB: SELECT applications WHERE user_id = userId AND vacancy_id = vacancyId</w:t>
        <w:br/>
        <w:t xml:space="preserve">        alt Sin postulación previa</w:t>
        <w:br/>
        <w:t xml:space="preserve">            API-&gt;&gt;DB: INSERT INTO applications → applicationId</w:t>
        <w:br/>
        <w:t xml:space="preserve">        end</w:t>
        <w:br/>
        <w:t xml:space="preserve">        API-&gt;&gt;DB: SELECT attempts WHERE application_id = applicationId ORDER BY started_at DESC</w:t>
        <w:br/>
        <w:t xml:space="preserve">        alt Existe intento no enviado</w:t>
        <w:br/>
        <w:t xml:space="preserve">            API--&gt;&gt;UI: 200 {attemptId: existingAttempt.id}</w:t>
        <w:br/>
        <w:t xml:space="preserve">        else No hay intento activo</w:t>
        <w:br/>
        <w:t xml:space="preserve">            API-&gt;&gt;DB: INSERT INTO attempts {application_id, assessment_id, started_at, deadline_at}</w:t>
        <w:br/>
        <w:t xml:space="preserve">            API--&gt;&gt;UI: 200 {attemptId: newAttempt.id}</w:t>
        <w:br/>
        <w:t xml:space="preserve">        end</w:t>
        <w:br/>
        <w:t xml:space="preserve">    end</w:t>
        <w:br/>
        <w:t xml:space="preserve">    UI-&gt;&gt;UI: router.push("/evaluacion/" + attemptId)</w:t>
      </w:r>
    </w:p>
    <w:p>
      <w:pPr>
        <w:jc w:val="both"/>
      </w:pPr>
      <w:r>
        <w:rPr>
          <w:b/>
        </w:rPr>
        <w:t>Paso 1 — Autenticación del token:</w:t>
      </w:r>
    </w:p>
    <w:p>
      <w:pPr>
        <w:jc w:val="both"/>
      </w:pPr>
      <w:r>
        <w:rPr>
          <w:rFonts w:ascii="Arial" w:hAnsi="Arial"/>
          <w:sz w:val="22"/>
        </w:rPr>
        <w:t xml:space="preserve">El endpoint extrae el JWT del encabezado </w:t>
      </w:r>
      <w:r>
        <w:rPr>
          <w:rFonts w:ascii="Courier New" w:hAnsi="Courier New"/>
          <w:sz w:val="18"/>
        </w:rPr>
        <w:t>Authorization</w:t>
      </w:r>
      <w:r>
        <w:rPr>
          <w:rFonts w:ascii="Arial" w:hAnsi="Arial"/>
          <w:sz w:val="22"/>
        </w:rPr>
        <w:t xml:space="preserve">, lo valida mediante </w:t>
      </w:r>
      <w:r>
        <w:rPr>
          <w:rFonts w:ascii="Courier New" w:hAnsi="Courier New"/>
          <w:sz w:val="18"/>
        </w:rPr>
        <w:t>supabase.auth.getUser(token)</w:t>
      </w:r>
      <w:r>
        <w:rPr>
          <w:rFonts w:ascii="Arial" w:hAnsi="Arial"/>
          <w:sz w:val="22"/>
        </w:rPr>
        <w:t xml:space="preserve"> y extrae el </w:t>
      </w:r>
      <w:r>
        <w:rPr>
          <w:rFonts w:ascii="Courier New" w:hAnsi="Courier New"/>
          <w:sz w:val="18"/>
        </w:rPr>
        <w:t>userId</w:t>
      </w:r>
      <w:r>
        <w:rPr>
          <w:rFonts w:ascii="Arial" w:hAnsi="Arial"/>
          <w:sz w:val="22"/>
        </w:rPr>
        <w:t>. Si el token es inválido o expiró, devuelve 401.</w:t>
      </w:r>
    </w:p>
    <w:p>
      <w:pPr>
        <w:jc w:val="both"/>
      </w:pPr>
      <w:r>
        <w:rPr>
          <w:b/>
        </w:rPr>
        <w:t>Paso 2 — Verificación del psicométrico:</w:t>
      </w:r>
    </w:p>
    <w:p>
      <w:pPr>
        <w:jc w:val="both"/>
      </w:pPr>
      <w:r>
        <w:rPr>
          <w:rFonts w:ascii="Arial" w:hAnsi="Arial"/>
          <w:sz w:val="22"/>
        </w:rPr>
        <w:t xml:space="preserve">La función </w:t>
      </w:r>
      <w:r>
        <w:rPr>
          <w:rFonts w:ascii="Courier New" w:hAnsi="Courier New"/>
          <w:sz w:val="18"/>
        </w:rPr>
        <w:t>getPsicometricoAttemptState()</w:t>
      </w:r>
      <w:r>
        <w:rPr>
          <w:rFonts w:ascii="Arial" w:hAnsi="Arial"/>
          <w:sz w:val="22"/>
        </w:rPr>
        <w:t xml:space="preserve"> consulta todos los intentos del usuario para el assessment con UUID fijo </w:t>
      </w:r>
      <w:r>
        <w:rPr>
          <w:rFonts w:ascii="Courier New" w:hAnsi="Courier New"/>
          <w:sz w:val="18"/>
        </w:rPr>
        <w:t>f2000000-0000-0000-0000-000000000001</w:t>
      </w:r>
      <w:r>
        <w:rPr>
          <w:rFonts w:ascii="Arial" w:hAnsi="Arial"/>
          <w:sz w:val="22"/>
        </w:rPr>
        <w:t xml:space="preserve">. Determina si existe al menos uno con </w:t>
      </w:r>
      <w:r>
        <w:rPr>
          <w:rFonts w:ascii="Courier New" w:hAnsi="Courier New"/>
          <w:sz w:val="18"/>
        </w:rPr>
        <w:t>submitted_at</w:t>
      </w:r>
      <w:r>
        <w:rPr>
          <w:rFonts w:ascii="Arial" w:hAnsi="Arial"/>
          <w:sz w:val="22"/>
        </w:rPr>
        <w:t xml:space="preserve"> no nulo o con estado en el conjunto </w:t>
      </w:r>
      <w:r>
        <w:rPr>
          <w:rFonts w:ascii="Courier New" w:hAnsi="Courier New"/>
          <w:sz w:val="18"/>
        </w:rPr>
        <w:t>{SUBMITTED, UNDER_REVIEW, COMPLETED}</w:t>
      </w:r>
      <w:r>
        <w:rPr>
          <w:rFonts w:ascii="Arial" w:hAnsi="Arial"/>
          <w:sz w:val="22"/>
        </w:rPr>
        <w:t>.</w:t>
      </w:r>
    </w:p>
    <w:p>
      <w:pPr>
        <w:jc w:val="both"/>
      </w:pPr>
      <w:r>
        <w:rPr>
          <w:rFonts w:ascii="Arial" w:hAnsi="Arial"/>
          <w:sz w:val="22"/>
        </w:rPr>
        <w:t xml:space="preserve">Punto importante: la verificación comprueba únicamente que el psicométrico esté </w:t>
      </w:r>
      <w:r>
        <w:rPr>
          <w:b/>
        </w:rPr>
        <w:t>completado</w:t>
      </w:r>
      <w:r>
        <w:rPr>
          <w:rFonts w:ascii="Arial" w:hAnsi="Arial"/>
          <w:sz w:val="22"/>
        </w:rP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pPr>
        <w:jc w:val="both"/>
      </w:pPr>
      <w:r>
        <w:rPr>
          <w:b/>
        </w:rPr>
        <w:t>Paso 3 — Verificación del estado de la vacante:</w:t>
      </w:r>
    </w:p>
    <w:p>
      <w:pPr>
        <w:jc w:val="both"/>
      </w:pPr>
      <w:r>
        <w:rPr>
          <w:rFonts w:ascii="Arial" w:hAnsi="Arial"/>
          <w:sz w:val="22"/>
        </w:rPr>
        <w:t xml:space="preserve">La consulta a </w:t>
      </w:r>
      <w:r>
        <w:rPr>
          <w:rFonts w:ascii="Courier New" w:hAnsi="Courier New"/>
          <w:sz w:val="18"/>
        </w:rPr>
        <w:t>vacancies</w:t>
      </w:r>
      <w:r>
        <w:rPr>
          <w:rFonts w:ascii="Arial" w:hAnsi="Arial"/>
          <w:sz w:val="22"/>
        </w:rPr>
        <w:t xml:space="preserve"> verifica </w:t>
      </w:r>
      <w:r>
        <w:rPr>
          <w:rFonts w:ascii="Courier New" w:hAnsi="Courier New"/>
          <w:sz w:val="18"/>
        </w:rPr>
        <w:t>vacancy.status === "open"</w:t>
      </w:r>
      <w:r>
        <w:rPr>
          <w:rFonts w:ascii="Arial" w:hAnsi="Arial"/>
          <w:sz w:val="22"/>
        </w:rPr>
        <w:t>. Esta verificación ocurre en el servidor, independientemente de lo que muestre la interfaz.</w:t>
      </w:r>
    </w:p>
    <w:p>
      <w:pPr>
        <w:jc w:val="both"/>
      </w:pPr>
      <w:r>
        <w:rPr>
          <w:b/>
        </w:rPr>
        <w:t>Paso 4 — Verificación del assessment:</w:t>
      </w:r>
    </w:p>
    <w:p>
      <w:pPr>
        <w:jc w:val="both"/>
      </w:pPr>
      <w:r>
        <w:rPr>
          <w:rFonts w:ascii="Arial" w:hAnsi="Arial"/>
          <w:sz w:val="22"/>
        </w:rPr>
        <w:t xml:space="preserve">La consulta a </w:t>
      </w:r>
      <w:r>
        <w:rPr>
          <w:rFonts w:ascii="Courier New" w:hAnsi="Courier New"/>
          <w:sz w:val="18"/>
        </w:rPr>
        <w:t>assessments</w:t>
      </w:r>
      <w:r>
        <w:rPr>
          <w:rFonts w:ascii="Arial" w:hAnsi="Arial"/>
          <w:sz w:val="22"/>
        </w:rPr>
        <w:t xml:space="preserve"> verifica que la vacante tiene un assessment asociado con un </w:t>
      </w:r>
      <w:r>
        <w:rPr>
          <w:rFonts w:ascii="Courier New" w:hAnsi="Courier New"/>
          <w:sz w:val="18"/>
        </w:rPr>
        <w:t>assessment_id</w:t>
      </w:r>
      <w:r>
        <w:rPr>
          <w:rFonts w:ascii="Arial" w:hAnsi="Arial"/>
          <w:sz w:val="22"/>
        </w:rPr>
        <w:t xml:space="preserve"> válido. El sistema no puede crear un intento sin un assessment de referencia.</w:t>
      </w:r>
    </w:p>
    <w:p>
      <w:pPr>
        <w:jc w:val="both"/>
      </w:pPr>
      <w:r>
        <w:rPr>
          <w:b/>
        </w:rPr>
        <w:t>Paso 5 — Creación o recuperación de postulación:</w:t>
      </w:r>
    </w:p>
    <w:p>
      <w:pPr>
        <w:jc w:val="both"/>
      </w:pPr>
      <w:r>
        <w:rPr>
          <w:rFonts w:ascii="Arial" w:hAnsi="Arial"/>
          <w:sz w:val="22"/>
        </w:rPr>
        <w:t xml:space="preserve">El handler consulta si ya existe una </w:t>
      </w:r>
      <w:r>
        <w:rPr>
          <w:rFonts w:ascii="Courier New" w:hAnsi="Courier New"/>
          <w:sz w:val="18"/>
        </w:rPr>
        <w:t>application</w:t>
      </w:r>
      <w:r>
        <w:rPr>
          <w:rFonts w:ascii="Arial" w:hAnsi="Arial"/>
          <w:sz w:val="22"/>
        </w:rPr>
        <w:t xml:space="preserve"> para el par </w:t>
      </w:r>
      <w:r>
        <w:rPr>
          <w:rFonts w:ascii="Courier New" w:hAnsi="Courier New"/>
          <w:sz w:val="18"/>
        </w:rPr>
        <w:t>(user_id, vacancy_id)</w:t>
      </w:r>
      <w:r>
        <w:rPr>
          <w:rFonts w:ascii="Arial" w:hAnsi="Arial"/>
          <w:sz w:val="22"/>
        </w:rPr>
        <w:t xml:space="preserve">. Si existe, reutiliza su </w:t>
      </w:r>
      <w:r>
        <w:rPr>
          <w:rFonts w:ascii="Courier New" w:hAnsi="Courier New"/>
          <w:sz w:val="18"/>
        </w:rPr>
        <w:t>id</w:t>
      </w:r>
      <w:r>
        <w:rPr>
          <w:rFonts w:ascii="Arial" w:hAnsi="Arial"/>
          <w:sz w:val="22"/>
        </w:rPr>
        <w:t>; si no, la crea. Esto implementa la regla RN-05: no crear postulaciones duplicadas.</w:t>
      </w:r>
    </w:p>
    <w:p>
      <w:pPr>
        <w:jc w:val="both"/>
      </w:pPr>
      <w:r>
        <w:rPr>
          <w:b/>
        </w:rPr>
        <w:t>Paso 6 — Creación o recuperación del intento:</w:t>
      </w:r>
    </w:p>
    <w:p>
      <w:pPr>
        <w:jc w:val="both"/>
      </w:pPr>
      <w:r>
        <w:rPr>
          <w:rFonts w:ascii="Arial" w:hAnsi="Arial"/>
          <w:sz w:val="22"/>
        </w:rPr>
        <w:t>Si existe un intento asociado a la aplicación que aún no fue enviado (</w:t>
      </w:r>
      <w:r>
        <w:rPr>
          <w:rFonts w:ascii="Courier New" w:hAnsi="Courier New"/>
          <w:sz w:val="18"/>
        </w:rPr>
        <w:t>!existingAttempt.submitted_at</w:t>
      </w:r>
      <w:r>
        <w:rPr>
          <w:rFonts w:ascii="Arial" w:hAnsi="Arial"/>
          <w:sz w:val="22"/>
        </w:rP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rPr>
          <w:rFonts w:ascii="Arial" w:hAnsi="Arial"/>
          <w:sz w:val="22"/>
        </w:rPr>
        <w:t>.</w:t>
      </w:r>
    </w:p>
    <w:p>
      <w:pPr>
        <w:jc w:val="both"/>
      </w:pPr>
      <w:r>
        <w:rPr>
          <w:b/>
        </w:rPr>
        <w:t>Lado del cliente — `ApplyButton`:</w:t>
      </w:r>
    </w:p>
    <w:p>
      <w:pPr>
        <w:pStyle w:val="CodeBlock"/>
        <w:shd w:val="clear" w:color="auto" w:fill="F2F2F2"/>
      </w:pPr>
      <w:r>
        <w:t>// app/vacantes/[id]/postular.tsx</w:t>
        <w:br/>
        <w:t>const response = await fetch(`/api/vacancies/${vacancyId}/apply`, {</w:t>
        <w:br/>
        <w:t xml:space="preserve">  method: "POST",</w:t>
        <w:br/>
        <w:t xml:space="preserve">  headers: { Authorization: `Bearer ${token}` },</w:t>
        <w:br/>
        <w:t>});</w:t>
        <w:br/>
        <w:t>const payload = await response.json();</w:t>
        <w:br/>
        <w:br/>
        <w:t>if (!response.ok) {</w:t>
        <w:br/>
        <w:t xml:space="preserve">  if (payload.requiresPsychometric) {</w:t>
        <w:br/>
        <w:t xml:space="preserve">    router.push(payload.redirectTo ?? "/psicometrico");</w:t>
        <w:br/>
        <w:t xml:space="preserve">  } else {</w:t>
        <w:br/>
        <w:t xml:space="preserve">    setError(payload.error ?? "No se pudo completar la postulación");</w:t>
        <w:br/>
        <w:t xml:space="preserve">  }</w:t>
        <w:br/>
        <w:t xml:space="preserve">  return;</w:t>
        <w:br/>
        <w:t>}</w:t>
        <w:br/>
        <w:t>router.push(`/evaluacion/${payload.attemptId}`);</w:t>
      </w:r>
    </w:p>
    <w:p>
      <w:pPr>
        <w:jc w:val="both"/>
      </w:pPr>
      <w:r>
        <w:rPr>
          <w:rFonts w:ascii="Arial" w:hAnsi="Arial"/>
          <w:sz w:val="22"/>
        </w:rPr>
        <w:t xml:space="preserve">El </w:t>
      </w:r>
      <w:r>
        <w:rPr>
          <w:rFonts w:ascii="Courier New" w:hAnsi="Courier New"/>
          <w:sz w:val="18"/>
        </w:rPr>
        <w:t>ApplyButton</w:t>
      </w:r>
      <w:r>
        <w:rPr>
          <w:rFonts w:ascii="Arial" w:hAnsi="Arial"/>
          <w:sz w:val="22"/>
        </w:rPr>
        <w:t xml:space="preserve"> maneja dos tipos de error diferenciados: si la respuesta incluye </w:t>
      </w:r>
      <w:r>
        <w:rPr>
          <w:rFonts w:ascii="Courier New" w:hAnsi="Courier New"/>
          <w:sz w:val="18"/>
        </w:rPr>
        <w:t>requiresPsychometric: true</w:t>
      </w:r>
      <w:r>
        <w:rPr>
          <w:rFonts w:ascii="Arial" w:hAnsi="Arial"/>
          <w:sz w:val="22"/>
        </w:rPr>
        <w:t>, redirige al candidato a completar el cuestionario base; de lo contrario, muestra el mensaje de error en la interfaz.</w:t>
      </w:r>
    </w:p>
    <w:p>
      <w:pPr>
        <w:pStyle w:val="Heading2"/>
      </w:pPr>
      <w:r>
        <w:t>5.7 Desarrollo del módulo de evaluaciones</w:t>
      </w:r>
    </w:p>
    <w:p>
      <w:pPr>
        <w:pStyle w:val="Heading3"/>
      </w:pPr>
      <w:r>
        <w:t>5.7.1 División Server Component / Client Component</w:t>
      </w:r>
    </w:p>
    <w:p>
      <w:pPr>
        <w:jc w:val="both"/>
      </w:pPr>
      <w:r>
        <w:rPr>
          <w:rFonts w:ascii="Arial" w:hAnsi="Arial"/>
          <w:sz w:val="22"/>
        </w:rPr>
        <w:t xml:space="preserve">La ruta </w:t>
      </w:r>
      <w:r>
        <w:rPr>
          <w:rFonts w:ascii="Courier New" w:hAnsi="Courier New"/>
          <w:sz w:val="18"/>
        </w:rPr>
        <w:t>/evaluacion/[attemptId]</w:t>
      </w:r>
      <w:r>
        <w:rPr>
          <w:rFonts w:ascii="Arial" w:hAnsi="Arial"/>
          <w:sz w:val="22"/>
        </w:rP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pPr>
        <w:jc w:val="both"/>
      </w:pPr>
      <w:r>
        <w:rPr>
          <w:b/>
        </w:rPr>
        <w:t>`page.tsx` — Server Component:</w:t>
      </w:r>
      <w:r>
        <w:rPr>
          <w:rFonts w:ascii="Arial" w:hAnsi="Arial"/>
          <w:sz w:val="22"/>
        </w:rPr>
        <w:t xml:space="preserve"> Carga en paralelo el intento con sus preguntas, las respuestas guardadas previamente, y las evidencias existentes mediante </w:t>
      </w:r>
      <w:r>
        <w:rPr>
          <w:rFonts w:ascii="Courier New" w:hAnsi="Courier New"/>
          <w:sz w:val="18"/>
        </w:rPr>
        <w:t>Promise.all</w:t>
      </w:r>
      <w:r>
        <w:rPr>
          <w:rFonts w:ascii="Arial" w:hAnsi="Arial"/>
          <w:sz w:val="22"/>
        </w:rPr>
        <w:t xml:space="preserve">. Construye el </w:t>
      </w:r>
      <w:r>
        <w:rPr>
          <w:rFonts w:ascii="Courier New" w:hAnsi="Courier New"/>
          <w:sz w:val="18"/>
        </w:rPr>
        <w:t>answersMap</w:t>
      </w:r>
      <w:r>
        <w:rPr>
          <w:rFonts w:ascii="Arial" w:hAnsi="Arial"/>
          <w:sz w:val="22"/>
        </w:rPr>
        <w:t xml:space="preserve"> (mapa de </w:t>
      </w:r>
      <w:r>
        <w:rPr>
          <w:rFonts w:ascii="Courier New" w:hAnsi="Courier New"/>
          <w:sz w:val="18"/>
        </w:rPr>
        <w:t>question_id → selected_option</w:t>
      </w:r>
      <w:r>
        <w:rPr>
          <w:rFonts w:ascii="Arial" w:hAnsi="Arial"/>
          <w:sz w:val="22"/>
        </w:rPr>
        <w:t xml:space="preserve">) para inicializar el estado del cliente con las respuestas ya guardadas en sesiones anteriores. Pasa todos estos datos como props al </w:t>
      </w:r>
      <w:r>
        <w:rPr>
          <w:rFonts w:ascii="Courier New" w:hAnsi="Courier New"/>
          <w:sz w:val="18"/>
        </w:rPr>
        <w:t>EvaluationClient</w:t>
      </w:r>
      <w:r>
        <w:rPr>
          <w:rFonts w:ascii="Arial" w:hAnsi="Arial"/>
          <w:sz w:val="22"/>
        </w:rPr>
        <w:t>.</w:t>
      </w:r>
    </w:p>
    <w:p>
      <w:pPr>
        <w:jc w:val="both"/>
      </w:pPr>
      <w:r>
        <w:rPr>
          <w:b/>
        </w:rPr>
        <w:t>`cliente.tsx` — Client Component:</w:t>
      </w:r>
      <w:r>
        <w:rPr>
          <w:rFonts w:ascii="Arial" w:hAnsi="Arial"/>
          <w:sz w:val="22"/>
        </w:rPr>
        <w:t xml:space="preserve"> Gestiona el estado local de la evaluación: respuestas en memoria (</w:t>
      </w:r>
      <w:r>
        <w:rPr>
          <w:rFonts w:ascii="Courier New" w:hAnsi="Courier New"/>
          <w:sz w:val="18"/>
        </w:rPr>
        <w:t>useState</w:t>
      </w:r>
      <w:r>
        <w:rPr>
          <w:rFonts w:ascii="Arial" w:hAnsi="Arial"/>
          <w:sz w:val="22"/>
        </w:rPr>
        <w:t>), cuenta regresiva del temporizador (</w:t>
      </w:r>
      <w:r>
        <w:rPr>
          <w:rFonts w:ascii="Courier New" w:hAnsi="Courier New"/>
          <w:sz w:val="18"/>
        </w:rPr>
        <w:t>setRemainingMs</w:t>
      </w:r>
      <w:r>
        <w:rPr>
          <w:rFonts w:ascii="Arial" w:hAnsi="Arial"/>
          <w:sz w:val="22"/>
        </w:rPr>
        <w:t>), estado de subida de evidencia, y estado de envío.</w:t>
      </w:r>
    </w:p>
    <w:p>
      <w:pPr>
        <w:jc w:val="both"/>
      </w:pPr>
      <w:r>
        <w:rPr>
          <w:rFonts w:ascii="Arial" w:hAnsi="Arial"/>
          <w:sz w:val="22"/>
        </w:rPr>
        <w:t>La inicialización del estado del temporizador es inmediata:</w:t>
      </w:r>
    </w:p>
    <w:p>
      <w:pPr>
        <w:pStyle w:val="CodeBlock"/>
        <w:shd w:val="clear" w:color="auto" w:fill="F2F2F2"/>
      </w:pPr>
      <w:r>
        <w:t>// app/evaluacion/[attemptId]/cliente.tsx</w:t>
        <w:br/>
        <w:t>const [remainingMs, setRemainingMs] = useState(() =&gt;</w:t>
        <w:br/>
        <w:t xml:space="preserve">  new Date(deadlineAt).getTime() - Date.now()</w:t>
        <w:br/>
        <w:t>);</w:t>
      </w:r>
    </w:p>
    <w:p>
      <w:pPr>
        <w:jc w:val="both"/>
      </w:pPr>
      <w:r>
        <w:rPr>
          <w:rFonts w:ascii="Arial" w:hAnsi="Arial"/>
          <w:sz w:val="22"/>
        </w:rPr>
        <w:t xml:space="preserve">Al calcular </w:t>
      </w:r>
      <w:r>
        <w:rPr>
          <w:rFonts w:ascii="Courier New" w:hAnsi="Courier New"/>
          <w:sz w:val="18"/>
        </w:rPr>
        <w:t>remainingMs</w:t>
      </w:r>
      <w:r>
        <w:rPr>
          <w:rFonts w:ascii="Arial" w:hAnsi="Arial"/>
          <w:sz w:val="22"/>
        </w:rPr>
        <w:t xml:space="preserve"> en la inicialización del estado (no en un efecto), el temporizador refleja desde el primer render el tiempo real restante, basado en el </w:t>
      </w:r>
      <w:r>
        <w:rPr>
          <w:rFonts w:ascii="Courier New" w:hAnsi="Courier New"/>
          <w:sz w:val="18"/>
        </w:rPr>
        <w:t>deadline_at</w:t>
      </w:r>
      <w:r>
        <w:rPr>
          <w:rFonts w:ascii="Arial" w:hAnsi="Arial"/>
          <w:sz w:val="22"/>
        </w:rPr>
        <w:t xml:space="preserve"> que provino del servidor.</w:t>
      </w:r>
    </w:p>
    <w:p>
      <w:pPr>
        <w:pStyle w:val="Heading3"/>
      </w:pPr>
      <w:r>
        <w:t>5.7.2 Mecanismo del temporizador</w:t>
      </w:r>
    </w:p>
    <w:p>
      <w:pPr>
        <w:jc w:val="both"/>
      </w:pPr>
      <w:r>
        <w:rPr>
          <w:rFonts w:ascii="Arial" w:hAnsi="Arial"/>
          <w:sz w:val="22"/>
        </w:rPr>
        <w:t xml:space="preserve">El temporizador se implementa con </w:t>
      </w:r>
      <w:r>
        <w:rPr>
          <w:rFonts w:ascii="Courier New" w:hAnsi="Courier New"/>
          <w:sz w:val="18"/>
        </w:rPr>
        <w:t>setInterval</w:t>
      </w:r>
      <w:r>
        <w:rPr>
          <w:rFonts w:ascii="Arial" w:hAnsi="Arial"/>
          <w:sz w:val="22"/>
        </w:rPr>
        <w:t xml:space="preserve"> en un efecto de React:</w:t>
      </w:r>
    </w:p>
    <w:p>
      <w:pPr>
        <w:pStyle w:val="CodeBlock"/>
        <w:shd w:val="clear" w:color="auto" w:fill="F2F2F2"/>
      </w:pPr>
      <w:r>
        <w:t>// app/evaluacion/[attemptId]/cliente.tsx (fragmento del useEffect del timer)</w:t>
        <w:br/>
        <w:t>const interval = setInterval(() =&gt; {</w:t>
        <w:br/>
        <w:t xml:space="preserve">  const nextRemainingMs = new Date(deadlineAt).getTime() - Date.now();</w:t>
        <w:br/>
        <w:t xml:space="preserve">  setRemainingMs(nextRemainingMs);</w:t>
        <w:br/>
        <w:br/>
        <w:t xml:space="preserve">  if (nextRemainingMs &lt;= 0 &amp;&amp; token &amp;&amp; !submittedAt &amp;&amp; !autoSubmitTriggeredRef.current) {</w:t>
        <w:br/>
        <w:t xml:space="preserve">    autoSubmitTriggeredRef.current = true;  // Previene doble envío</w:t>
        <w:br/>
        <w:t xml:space="preserve">    void handleSubmitAttempt(true);</w:t>
        <w:br/>
        <w:t xml:space="preserve">  }</w:t>
        <w:br/>
        <w:t>}, 1000);</w:t>
      </w:r>
    </w:p>
    <w:p>
      <w:pPr>
        <w:jc w:val="both"/>
      </w:pPr>
      <w:r>
        <w:rPr>
          <w:rFonts w:ascii="Arial" w:hAnsi="Arial"/>
          <w:sz w:val="22"/>
        </w:rPr>
        <w:t xml:space="preserve">El intervalo recalcula </w:t>
      </w:r>
      <w:r>
        <w:rPr>
          <w:rFonts w:ascii="Courier New" w:hAnsi="Courier New"/>
          <w:sz w:val="18"/>
        </w:rPr>
        <w:t>nextRemainingMs</w:t>
      </w:r>
      <w:r>
        <w:rPr>
          <w:rFonts w:ascii="Arial" w:hAnsi="Arial"/>
          <w:sz w:val="22"/>
        </w:rPr>
        <w:t xml:space="preserve"> en cada tick usando la fecha absoluta </w:t>
      </w:r>
      <w:r>
        <w:rPr>
          <w:rFonts w:ascii="Courier New" w:hAnsi="Courier New"/>
          <w:sz w:val="18"/>
        </w:rPr>
        <w:t>deadlineAt</w:t>
      </w:r>
      <w:r>
        <w:rPr>
          <w:rFonts w:ascii="Arial" w:hAnsi="Arial"/>
          <w:sz w:val="22"/>
        </w:rP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rPr>
          <w:rFonts w:ascii="Arial" w:hAnsi="Arial"/>
          <w:sz w:val="22"/>
        </w:rPr>
        <w:t xml:space="preserve"> es un mecanismo anti-duplicado: el envío automático solo se activa una vez, aunque el intervalo siga corriendo brevemente después.</w:t>
      </w:r>
    </w:p>
    <w:p>
      <w:pPr>
        <w:jc w:val="both"/>
      </w:pPr>
      <w:r>
        <w:rPr>
          <w:rFonts w:ascii="Arial" w:hAnsi="Arial"/>
          <w:sz w:val="22"/>
        </w:rPr>
        <w:t xml:space="preserve">La pantalla del candidato muestra el tiempo en formato </w:t>
      </w:r>
      <w:r>
        <w:rPr>
          <w:rFonts w:ascii="Courier New" w:hAnsi="Courier New"/>
          <w:sz w:val="18"/>
        </w:rPr>
        <w:t>MM:SS</w:t>
      </w:r>
      <w:r>
        <w:rPr>
          <w:rFonts w:ascii="Arial" w:hAnsi="Arial"/>
          <w:sz w:val="22"/>
        </w:rPr>
        <w:t xml:space="preserve"> con el badge cambiando a variante </w:t>
      </w:r>
      <w:r>
        <w:rPr>
          <w:rFonts w:ascii="Courier New" w:hAnsi="Courier New"/>
          <w:sz w:val="18"/>
        </w:rPr>
        <w:t>destructive</w:t>
      </w:r>
      <w:r>
        <w:rPr>
          <w:rFonts w:ascii="Arial" w:hAnsi="Arial"/>
          <w:sz w:val="22"/>
        </w:rPr>
        <w:t xml:space="preserve"> (rojo) cuando el tiempo se agota. Los botones de selección de respuesta y carga de evidencia se deshabilitan cuando </w:t>
      </w:r>
      <w:r>
        <w:rPr>
          <w:rFonts w:ascii="Courier New" w:hAnsi="Courier New"/>
          <w:sz w:val="18"/>
        </w:rPr>
        <w:t>isExpired === true</w:t>
      </w:r>
      <w:r>
        <w:rPr>
          <w:rFonts w:ascii="Arial" w:hAnsi="Arial"/>
          <w:sz w:val="22"/>
        </w:rPr>
        <w:t>:</w:t>
      </w:r>
    </w:p>
    <w:p>
      <w:pPr>
        <w:pStyle w:val="CodeBlock"/>
        <w:shd w:val="clear" w:color="auto" w:fill="F2F2F2"/>
      </w:pPr>
      <w:r>
        <w:t>&lt;button</w:t>
        <w:br/>
        <w:t xml:space="preserve">  disabled={isExpired || savingQuestion === question.id}</w:t>
        <w:br/>
        <w:t xml:space="preserve">  onClick={() =&gt; handleSelect(question.id, optionKey)}</w:t>
        <w:br/>
        <w:t>&gt;</w:t>
      </w:r>
    </w:p>
    <w:p>
      <w:pPr>
        <w:jc w:val="both"/>
      </w:pPr>
      <w:r>
        <w:rPr>
          <w:b/>
        </w:rPr>
        <w:t>Distinción cliente/servidor en el control de tiempo:</w:t>
      </w:r>
    </w:p>
    <w:p>
      <w:pPr>
        <w:jc w:val="both"/>
      </w:pPr>
      <w:r>
        <w:rPr>
          <w:rFonts w:ascii="Arial" w:hAnsi="Arial"/>
          <w:sz w:val="22"/>
        </w:rPr>
        <w:t>La interfaz deshabilita visualmente las respuestas cuando el tiempo expira. Sin embargo, la verificación definitiva ocurre en el servidor: el Route Handler de respuestas (</w:t>
      </w:r>
      <w:r>
        <w:rPr>
          <w:rFonts w:ascii="Courier New" w:hAnsi="Courier New"/>
          <w:sz w:val="18"/>
        </w:rPr>
        <w:t>answers/route.ts</w:t>
      </w:r>
      <w:r>
        <w:rPr>
          <w:rFonts w:ascii="Arial" w:hAnsi="Arial"/>
          <w:sz w:val="22"/>
        </w:rPr>
        <w:t xml:space="preserve">) verifica </w:t>
      </w:r>
      <w:r>
        <w:rPr>
          <w:rFonts w:ascii="Courier New" w:hAnsi="Courier New"/>
          <w:sz w:val="18"/>
        </w:rPr>
        <w:t>Date.now() &gt; new Date(attempt.deadline_at).getTime()</w:t>
      </w:r>
      <w:r>
        <w:rPr>
          <w:rFonts w:ascii="Arial" w:hAnsi="Arial"/>
          <w:sz w:val="22"/>
        </w:rPr>
        <w:t xml:space="preserve"> antes de procesar cada guardado. Esto garantiza que incluso si el candidato manipulara el cliente para saltar la restricción visual, el servidor rechazaría las respuestas tardías.</w:t>
      </w:r>
    </w:p>
    <w:p>
      <w:pPr>
        <w:pStyle w:val="Heading3"/>
      </w:pPr>
      <w:r>
        <w:t>5.7.3 Guardado individual de respuestas (RF-08, RF-09)</w:t>
      </w:r>
    </w:p>
    <w:p>
      <w:pPr>
        <w:jc w:val="both"/>
      </w:pPr>
      <w:r>
        <w:rPr>
          <w:rFonts w:ascii="Arial" w:hAnsi="Arial"/>
          <w:sz w:val="22"/>
        </w:rPr>
        <w:t xml:space="preserve">Cada vez que el candidato selecciona una opción, el evento llama a </w:t>
      </w:r>
      <w:r>
        <w:rPr>
          <w:rFonts w:ascii="Courier New" w:hAnsi="Courier New"/>
          <w:sz w:val="18"/>
        </w:rPr>
        <w:t>handleSelect</w:t>
      </w:r>
      <w:r>
        <w:rPr>
          <w:rFonts w:ascii="Arial" w:hAnsi="Arial"/>
          <w:sz w:val="22"/>
        </w:rPr>
        <w:t xml:space="preserve">, que actualiza el estado local inmediatamente y luego invoca </w:t>
      </w:r>
      <w:r>
        <w:rPr>
          <w:rFonts w:ascii="Courier New" w:hAnsi="Courier New"/>
          <w:sz w:val="18"/>
        </w:rPr>
        <w:t>saveAnswer</w:t>
      </w:r>
      <w:r>
        <w:rPr>
          <w:rFonts w:ascii="Arial" w:hAnsi="Arial"/>
          <w:sz w:val="22"/>
        </w:rPr>
        <w:t xml:space="preserve"> de forma asíncrona:</w:t>
      </w:r>
    </w:p>
    <w:p>
      <w:pPr>
        <w:pStyle w:val="CodeBlock"/>
        <w:shd w:val="clear" w:color="auto" w:fill="F2F2F2"/>
      </w:pPr>
      <w:r>
        <w:t>const handleSelect = (questionId: string, optionKey: string) =&gt; {</w:t>
        <w:br/>
        <w:t xml:space="preserve">  setAnswers((prev) =&gt; ({ ...prev, [questionId]: optionKey }));  // UI instantánea</w:t>
        <w:br/>
        <w:t xml:space="preserve">  void saveAnswer(questionId, optionKey);                         // Guardado asíncrono</w:t>
        <w:br/>
        <w:t>};</w:t>
      </w:r>
    </w:p>
    <w:p>
      <w:pPr>
        <w:jc w:val="both"/>
      </w:pPr>
      <w:r>
        <w:rPr>
          <w:rFonts w:ascii="Arial" w:hAnsi="Arial"/>
          <w:sz w:val="22"/>
        </w:rP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rPr>
          <w:rFonts w:ascii="Arial" w:hAnsi="Arial"/>
          <w:sz w:val="22"/>
        </w:rPr>
        <w:t xml:space="preserve"> realiza un </w:t>
      </w:r>
      <w:r>
        <w:rPr>
          <w:rFonts w:ascii="Courier New" w:hAnsi="Courier New"/>
          <w:sz w:val="18"/>
        </w:rPr>
        <w:t>UPSERT</w:t>
      </w:r>
      <w:r>
        <w:rPr>
          <w:rFonts w:ascii="Arial" w:hAnsi="Arial"/>
          <w:sz w:val="22"/>
        </w:rPr>
        <w:t xml:space="preserve"> sobre la tabla </w:t>
      </w:r>
      <w:r>
        <w:rPr>
          <w:rFonts w:ascii="Courier New" w:hAnsi="Courier New"/>
          <w:sz w:val="18"/>
        </w:rPr>
        <w:t>answers</w:t>
      </w:r>
      <w:r>
        <w:rPr>
          <w:rFonts w:ascii="Arial" w:hAnsi="Arial"/>
          <w:sz w:val="22"/>
        </w:rPr>
        <w:t>:</w:t>
      </w:r>
    </w:p>
    <w:p>
      <w:pPr>
        <w:pStyle w:val="CodeBlock"/>
        <w:shd w:val="clear" w:color="auto" w:fill="F2F2F2"/>
      </w:pPr>
      <w:r>
        <w:t>// app/api/attempts/[attemptId]/answers/route.ts</w:t>
        <w:br/>
        <w:t>// Validaciones previas al upsert:</w:t>
        <w:br/>
        <w:t>// 1. JWT válido → userId</w:t>
        <w:br/>
        <w:t>// 2. attempt.application.user_id === userId (pertenencia)</w:t>
        <w:br/>
        <w:t>// 3. !attempt.submitted_at (no enviado aún)</w:t>
        <w:br/>
        <w:t>// 4. Date.now() &lt;= deadline_at (tiempo vigente)</w:t>
        <w:br/>
        <w:t>// 5. question.assessment_id === attempt.assessment_id (pregunta pertenece a la evaluación)</w:t>
        <w:br/>
        <w:br/>
        <w:t>await supabase.from("answers").upsert({</w:t>
        <w:br/>
        <w:t xml:space="preserve">  attempt_id: attemptId,</w:t>
        <w:br/>
        <w:t xml:space="preserve">  question_id: body.questionId,</w:t>
        <w:br/>
        <w:t xml:space="preserve">  selected_option: body.selectedOption,</w:t>
        <w:br/>
        <w:t>});</w:t>
      </w:r>
    </w:p>
    <w:p>
      <w:pPr>
        <w:jc w:val="both"/>
      </w:pPr>
      <w:r>
        <w:rPr>
          <w:rFonts w:ascii="Arial" w:hAnsi="Arial"/>
          <w:sz w:val="22"/>
        </w:rPr>
        <w:t xml:space="preserve">La restricción </w:t>
      </w:r>
      <w:r>
        <w:rPr>
          <w:rFonts w:ascii="Courier New" w:hAnsi="Courier New"/>
          <w:sz w:val="18"/>
        </w:rPr>
        <w:t>UNIQUE (attempt_id, question_id)</w:t>
      </w:r>
      <w:r>
        <w:rPr>
          <w:rFonts w:ascii="Arial" w:hAnsi="Arial"/>
          <w:sz w:val="22"/>
        </w:rPr>
        <w:t xml:space="preserve"> en la tabla </w:t>
      </w:r>
      <w:r>
        <w:rPr>
          <w:rFonts w:ascii="Courier New" w:hAnsi="Courier New"/>
          <w:sz w:val="18"/>
        </w:rPr>
        <w:t>answers</w:t>
      </w:r>
      <w:r>
        <w:rPr>
          <w:rFonts w:ascii="Arial" w:hAnsi="Arial"/>
          <w:sz w:val="22"/>
        </w:rP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pPr>
        <w:pStyle w:val="Heading3"/>
      </w:pPr>
      <w:r>
        <w:t>5.7.4 Estados del intento</w:t>
      </w:r>
    </w:p>
    <w:p>
      <w:pPr>
        <w:jc w:val="both"/>
      </w:pPr>
      <w:r>
        <w:rPr>
          <w:rFonts w:ascii="Arial" w:hAnsi="Arial"/>
          <w:sz w:val="22"/>
        </w:rPr>
        <w:t xml:space="preserve">La columna </w:t>
      </w:r>
      <w:r>
        <w:rPr>
          <w:rFonts w:ascii="Courier New" w:hAnsi="Courier New"/>
          <w:sz w:val="18"/>
        </w:rPr>
        <w:t>status</w:t>
      </w:r>
      <w:r>
        <w:rPr>
          <w:rFonts w:ascii="Arial" w:hAnsi="Arial"/>
          <w:sz w:val="22"/>
        </w:rPr>
        <w:t xml:space="preserve"> en la tabla </w:t>
      </w:r>
      <w:r>
        <w:rPr>
          <w:rFonts w:ascii="Courier New" w:hAnsi="Courier New"/>
          <w:sz w:val="18"/>
        </w:rPr>
        <w:t>attempts</w:t>
      </w:r>
      <w:r>
        <w:rPr>
          <w:rFonts w:ascii="Arial" w:hAnsi="Arial"/>
          <w:sz w:val="22"/>
        </w:rPr>
        <w:t xml:space="preserve"> sigue el ciclo definido en el esquema: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Estado</w:t>
            </w:r>
          </w:p>
        </w:tc>
        <w:tc>
          <w:tcPr>
            <w:tcW w:type="dxa" w:w="3041"/>
          </w:tcPr>
          <w:p>
            <w:pPr>
              <w:spacing w:before="40" w:after="40"/>
            </w:pPr>
            <w:r>
              <w:rPr>
                <w:b/>
                <w:sz w:val="20"/>
              </w:rPr>
              <w:t>Significado</w:t>
            </w:r>
          </w:p>
        </w:tc>
        <w:tc>
          <w:tcPr>
            <w:tcW w:type="dxa" w:w="3041"/>
          </w:tcPr>
          <w:p>
            <w:pPr>
              <w:spacing w:before="40" w:after="40"/>
            </w:pPr>
            <w:r>
              <w:rPr>
                <w:b/>
                <w:sz w:val="20"/>
              </w:rPr>
              <w:t>Quién lo establece</w:t>
            </w:r>
          </w:p>
        </w:tc>
      </w:tr>
      <w:tr>
        <w:tc>
          <w:tcPr>
            <w:tcW w:type="dxa" w:w="3041"/>
          </w:tcPr>
          <w:p>
            <w:pPr>
              <w:spacing w:before="40" w:after="40"/>
            </w:pPr>
            <w:r>
              <w:rPr>
                <w:rFonts w:ascii="Courier New" w:hAnsi="Courier New"/>
                <w:sz w:val="20"/>
              </w:rPr>
              <w:t>IN_PROGRESS</w:t>
            </w:r>
          </w:p>
        </w:tc>
        <w:tc>
          <w:tcPr>
            <w:tcW w:type="dxa" w:w="3041"/>
          </w:tcPr>
          <w:p>
            <w:pPr>
              <w:spacing w:before="40" w:after="40"/>
            </w:pPr>
            <w:r>
              <w:rPr>
                <w:rFonts w:ascii="Arial" w:hAnsi="Arial"/>
                <w:sz w:val="20"/>
              </w:rPr>
              <w:t>Intento en curso (valor por defecto)</w:t>
            </w:r>
          </w:p>
        </w:tc>
        <w:tc>
          <w:tcPr>
            <w:tcW w:type="dxa" w:w="3041"/>
          </w:tcPr>
          <w:p>
            <w:pPr>
              <w:spacing w:before="40" w:after="40"/>
            </w:pPr>
            <w:r>
              <w:rPr>
                <w:rFonts w:ascii="Arial" w:hAnsi="Arial"/>
                <w:sz w:val="20"/>
              </w:rPr>
              <w:t>Creación del registro</w:t>
            </w:r>
          </w:p>
        </w:tc>
      </w:tr>
      <w:tr>
        <w:tc>
          <w:tcPr>
            <w:tcW w:type="dxa" w:w="3041"/>
          </w:tcPr>
          <w:p>
            <w:pPr>
              <w:spacing w:before="40" w:after="40"/>
            </w:pPr>
            <w:r>
              <w:rPr>
                <w:rFonts w:ascii="Courier New" w:hAnsi="Courier New"/>
                <w:sz w:val="20"/>
              </w:rPr>
              <w:t>SUBMITTED</w:t>
            </w:r>
          </w:p>
        </w:tc>
        <w:tc>
          <w:tcPr>
            <w:tcW w:type="dxa" w:w="3041"/>
          </w:tcPr>
          <w:p>
            <w:pPr>
              <w:spacing w:before="40" w:after="40"/>
            </w:pPr>
            <w:r>
              <w:rPr>
                <w:rFonts w:ascii="Arial" w:hAnsi="Arial"/>
                <w:sz w:val="20"/>
              </w:rPr>
              <w:t>Enviado por el candidato, pendiente de revisión</w:t>
            </w:r>
          </w:p>
        </w:tc>
        <w:tc>
          <w:tcPr>
            <w:tcW w:type="dxa" w:w="3041"/>
          </w:tcPr>
          <w:p>
            <w:pPr>
              <w:spacing w:before="40" w:after="40"/>
            </w:pPr>
            <w:r>
              <w:rPr>
                <w:rFonts w:ascii="Courier New" w:hAnsi="Courier New"/>
                <w:sz w:val="20"/>
              </w:rPr>
              <w:t>submit/route.ts</w:t>
            </w:r>
            <w:r>
              <w:rPr>
                <w:rFonts w:ascii="Arial" w:hAnsi="Arial"/>
                <w:sz w:val="20"/>
              </w:rPr>
              <w:t xml:space="preserve"> → </w:t>
            </w:r>
            <w:r>
              <w:rPr>
                <w:rFonts w:ascii="Courier New" w:hAnsi="Courier New"/>
                <w:sz w:val="20"/>
              </w:rPr>
              <w:t>UNDER_REVIEW</w:t>
            </w:r>
          </w:p>
        </w:tc>
      </w:tr>
      <w:tr>
        <w:tc>
          <w:tcPr>
            <w:tcW w:type="dxa" w:w="3041"/>
          </w:tcPr>
          <w:p>
            <w:pPr>
              <w:spacing w:before="40" w:after="40"/>
            </w:pPr>
            <w:r>
              <w:rPr>
                <w:rFonts w:ascii="Courier New" w:hAnsi="Courier New"/>
                <w:sz w:val="20"/>
              </w:rPr>
              <w:t>UNDER_REVIEW</w:t>
            </w:r>
          </w:p>
        </w:tc>
        <w:tc>
          <w:tcPr>
            <w:tcW w:type="dxa" w:w="3041"/>
          </w:tcPr>
          <w:p>
            <w:pPr>
              <w:spacing w:before="40" w:after="40"/>
            </w:pPr>
            <w:r>
              <w:rPr>
                <w:rFonts w:ascii="Arial" w:hAnsi="Arial"/>
                <w:sz w:val="20"/>
              </w:rPr>
              <w:t>En revisión por el administrador</w:t>
            </w:r>
          </w:p>
        </w:tc>
        <w:tc>
          <w:tcPr>
            <w:tcW w:type="dxa" w:w="3041"/>
          </w:tcPr>
          <w:p>
            <w:pPr>
              <w:spacing w:before="40" w:after="40"/>
            </w:pPr>
            <w:r>
              <w:rPr>
                <w:rFonts w:ascii="Courier New" w:hAnsi="Courier New"/>
                <w:sz w:val="20"/>
              </w:rPr>
              <w:t>submit/route.ts</w:t>
            </w:r>
            <w:r>
              <w:rPr>
                <w:rFonts w:ascii="Arial" w:hAnsi="Arial"/>
                <w:sz w:val="20"/>
              </w:rPr>
              <w:t xml:space="preserve"> al enviar</w:t>
            </w:r>
          </w:p>
        </w:tc>
      </w:tr>
      <w:tr>
        <w:tc>
          <w:tcPr>
            <w:tcW w:type="dxa" w:w="3041"/>
          </w:tcPr>
          <w:p>
            <w:pPr>
              <w:spacing w:before="40" w:after="40"/>
            </w:pPr>
            <w:r>
              <w:rPr>
                <w:rFonts w:ascii="Courier New" w:hAnsi="Courier New"/>
                <w:sz w:val="20"/>
              </w:rPr>
              <w:t>COMPLETED</w:t>
            </w:r>
          </w:p>
        </w:tc>
        <w:tc>
          <w:tcPr>
            <w:tcW w:type="dxa" w:w="3041"/>
          </w:tcPr>
          <w:p>
            <w:pPr>
              <w:spacing w:before="40" w:after="40"/>
            </w:pPr>
            <w:r>
              <w:rPr>
                <w:rFonts w:ascii="Arial" w:hAnsi="Arial"/>
                <w:sz w:val="20"/>
              </w:rPr>
              <w:t>Revisión terminada con decisión final</w:t>
            </w:r>
          </w:p>
        </w:tc>
        <w:tc>
          <w:tcPr>
            <w:tcW w:type="dxa" w:w="3041"/>
          </w:tcPr>
          <w:p>
            <w:pPr>
              <w:spacing w:before="40" w:after="40"/>
            </w:pPr>
            <w:r>
              <w:rPr>
                <w:rFonts w:ascii="Arial" w:hAnsi="Arial"/>
                <w:sz w:val="20"/>
              </w:rPr>
              <w:t>Panel admin al aprobar o rechazar</w:t>
            </w:r>
          </w:p>
        </w:tc>
      </w:tr>
    </w:tbl>
    <w:p/>
    <w:p>
      <w:pPr>
        <w:pStyle w:val="Heading3"/>
      </w:pPr>
      <w:r>
        <w:t>5.7.5 Envío del intento (RF-11)</w:t>
      </w:r>
    </w:p>
    <w:p>
      <w:pPr>
        <w:jc w:val="both"/>
      </w:pPr>
      <w:r>
        <w:rPr>
          <w:rFonts w:ascii="Arial" w:hAnsi="Arial"/>
          <w:sz w:val="22"/>
        </w:rPr>
        <w:t xml:space="preserve">El Route Handler </w:t>
      </w:r>
      <w:r>
        <w:rPr>
          <w:rFonts w:ascii="Courier New" w:hAnsi="Courier New"/>
          <w:sz w:val="18"/>
        </w:rPr>
        <w:t>POST /api/attempts/[attemptId]/submit</w:t>
      </w:r>
      <w:r>
        <w:rPr>
          <w:rFonts w:ascii="Arial" w:hAnsi="Arial"/>
          <w:sz w:val="22"/>
        </w:rPr>
        <w:t xml:space="preserve"> (analizado en profundidad en el Capítulo III, sección 3.7) realiza tres operaciones al recibir el envío:</w:t>
      </w:r>
    </w:p>
    <w:p>
      <w:pPr>
        <w:pStyle w:val="ListNumber"/>
      </w:pPr>
      <w:r>
        <w:rPr>
          <w:rFonts w:ascii="Arial" w:hAnsi="Arial"/>
          <w:sz w:val="22"/>
        </w:rPr>
        <w:t>Verifica que el intento no fue enviado previamente (</w:t>
      </w:r>
      <w:r>
        <w:rPr>
          <w:rFonts w:ascii="Courier New" w:hAnsi="Courier New"/>
          <w:sz w:val="18"/>
        </w:rPr>
        <w:t>!attempt.submitted_at</w:t>
      </w:r>
      <w:r>
        <w:rPr>
          <w:rFonts w:ascii="Arial" w:hAnsi="Arial"/>
          <w:sz w:val="22"/>
        </w:rPr>
        <w:t>).</w:t>
      </w:r>
    </w:p>
    <w:p>
      <w:pPr>
        <w:pStyle w:val="ListNumber"/>
      </w:pPr>
      <w:r>
        <w:rPr>
          <w:rFonts w:ascii="Arial" w:hAnsi="Arial"/>
          <w:sz w:val="22"/>
        </w:rPr>
        <w:t xml:space="preserve">Calcula el resumen psicométrico y el </w:t>
      </w:r>
      <w:r>
        <w:rPr>
          <w:rFonts w:ascii="Courier New" w:hAnsi="Courier New"/>
          <w:sz w:val="18"/>
        </w:rPr>
        <w:t>theory_score</w:t>
      </w:r>
      <w:r>
        <w:rPr>
          <w:rFonts w:ascii="Arial" w:hAnsi="Arial"/>
          <w:sz w:val="22"/>
        </w:rPr>
        <w:t xml:space="preserve"> a partir de las respuestas guardadas.</w:t>
      </w:r>
    </w:p>
    <w:p>
      <w:pPr>
        <w:pStyle w:val="ListNumber"/>
      </w:pPr>
      <w:r>
        <w:rPr>
          <w:rFonts w:ascii="Arial" w:hAnsi="Arial"/>
          <w:sz w:val="22"/>
        </w:rPr>
        <w:t xml:space="preserve">Actualiza el registro del intento con </w:t>
      </w:r>
      <w:r>
        <w:rPr>
          <w:rFonts w:ascii="Courier New" w:hAnsi="Courier New"/>
          <w:sz w:val="18"/>
        </w:rPr>
        <w:t>submitted_at</w:t>
      </w:r>
      <w:r>
        <w:rPr>
          <w:rFonts w:ascii="Arial" w:hAnsi="Arial"/>
          <w:sz w:val="22"/>
        </w:rPr>
        <w:t xml:space="preserve">, </w:t>
      </w:r>
      <w:r>
        <w:rPr>
          <w:rFonts w:ascii="Courier New" w:hAnsi="Courier New"/>
          <w:sz w:val="18"/>
        </w:rPr>
        <w:t>status = UNDER_REVIEW</w:t>
      </w:r>
      <w:r>
        <w:rPr>
          <w:rFonts w:ascii="Arial" w:hAnsi="Arial"/>
          <w:sz w:val="22"/>
        </w:rPr>
        <w:t xml:space="preserve">, </w:t>
      </w:r>
      <w:r>
        <w:rPr>
          <w:rFonts w:ascii="Courier New" w:hAnsi="Courier New"/>
          <w:sz w:val="18"/>
        </w:rPr>
        <w:t>theory_score</w:t>
      </w:r>
      <w:r>
        <w:rPr>
          <w:rFonts w:ascii="Arial" w:hAnsi="Arial"/>
          <w:sz w:val="22"/>
        </w:rPr>
        <w:t xml:space="preserve"> y </w:t>
      </w:r>
      <w:r>
        <w:rPr>
          <w:rFonts w:ascii="Courier New" w:hAnsi="Courier New"/>
          <w:sz w:val="18"/>
        </w:rPr>
        <w:t>psychometric_summary</w:t>
      </w:r>
      <w:r>
        <w:rPr>
          <w:rFonts w:ascii="Arial" w:hAnsi="Arial"/>
          <w:sz w:val="22"/>
        </w:rPr>
        <w:t>.</w:t>
      </w:r>
    </w:p>
    <w:p>
      <w:pPr>
        <w:jc w:val="both"/>
      </w:pPr>
      <w:r>
        <w:rPr>
          <w:rFonts w:ascii="Arial" w:hAnsi="Arial"/>
          <w:sz w:val="22"/>
        </w:rPr>
        <w:t xml:space="preserve">El </w:t>
      </w:r>
      <w:r>
        <w:rPr>
          <w:rFonts w:ascii="Courier New" w:hAnsi="Courier New"/>
          <w:sz w:val="18"/>
        </w:rPr>
        <w:t>theory_score</w:t>
      </w:r>
      <w:r>
        <w:rPr>
          <w:rFonts w:ascii="Arial" w:hAnsi="Arial"/>
          <w:sz w:val="22"/>
        </w:rPr>
        <w:t xml:space="preserve"> se calcula mediante la función </w:t>
      </w:r>
      <w:r>
        <w:rPr>
          <w:rFonts w:ascii="Courier New" w:hAnsi="Courier New"/>
          <w:sz w:val="18"/>
        </w:rPr>
        <w:t>calculatePsicometricoSummary()</w:t>
      </w:r>
      <w:r>
        <w:rPr>
          <w:rFonts w:ascii="Arial" w:hAnsi="Arial"/>
          <w:sz w:val="22"/>
        </w:rPr>
        <w:t xml:space="preserve"> para cualquier tipo de intento, tanto psicométrico como de conocimientos. La función acumula respuestas únicamente para preguntas cuyo </w:t>
      </w:r>
      <w:r>
        <w:rPr>
          <w:rFonts w:ascii="Courier New" w:hAnsi="Courier New"/>
          <w:sz w:val="18"/>
        </w:rPr>
        <w:t>prompt</w:t>
      </w:r>
      <w:r>
        <w:rPr>
          <w:rFonts w:ascii="Arial" w:hAnsi="Arial"/>
          <w:sz w:val="22"/>
        </w:rPr>
        <w:t xml:space="preserve"> comienza con el prefijo </w:t>
      </w:r>
      <w:r>
        <w:rPr>
          <w:rFonts w:ascii="Courier New" w:hAnsi="Courier New"/>
          <w:sz w:val="18"/>
        </w:rPr>
        <w:t>MINI_BIG_FIVE</w:t>
      </w:r>
      <w:r>
        <w:rPr>
          <w:rFonts w:ascii="Arial" w:hAnsi="Arial"/>
          <w:sz w:val="22"/>
        </w:rPr>
        <w:t xml:space="preserve">; el divisor </w:t>
      </w:r>
      <w:r>
        <w:rPr>
          <w:rFonts w:ascii="Courier New" w:hAnsi="Courier New"/>
          <w:sz w:val="18"/>
        </w:rPr>
        <w:t>likertQuestions</w:t>
      </w:r>
      <w:r>
        <w:rPr>
          <w:rFonts w:ascii="Arial" w:hAnsi="Arial"/>
          <w:sz w:val="22"/>
        </w:rP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rPr>
          <w:rFonts w:ascii="Arial" w:hAnsi="Arial"/>
          <w:sz w:val="22"/>
        </w:rPr>
        <w:t>).</w:t>
      </w:r>
    </w:p>
    <w:p>
      <w:pPr>
        <w:jc w:val="both"/>
      </w:pPr>
      <w:r>
        <w:rPr>
          <w:rFonts w:ascii="Arial" w:hAnsi="Arial"/>
          <w:sz w:val="22"/>
        </w:rPr>
        <w:t xml:space="preserve">Para evaluaciones de conocimientos, cuyas preguntas no tienen el prefijo </w:t>
      </w:r>
      <w:r>
        <w:rPr>
          <w:rFonts w:ascii="Courier New" w:hAnsi="Courier New"/>
          <w:sz w:val="18"/>
        </w:rPr>
        <w:t>MINI_BIG_FIVE</w:t>
      </w:r>
      <w:r>
        <w:rPr>
          <w:rFonts w:ascii="Arial" w:hAnsi="Arial"/>
          <w:sz w:val="22"/>
        </w:rPr>
        <w:t xml:space="preserve">, el acumulador </w:t>
      </w:r>
      <w:r>
        <w:rPr>
          <w:rFonts w:ascii="Courier New" w:hAnsi="Courier New"/>
          <w:sz w:val="18"/>
        </w:rPr>
        <w:t>likertAnswered</w:t>
      </w:r>
      <w:r>
        <w:rPr>
          <w:rFonts w:ascii="Arial" w:hAnsi="Arial"/>
          <w:sz w:val="22"/>
        </w:rPr>
        <w:t xml:space="preserve"> resulta siempre 0 y, en consecuencia, </w:t>
      </w:r>
      <w:r>
        <w:rPr>
          <w:rFonts w:ascii="Courier New" w:hAnsi="Courier New"/>
          <w:sz w:val="18"/>
        </w:rPr>
        <w:t>theory_score</w:t>
      </w:r>
      <w:r>
        <w:rPr>
          <w:rFonts w:ascii="Arial" w:hAnsi="Arial"/>
          <w:sz w:val="22"/>
        </w:rPr>
        <w:t xml:space="preserve"> queda registrado como </w:t>
      </w:r>
      <w:r>
        <w:rPr>
          <w:rFonts w:ascii="Courier New" w:hAnsi="Courier New"/>
          <w:sz w:val="18"/>
        </w:rPr>
        <w:t>0</w:t>
      </w:r>
      <w:r>
        <w:rPr>
          <w:rFonts w:ascii="Arial" w:hAnsi="Arial"/>
          <w:sz w:val="22"/>
        </w:rPr>
        <w:t xml:space="preserve">. No existe en el endpoint ninguna ruta de cálculo alternativa que evalúe respuestas correctas comparando </w:t>
      </w:r>
      <w:r>
        <w:rPr>
          <w:rFonts w:ascii="Courier New" w:hAnsi="Courier New"/>
          <w:sz w:val="18"/>
        </w:rPr>
        <w:t>selected_option</w:t>
      </w:r>
      <w:r>
        <w:rPr>
          <w:rFonts w:ascii="Arial" w:hAnsi="Arial"/>
          <w:sz w:val="22"/>
        </w:rPr>
        <w:t xml:space="preserve"> con </w:t>
      </w:r>
      <w:r>
        <w:rPr>
          <w:rFonts w:ascii="Courier New" w:hAnsi="Courier New"/>
          <w:sz w:val="18"/>
        </w:rPr>
        <w:t>correct_option</w:t>
      </w:r>
      <w:r>
        <w:rPr>
          <w:rFonts w:ascii="Arial" w:hAnsi="Arial"/>
          <w:sz w:val="22"/>
        </w:rPr>
        <w:t xml:space="preserve">; ese campo no refleja la exactitud de respuestas en evaluaciones de conocimientos. Esta es una </w:t>
      </w:r>
      <w:r>
        <w:rPr>
          <w:b/>
        </w:rPr>
        <w:t>limitación funcional del MVP</w:t>
      </w:r>
      <w:r>
        <w:rPr>
          <w:rFonts w:ascii="Arial" w:hAnsi="Arial"/>
          <w:sz w:val="22"/>
        </w:rPr>
        <w:t>: el puntaje de aciertos en evaluaciones de conocimientos no se calcula automáticamente en el momento del envío y deberá incorporarse en una iteración futura.</w:t>
      </w:r>
    </w:p>
    <w:p>
      <w:pPr>
        <w:pStyle w:val="Heading2"/>
      </w:pPr>
      <w:r>
        <w:t>5.8 Implementación de las evidencias prácticas</w:t>
      </w:r>
    </w:p>
    <w:p>
      <w:pPr>
        <w:jc w:val="center"/>
      </w:pPr>
      <w:r>
        <w:drawing>
          <wp:inline xmlns:a="http://schemas.openxmlformats.org/drawingml/2006/main" xmlns:pic="http://schemas.openxmlformats.org/drawingml/2006/picture">
            <wp:extent cx="5040000" cy="4532400"/>
            <wp:docPr id="24" name="Picture 24"/>
            <wp:cNvGraphicFramePr>
              <a:graphicFrameLocks noChangeAspect="1"/>
            </wp:cNvGraphicFramePr>
            <a:graphic>
              <a:graphicData uri="http://schemas.openxmlformats.org/drawingml/2006/picture">
                <pic:pic>
                  <pic:nvPicPr>
                    <pic:cNvPr id="0" name="fig-5-4-secuencia-evidencias.png"/>
                    <pic:cNvPicPr/>
                  </pic:nvPicPr>
                  <pic:blipFill>
                    <a:blip r:embed="rId18"/>
                    <a:stretch>
                      <a:fillRect/>
                    </a:stretch>
                  </pic:blipFill>
                  <pic:spPr>
                    <a:xfrm>
                      <a:off x="0" y="0"/>
                      <a:ext cx="5040000" cy="4532400"/>
                    </a:xfrm>
                    <a:prstGeom prst="rect"/>
                  </pic:spPr>
                </pic:pic>
              </a:graphicData>
            </a:graphic>
          </wp:inline>
        </w:drawing>
      </w:r>
    </w:p>
    <w:p>
      <w:pPr>
        <w:pStyle w:val="FigureCaption"/>
      </w:pPr>
      <w:r>
        <w:t>Figura 5.8. Diagrama de secuencia: subida de archivo de evidencia. Fuente: elaboración propia, 2026.</w:t>
      </w:r>
    </w:p>
    <w:p>
      <w:pPr>
        <w:pStyle w:val="Heading3"/>
      </w:pPr>
      <w:r>
        <w:t>5.8.1 Flujo de carga de evidencia (RF-10)</w:t>
      </w:r>
    </w:p>
    <w:p>
      <w:pPr>
        <w:jc w:val="both"/>
      </w:pPr>
      <w:r>
        <w:rPr>
          <w:rFonts w:ascii="Arial" w:hAnsi="Arial"/>
          <w:sz w:val="22"/>
        </w:rPr>
        <w:t xml:space="preserve">La carga de evidencias ocurre directamente desde el navegador al bucket </w:t>
      </w:r>
      <w:r>
        <w:rPr>
          <w:rFonts w:ascii="Courier New" w:hAnsi="Courier New"/>
          <w:sz w:val="18"/>
        </w:rPr>
        <w:t>evidences</w:t>
      </w:r>
      <w:r>
        <w:rPr>
          <w:rFonts w:ascii="Arial" w:hAnsi="Arial"/>
          <w:sz w:val="22"/>
        </w:rPr>
        <w:t xml:space="preserve"> de Supabase Storage, utilizando el cliente anónimo autenticado con el JWT del candidato. No pasa por el servidor Next.js, lo que evita consumir la memoria del servidor para transferencias de archivos.</w:t>
      </w:r>
    </w:p>
    <w:p>
      <w:pPr>
        <w:jc w:val="both"/>
      </w:pPr>
      <w:r>
        <w:rPr>
          <w:b/>
        </w:rPr>
        <w:t>Figura 5.4 — Flujo de almacenamiento de evidencias</w:t>
      </w:r>
    </w:p>
    <w:p>
      <w:pPr>
        <w:pStyle w:val="CodeBlock"/>
        <w:shd w:val="clear" w:color="auto" w:fill="F2F2F2"/>
      </w:pPr>
      <w:r>
        <w:t>sequenceDiagram</w:t>
        <w:br/>
        <w:t xml:space="preserve">    participant UI as EvaluationClient&lt;br/&gt;(cliente.tsx)</w:t>
        <w:br/>
        <w:t xml:space="preserve">    participant Storage as Supabase Storage&lt;br/&gt;(bucket: evidences)</w:t>
        <w:br/>
        <w:t xml:space="preserve">    participant DB as PostgreSQL&lt;br/&gt;(evidence_uploads)</w:t>
        <w:br/>
        <w:br/>
        <w:t xml:space="preserve">    UI-&gt;&gt;UI: Usuario selecciona archivo (image/* o application/pdf)</w:t>
        <w:br/>
        <w:t xml:space="preserve">    UI-&gt;&gt;UI: Verifica !isExpired (tiempo vigente)</w:t>
        <w:br/>
        <w:t xml:space="preserve">    UI-&gt;&gt;UI: Construye storagePath = {attemptId}/{timestamp}-{random}.{ext}</w:t>
        <w:br/>
        <w:t xml:space="preserve">    UI-&gt;&gt;Storage: supabase.storage.from("evidences").upload(storagePath, file, {upsert: false})</w:t>
        <w:br/>
        <w:t xml:space="preserve">    alt Error en upload</w:t>
        <w:br/>
        <w:t xml:space="preserve">        Storage--&gt;&gt;UI: uploadError</w:t>
        <w:br/>
        <w:t xml:space="preserve">        UI-&gt;&gt;UI: setStatusMessage("No se pudo subir el archivo")</w:t>
        <w:br/>
        <w:t xml:space="preserve">    else Upload exitoso</w:t>
        <w:br/>
        <w:t xml:space="preserve">        Storage--&gt;&gt;UI: OK</w:t>
        <w:br/>
        <w:t xml:space="preserve">        UI-&gt;&gt;DB: INSERT INTO evidence_uploads {attempt_id, path, mime_type, size}</w:t>
        <w:br/>
        <w:t xml:space="preserve">        alt Error en registro</w:t>
        <w:br/>
        <w:t xml:space="preserve">            DB--&gt;&gt;UI: recordError</w:t>
        <w:br/>
        <w:t xml:space="preserve">            UI-&gt;&gt;UI: setStatusMessage("No se pudo registrar la evidencia")</w:t>
        <w:br/>
        <w:t xml:space="preserve">        else Registro exitoso</w:t>
        <w:br/>
        <w:t xml:space="preserve">            DB--&gt;&gt;UI: {path, mime_type, size, created_at}</w:t>
        <w:br/>
        <w:t xml:space="preserve">            UI-&gt;&gt;UI: setEvidence(record)</w:t>
        <w:br/>
        <w:t xml:space="preserve">            UI-&gt;&gt;UI: setStatusMessage("Evidencia subida correctamente")</w:t>
        <w:br/>
        <w:t xml:space="preserve">        end</w:t>
        <w:br/>
        <w:t xml:space="preserve">    end</w:t>
      </w:r>
    </w:p>
    <w:p>
      <w:pPr>
        <w:pStyle w:val="Heading3"/>
      </w:pPr>
      <w:r>
        <w:t>5.8.2 Generación del path de almacenamiento</w:t>
      </w:r>
    </w:p>
    <w:p>
      <w:pPr>
        <w:pStyle w:val="CodeBlock"/>
        <w:shd w:val="clear" w:color="auto" w:fill="F2F2F2"/>
      </w:pPr>
      <w:r>
        <w:t>// app/evaluacion/[attemptId]/cliente.tsx</w:t>
        <w:br/>
        <w:t>const extension = file.name.split(".").pop();</w:t>
        <w:br/>
        <w:t>const storagePath = `${attemptId}/${Date.now()}-${Math.random().toString(36).slice(2)}${extension ? `.${extension}` : ""}`;</w:t>
      </w:r>
    </w:p>
    <w:p>
      <w:pPr>
        <w:jc w:val="both"/>
      </w:pPr>
      <w:r>
        <w:rPr>
          <w:rFonts w:ascii="Arial" w:hAnsi="Arial"/>
          <w:sz w:val="22"/>
        </w:rPr>
        <w:t xml:space="preserve">El path del archivo combina tres elementos: el </w:t>
      </w:r>
      <w:r>
        <w:rPr>
          <w:rFonts w:ascii="Courier New" w:hAnsi="Courier New"/>
          <w:sz w:val="18"/>
        </w:rPr>
        <w:t>attemptId</w:t>
      </w:r>
      <w:r>
        <w:rPr>
          <w:rFonts w:ascii="Arial" w:hAnsi="Arial"/>
          <w:sz w:val="22"/>
        </w:rP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pPr>
        <w:pStyle w:val="Heading3"/>
      </w:pPr>
      <w:r>
        <w:t>5.8.3 Tipo de archivo y validación</w:t>
      </w:r>
    </w:p>
    <w:p>
      <w:pPr>
        <w:jc w:val="both"/>
      </w:pPr>
      <w:r>
        <w:rPr>
          <w:rFonts w:ascii="Arial" w:hAnsi="Arial"/>
          <w:sz w:val="22"/>
        </w:rPr>
        <w:t>El elemento de entrada de archivo acepta imágenes y PDFs mediante el atributo HTML:</w:t>
      </w:r>
    </w:p>
    <w:p>
      <w:pPr>
        <w:pStyle w:val="CodeBlock"/>
        <w:shd w:val="clear" w:color="auto" w:fill="F2F2F2"/>
      </w:pPr>
      <w:r>
        <w:t>&lt;input type="file" accept="image/*,application/pdf" /&gt;</w:t>
      </w:r>
    </w:p>
    <w:p>
      <w:pPr>
        <w:jc w:val="both"/>
      </w:pPr>
      <w:r>
        <w:rPr>
          <w:rFonts w:ascii="Arial" w:hAnsi="Arial"/>
          <w:sz w:val="22"/>
        </w:rP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rPr>
          <w:rFonts w:ascii="Arial" w:hAnsi="Arial"/>
          <w:sz w:val="22"/>
        </w:rPr>
        <w:t xml:space="preserve"> en el campo </w:t>
      </w:r>
      <w:r>
        <w:rPr>
          <w:rFonts w:ascii="Courier New" w:hAnsi="Courier New"/>
          <w:sz w:val="18"/>
        </w:rPr>
        <w:t>mime_type</w:t>
      </w:r>
      <w:r>
        <w:rPr>
          <w:rFonts w:ascii="Arial" w:hAnsi="Arial"/>
          <w:sz w:val="22"/>
        </w:rPr>
        <w:t xml:space="preserve"> de </w:t>
      </w:r>
      <w:r>
        <w:rPr>
          <w:rFonts w:ascii="Courier New" w:hAnsi="Courier New"/>
          <w:sz w:val="18"/>
        </w:rPr>
        <w:t>evidence_uploads</w:t>
      </w:r>
      <w:r>
        <w:rPr>
          <w:rFonts w:ascii="Arial" w:hAnsi="Arial"/>
          <w:sz w:val="22"/>
        </w:rPr>
        <w:t>.</w:t>
      </w:r>
    </w:p>
    <w:p>
      <w:pPr>
        <w:jc w:val="both"/>
      </w:pPr>
      <w:r>
        <w:rPr>
          <w:rFonts w:ascii="Arial" w:hAnsi="Arial"/>
          <w:sz w:val="22"/>
        </w:rPr>
        <w:t xml:space="preserve">La política de RLS en el bucket </w:t>
      </w:r>
      <w:r>
        <w:rPr>
          <w:rFonts w:ascii="Courier New" w:hAnsi="Courier New"/>
          <w:sz w:val="18"/>
        </w:rPr>
        <w:t>evidences</w:t>
      </w:r>
      <w:r>
        <w:rPr>
          <w:rFonts w:ascii="Arial" w:hAnsi="Arial"/>
          <w:sz w:val="22"/>
        </w:rPr>
        <w:t xml:space="preserve"> restringe la subida a usuarios autenticados que sean propietarios del archivo (</w:t>
      </w:r>
      <w:r>
        <w:rPr>
          <w:rFonts w:ascii="Courier New" w:hAnsi="Courier New"/>
          <w:sz w:val="18"/>
        </w:rPr>
        <w:t>owner = auth.uid()</w:t>
      </w:r>
      <w:r>
        <w:rPr>
          <w:rFonts w:ascii="Arial" w:hAnsi="Arial"/>
          <w:sz w:val="22"/>
        </w:rPr>
        <w:t>), lo que previene que un candidato suba archivos al espacio de otro. Sin embargo, no valida el tipo de contenido del archivo binario; esta es una limitación documentada del MVP.</w:t>
      </w:r>
    </w:p>
    <w:p>
      <w:pPr>
        <w:pStyle w:val="Heading3"/>
      </w:pPr>
      <w:r>
        <w:t>5.8.4 Tabla evidence_uploads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Columna</w:t>
            </w:r>
          </w:p>
        </w:tc>
        <w:tc>
          <w:tcPr>
            <w:tcW w:type="dxa" w:w="3041"/>
          </w:tcPr>
          <w:p>
            <w:pPr>
              <w:spacing w:before="40" w:after="40"/>
            </w:pPr>
            <w:r>
              <w:rPr>
                <w:b/>
                <w:sz w:val="20"/>
              </w:rPr>
              <w:t>Tipo</w:t>
            </w:r>
          </w:p>
        </w:tc>
        <w:tc>
          <w:tcPr>
            <w:tcW w:type="dxa" w:w="3041"/>
          </w:tcPr>
          <w:p>
            <w:pPr>
              <w:spacing w:before="40" w:after="40"/>
            </w:pPr>
            <w:r>
              <w:rPr>
                <w:b/>
                <w:sz w:val="20"/>
              </w:rPr>
              <w:t>Descripción</w:t>
            </w:r>
          </w:p>
        </w:tc>
      </w:tr>
      <w:tr>
        <w:tc>
          <w:tcPr>
            <w:tcW w:type="dxa" w:w="3041"/>
          </w:tcPr>
          <w:p>
            <w:pPr>
              <w:spacing w:before="40" w:after="40"/>
            </w:pPr>
            <w:r>
              <w:rPr>
                <w:rFonts w:ascii="Courier New" w:hAnsi="Courier New"/>
                <w:sz w:val="20"/>
              </w:rPr>
              <w:t>id</w:t>
            </w:r>
          </w:p>
        </w:tc>
        <w:tc>
          <w:tcPr>
            <w:tcW w:type="dxa" w:w="3041"/>
          </w:tcPr>
          <w:p>
            <w:pPr>
              <w:spacing w:before="40" w:after="40"/>
            </w:pPr>
            <w:r>
              <w:rPr>
                <w:rFonts w:ascii="Arial" w:hAnsi="Arial"/>
                <w:sz w:val="20"/>
              </w:rPr>
              <w:t>uuid</w:t>
            </w:r>
          </w:p>
        </w:tc>
        <w:tc>
          <w:tcPr>
            <w:tcW w:type="dxa" w:w="3041"/>
          </w:tcPr>
          <w:p>
            <w:pPr>
              <w:spacing w:before="40" w:after="40"/>
            </w:pPr>
            <w:r>
              <w:rPr>
                <w:rFonts w:ascii="Arial" w:hAnsi="Arial"/>
                <w:sz w:val="20"/>
              </w:rPr>
              <w:t>Identificador del registro</w:t>
            </w:r>
          </w:p>
        </w:tc>
      </w:tr>
      <w:tr>
        <w:tc>
          <w:tcPr>
            <w:tcW w:type="dxa" w:w="3041"/>
          </w:tcPr>
          <w:p>
            <w:pPr>
              <w:spacing w:before="40" w:after="40"/>
            </w:pPr>
            <w:r>
              <w:rPr>
                <w:rFonts w:ascii="Courier New" w:hAnsi="Courier New"/>
                <w:sz w:val="20"/>
              </w:rPr>
              <w:t>attempt_id</w:t>
            </w:r>
          </w:p>
        </w:tc>
        <w:tc>
          <w:tcPr>
            <w:tcW w:type="dxa" w:w="3041"/>
          </w:tcPr>
          <w:p>
            <w:pPr>
              <w:spacing w:before="40" w:after="40"/>
            </w:pPr>
            <w:r>
              <w:rPr>
                <w:rFonts w:ascii="Arial" w:hAnsi="Arial"/>
                <w:sz w:val="20"/>
              </w:rPr>
              <w:t>uuid → attempts</w:t>
            </w:r>
          </w:p>
        </w:tc>
        <w:tc>
          <w:tcPr>
            <w:tcW w:type="dxa" w:w="3041"/>
          </w:tcPr>
          <w:p>
            <w:pPr>
              <w:spacing w:before="40" w:after="40"/>
            </w:pPr>
            <w:r>
              <w:rPr>
                <w:rFonts w:ascii="Arial" w:hAnsi="Arial"/>
                <w:sz w:val="20"/>
              </w:rPr>
              <w:t>Intento al que pertenece la evidencia</w:t>
            </w:r>
          </w:p>
        </w:tc>
      </w:tr>
      <w:tr>
        <w:tc>
          <w:tcPr>
            <w:tcW w:type="dxa" w:w="3041"/>
          </w:tcPr>
          <w:p>
            <w:pPr>
              <w:spacing w:before="40" w:after="40"/>
            </w:pPr>
            <w:r>
              <w:rPr>
                <w:rFonts w:ascii="Courier New" w:hAnsi="Courier New"/>
                <w:sz w:val="20"/>
              </w:rPr>
              <w:t>bucket</w:t>
            </w:r>
          </w:p>
        </w:tc>
        <w:tc>
          <w:tcPr>
            <w:tcW w:type="dxa" w:w="3041"/>
          </w:tcPr>
          <w:p>
            <w:pPr>
              <w:spacing w:before="40" w:after="40"/>
            </w:pPr>
            <w:r>
              <w:rPr>
                <w:rFonts w:ascii="Arial" w:hAnsi="Arial"/>
                <w:sz w:val="20"/>
              </w:rPr>
              <w:t>text</w:t>
            </w:r>
          </w:p>
        </w:tc>
        <w:tc>
          <w:tcPr>
            <w:tcW w:type="dxa" w:w="3041"/>
          </w:tcPr>
          <w:p>
            <w:pPr>
              <w:spacing w:before="40" w:after="40"/>
            </w:pPr>
            <w:r>
              <w:rPr>
                <w:rFonts w:ascii="Arial" w:hAnsi="Arial"/>
                <w:sz w:val="20"/>
              </w:rPr>
              <w:t>Nombre del bucket (</w:t>
            </w:r>
            <w:r>
              <w:rPr>
                <w:rFonts w:ascii="Courier New" w:hAnsi="Courier New"/>
                <w:sz w:val="20"/>
              </w:rPr>
              <w:t>evidences</w:t>
            </w:r>
            <w:r>
              <w:rPr>
                <w:rFonts w:ascii="Arial" w:hAnsi="Arial"/>
                <w:sz w:val="20"/>
              </w:rPr>
              <w:t xml:space="preserve"> por defecto)</w:t>
            </w:r>
          </w:p>
        </w:tc>
      </w:tr>
      <w:tr>
        <w:tc>
          <w:tcPr>
            <w:tcW w:type="dxa" w:w="3041"/>
          </w:tcPr>
          <w:p>
            <w:pPr>
              <w:spacing w:before="40" w:after="40"/>
            </w:pPr>
            <w:r>
              <w:rPr>
                <w:rFonts w:ascii="Courier New" w:hAnsi="Courier New"/>
                <w:sz w:val="20"/>
              </w:rPr>
              <w:t>path</w:t>
            </w:r>
          </w:p>
        </w:tc>
        <w:tc>
          <w:tcPr>
            <w:tcW w:type="dxa" w:w="3041"/>
          </w:tcPr>
          <w:p>
            <w:pPr>
              <w:spacing w:before="40" w:after="40"/>
            </w:pPr>
            <w:r>
              <w:rPr>
                <w:rFonts w:ascii="Arial" w:hAnsi="Arial"/>
                <w:sz w:val="20"/>
              </w:rPr>
              <w:t>text</w:t>
            </w:r>
          </w:p>
        </w:tc>
        <w:tc>
          <w:tcPr>
            <w:tcW w:type="dxa" w:w="3041"/>
          </w:tcPr>
          <w:p>
            <w:pPr>
              <w:spacing w:before="40" w:after="40"/>
            </w:pPr>
            <w:r>
              <w:rPr>
                <w:rFonts w:ascii="Arial" w:hAnsi="Arial"/>
                <w:sz w:val="20"/>
              </w:rPr>
              <w:t>Ruta dentro del bucket para construir la URL</w:t>
            </w:r>
          </w:p>
        </w:tc>
      </w:tr>
      <w:tr>
        <w:tc>
          <w:tcPr>
            <w:tcW w:type="dxa" w:w="3041"/>
          </w:tcPr>
          <w:p>
            <w:pPr>
              <w:spacing w:before="40" w:after="40"/>
            </w:pPr>
            <w:r>
              <w:rPr>
                <w:rFonts w:ascii="Courier New" w:hAnsi="Courier New"/>
                <w:sz w:val="20"/>
              </w:rPr>
              <w:t>mime_type</w:t>
            </w:r>
          </w:p>
        </w:tc>
        <w:tc>
          <w:tcPr>
            <w:tcW w:type="dxa" w:w="3041"/>
          </w:tcPr>
          <w:p>
            <w:pPr>
              <w:spacing w:before="40" w:after="40"/>
            </w:pPr>
            <w:r>
              <w:rPr>
                <w:rFonts w:ascii="Arial" w:hAnsi="Arial"/>
                <w:sz w:val="20"/>
              </w:rPr>
              <w:t>text</w:t>
            </w:r>
          </w:p>
        </w:tc>
        <w:tc>
          <w:tcPr>
            <w:tcW w:type="dxa" w:w="3041"/>
          </w:tcPr>
          <w:p>
            <w:pPr>
              <w:spacing w:before="40" w:after="40"/>
            </w:pPr>
            <w:r>
              <w:rPr>
                <w:rFonts w:ascii="Arial" w:hAnsi="Arial"/>
                <w:sz w:val="20"/>
              </w:rPr>
              <w:t>Tipo MIME declarado por el navegador</w:t>
            </w:r>
          </w:p>
        </w:tc>
      </w:tr>
      <w:tr>
        <w:tc>
          <w:tcPr>
            <w:tcW w:type="dxa" w:w="3041"/>
          </w:tcPr>
          <w:p>
            <w:pPr>
              <w:spacing w:before="40" w:after="40"/>
            </w:pPr>
            <w:r>
              <w:rPr>
                <w:rFonts w:ascii="Courier New" w:hAnsi="Courier New"/>
                <w:sz w:val="20"/>
              </w:rPr>
              <w:t>size</w:t>
            </w:r>
          </w:p>
        </w:tc>
        <w:tc>
          <w:tcPr>
            <w:tcW w:type="dxa" w:w="3041"/>
          </w:tcPr>
          <w:p>
            <w:pPr>
              <w:spacing w:before="40" w:after="40"/>
            </w:pPr>
            <w:r>
              <w:rPr>
                <w:rFonts w:ascii="Arial" w:hAnsi="Arial"/>
                <w:sz w:val="20"/>
              </w:rPr>
              <w:t>integer</w:t>
            </w:r>
          </w:p>
        </w:tc>
        <w:tc>
          <w:tcPr>
            <w:tcW w:type="dxa" w:w="3041"/>
          </w:tcPr>
          <w:p>
            <w:pPr>
              <w:spacing w:before="40" w:after="40"/>
            </w:pPr>
            <w:r>
              <w:rPr>
                <w:rFonts w:ascii="Arial" w:hAnsi="Arial"/>
                <w:sz w:val="20"/>
              </w:rPr>
              <w:t>Tamaño en bytes</w:t>
            </w:r>
          </w:p>
        </w:tc>
      </w:tr>
      <w:tr>
        <w:tc>
          <w:tcPr>
            <w:tcW w:type="dxa" w:w="3041"/>
          </w:tcPr>
          <w:p>
            <w:pPr>
              <w:spacing w:before="40" w:after="40"/>
            </w:pPr>
            <w:r>
              <w:rPr>
                <w:rFonts w:ascii="Courier New" w:hAnsi="Courier New"/>
                <w:sz w:val="20"/>
              </w:rPr>
              <w:t>created_at</w:t>
            </w:r>
          </w:p>
        </w:tc>
        <w:tc>
          <w:tcPr>
            <w:tcW w:type="dxa" w:w="3041"/>
          </w:tcPr>
          <w:p>
            <w:pPr>
              <w:spacing w:before="40" w:after="40"/>
            </w:pPr>
            <w:r>
              <w:rPr>
                <w:rFonts w:ascii="Arial" w:hAnsi="Arial"/>
                <w:sz w:val="20"/>
              </w:rPr>
              <w:t>timestamptz</w:t>
            </w:r>
          </w:p>
        </w:tc>
        <w:tc>
          <w:tcPr>
            <w:tcW w:type="dxa" w:w="3041"/>
          </w:tcPr>
          <w:p>
            <w:pPr>
              <w:spacing w:before="40" w:after="40"/>
            </w:pPr>
            <w:r>
              <w:rPr>
                <w:rFonts w:ascii="Arial" w:hAnsi="Arial"/>
                <w:sz w:val="20"/>
              </w:rPr>
              <w:t>Momento del registro</w:t>
            </w:r>
          </w:p>
        </w:tc>
      </w:tr>
    </w:tbl>
    <w:p/>
    <w:p>
      <w:pPr>
        <w:jc w:val="both"/>
      </w:pPr>
      <w:r>
        <w:rPr>
          <w:rFonts w:ascii="Arial" w:hAnsi="Arial"/>
          <w:sz w:val="22"/>
        </w:rPr>
        <w:t xml:space="preserve">El campo </w:t>
      </w:r>
      <w:r>
        <w:rPr>
          <w:rFonts w:ascii="Courier New" w:hAnsi="Courier New"/>
          <w:sz w:val="18"/>
        </w:rPr>
        <w:t>path</w:t>
      </w:r>
      <w:r>
        <w:rPr>
          <w:rFonts w:ascii="Arial" w:hAnsi="Arial"/>
          <w:sz w:val="22"/>
        </w:rP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rPr>
          <w:rFonts w:ascii="Arial" w:hAnsi="Arial"/>
          <w:sz w:val="22"/>
        </w:rPr>
        <w:t xml:space="preserve"> para mostrar un enlace al archivo durante la evaluación activa, aunque el bucket es privado y la URL pública solo funciona durante la sesión autenticada del propietario.</w:t>
      </w:r>
    </w:p>
    <w:p>
      <w:pPr>
        <w:pStyle w:val="Heading3"/>
      </w:pPr>
      <w:r>
        <w:t>5.8.5 Integración con el panel administrativo</w:t>
      </w:r>
    </w:p>
    <w:p>
      <w:pPr>
        <w:jc w:val="both"/>
      </w:pPr>
      <w:r>
        <w:rPr>
          <w:rFonts w:ascii="Arial" w:hAnsi="Arial"/>
          <w:sz w:val="22"/>
        </w:rPr>
        <w:t>El panel administrativo recupera las evidencias de un intento y genera URLs firmadas con vigencia de 60 minutos para que el administrador pueda acceder a ellas:</w:t>
      </w:r>
    </w:p>
    <w:p>
      <w:pPr>
        <w:pStyle w:val="CodeBlock"/>
        <w:shd w:val="clear" w:color="auto" w:fill="F2F2F2"/>
      </w:pPr>
      <w:r>
        <w:t>// app/api/admin/attempts/[id]/detail/route.ts (fragmento)</w:t>
        <w:br/>
        <w:t>const { data: signedUrl } = await supabase.storage</w:t>
        <w:br/>
        <w:t xml:space="preserve">  .from("evidences")</w:t>
        <w:br/>
        <w:t xml:space="preserve">  .createSignedUrl(upload.path, 3600);  // 3600 segundos = 60 minutos</w:t>
      </w:r>
    </w:p>
    <w:p>
      <w:pPr>
        <w:jc w:val="both"/>
      </w:pPr>
      <w:r>
        <w:rPr>
          <w:rFonts w:ascii="Arial" w:hAnsi="Arial"/>
          <w:sz w:val="22"/>
        </w:rP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pPr>
        <w:pStyle w:val="Heading2"/>
      </w:pPr>
      <w:r>
        <w:t>5.9 Implementación del panel administrativo</w:t>
      </w:r>
    </w:p>
    <w:p>
      <w:pPr>
        <w:jc w:val="center"/>
      </w:pPr>
      <w:r>
        <w:drawing>
          <wp:inline xmlns:a="http://schemas.openxmlformats.org/drawingml/2006/main" xmlns:pic="http://schemas.openxmlformats.org/drawingml/2006/picture">
            <wp:extent cx="5040000" cy="3150000"/>
            <wp:docPr id="25" name="Picture 25"/>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pStyle w:val="Heading3"/>
      </w:pPr>
      <w:r>
        <w:t>5.9.1 Arquitectura del panel y autenticación del administrador (RF-13 a RF-18)</w:t>
      </w:r>
    </w:p>
    <w:p>
      <w:pPr>
        <w:jc w:val="center"/>
      </w:pPr>
      <w:r>
        <w:drawing>
          <wp:inline xmlns:a="http://schemas.openxmlformats.org/drawingml/2006/main" xmlns:pic="http://schemas.openxmlformats.org/drawingml/2006/picture">
            <wp:extent cx="5040000" cy="3150000"/>
            <wp:docPr id="26" name="Picture 26"/>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El panel administrativo se implementa en dos páginas: </w:t>
      </w:r>
      <w:r>
        <w:rPr>
          <w:rFonts w:ascii="Courier New" w:hAnsi="Courier New"/>
          <w:sz w:val="18"/>
        </w:rPr>
        <w:t>app/admin/page.tsx</w:t>
      </w:r>
      <w:r>
        <w:rPr>
          <w:rFonts w:ascii="Arial" w:hAnsi="Arial"/>
          <w:sz w:val="22"/>
        </w:rPr>
        <w:t xml:space="preserve">, que concentra las operaciones de configuración y consulta general, y </w:t>
      </w:r>
      <w:r>
        <w:rPr>
          <w:rFonts w:ascii="Courier New" w:hAnsi="Courier New"/>
          <w:sz w:val="18"/>
        </w:rPr>
        <w:t>app/admin/attempts/[id]/page.tsx</w:t>
      </w:r>
      <w:r>
        <w:rPr>
          <w:rFonts w:ascii="Arial" w:hAnsi="Arial"/>
          <w:sz w:val="22"/>
        </w:rPr>
        <w:t>, que gestiona la revisión individual de cada intento. Ambas son Client Components que ejecutan la misma secuencia de verificación al montarse:</w:t>
      </w:r>
    </w:p>
    <w:p>
      <w:pPr>
        <w:pStyle w:val="CodeBlock"/>
        <w:shd w:val="clear" w:color="auto" w:fill="F2F2F2"/>
      </w:pPr>
      <w:r>
        <w:t>// app/admin/page.tsx — verificación inicial</w:t>
        <w:br/>
        <w:t>supabase.auth.getSession().then(async ({ data }) =&gt; {</w:t>
        <w:br/>
        <w:t xml:space="preserve">  if (!data.session) { router.replace("/login"); return; }</w:t>
        <w:br/>
        <w:t xml:space="preserve">  const role = await getRoleForSession(supabase);</w:t>
        <w:br/>
        <w:t xml:space="preserve">  if (role !== "admin") { router.replace("/panel"); return; }</w:t>
        <w:br/>
        <w:t xml:space="preserve">  setToken(data.session.access_token);</w:t>
        <w:br/>
        <w:t xml:space="preserve">  setLoading(false);</w:t>
        <w:br/>
        <w:t>});</w:t>
      </w:r>
    </w:p>
    <w:p>
      <w:pPr>
        <w:jc w:val="both"/>
      </w:pPr>
      <w:r>
        <w:rPr>
          <w:rFonts w:ascii="Arial" w:hAnsi="Arial"/>
          <w:sz w:val="22"/>
        </w:rP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rPr>
          <w:rFonts w:ascii="Arial" w:hAnsi="Arial"/>
          <w:sz w:val="22"/>
        </w:rPr>
        <w:t>. Para esto se define un helper interno:</w:t>
      </w:r>
    </w:p>
    <w:p>
      <w:pPr>
        <w:pStyle w:val="CodeBlock"/>
        <w:shd w:val="clear" w:color="auto" w:fill="F2F2F2"/>
      </w:pPr>
      <w:r>
        <w:t>// app/admin/page.tsx — helper de petición autenticada</w:t>
        <w:br/>
        <w:t>const callAdmin = async &lt;T,&gt;(path: string, init?: RequestInit): Promise&lt;T&gt; =&gt; {</w:t>
        <w:br/>
        <w:t xml:space="preserve">  if (!token) throw new Error("Sin sesión");</w:t>
        <w:br/>
        <w:t xml:space="preserve">  const response = await fetch(path, {</w:t>
        <w:br/>
        <w:t xml:space="preserve">    ...init,</w:t>
        <w:br/>
        <w:t xml:space="preserve">    headers: { "Content-Type": "application/json", authorization: `Bearer ${token}`, ...(init?.headers ?? {}) },</w:t>
        <w:br/>
        <w:t xml:space="preserve">  });</w:t>
        <w:br/>
        <w:t xml:space="preserve">  const json = (await response.json().catch(() =&gt; ({}))) as T &amp; { error?: string };</w:t>
        <w:br/>
        <w:t xml:space="preserve">  if (!response.ok) throw new Error(json.error ?? "Error inesperado");</w:t>
        <w:br/>
        <w:t xml:space="preserve">  return json;</w:t>
        <w:br/>
        <w:t>};</w:t>
      </w:r>
    </w:p>
    <w:p>
      <w:pPr>
        <w:jc w:val="both"/>
      </w:pPr>
      <w:r>
        <w:rPr>
          <w:rFonts w:ascii="Arial" w:hAnsi="Arial"/>
          <w:sz w:val="22"/>
        </w:rPr>
        <w:t>Este helper centraliza el manejo del token y el lanzamiento de errores, reduciendo la duplicación en las llamadas individuales a cada endpoint.</w:t>
      </w:r>
    </w:p>
    <w:p>
      <w:pPr>
        <w:pStyle w:val="Heading3"/>
      </w:pPr>
      <w:r>
        <w:t>5.9.2 Estructura de navegación por pestañas</w:t>
      </w:r>
    </w:p>
    <w:p>
      <w:pPr>
        <w:jc w:val="center"/>
      </w:pPr>
      <w:r>
        <w:drawing>
          <wp:inline xmlns:a="http://schemas.openxmlformats.org/drawingml/2006/main" xmlns:pic="http://schemas.openxmlformats.org/drawingml/2006/picture">
            <wp:extent cx="5040000" cy="3150000"/>
            <wp:docPr id="27" name="Picture 27"/>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El panel organiza sus funciones en cinco pestañas: </w:t>
      </w:r>
      <w:r>
        <w:rPr>
          <w:rFonts w:ascii="Courier New" w:hAnsi="Courier New"/>
          <w:sz w:val="18"/>
        </w:rPr>
        <w:t>resumen</w:t>
      </w:r>
      <w:r>
        <w:rPr>
          <w:rFonts w:ascii="Arial" w:hAnsi="Arial"/>
          <w:sz w:val="22"/>
        </w:rPr>
        <w:t xml:space="preserve">, </w:t>
      </w:r>
      <w:r>
        <w:rPr>
          <w:rFonts w:ascii="Courier New" w:hAnsi="Courier New"/>
          <w:sz w:val="18"/>
        </w:rPr>
        <w:t>modulos</w:t>
      </w:r>
      <w:r>
        <w:rPr>
          <w:rFonts w:ascii="Arial" w:hAnsi="Arial"/>
          <w:sz w:val="22"/>
        </w:rPr>
        <w:t xml:space="preserve">, </w:t>
      </w:r>
      <w:r>
        <w:rPr>
          <w:rFonts w:ascii="Courier New" w:hAnsi="Courier New"/>
          <w:sz w:val="18"/>
        </w:rPr>
        <w:t>vacantes</w:t>
      </w:r>
      <w:r>
        <w:rPr>
          <w:rFonts w:ascii="Arial" w:hAnsi="Arial"/>
          <w:sz w:val="22"/>
        </w:rPr>
        <w:t xml:space="preserve">, </w:t>
      </w:r>
      <w:r>
        <w:rPr>
          <w:rFonts w:ascii="Courier New" w:hAnsi="Courier New"/>
          <w:sz w:val="18"/>
        </w:rPr>
        <w:t>evaluaciones</w:t>
      </w:r>
      <w:r>
        <w:rPr>
          <w:rFonts w:ascii="Arial" w:hAnsi="Arial"/>
          <w:sz w:val="22"/>
        </w:rPr>
        <w:t xml:space="preserve"> e </w:t>
      </w:r>
      <w:r>
        <w:rPr>
          <w:rFonts w:ascii="Courier New" w:hAnsi="Courier New"/>
          <w:sz w:val="18"/>
        </w:rPr>
        <w:t>intentos</w:t>
      </w:r>
      <w:r>
        <w:rPr>
          <w:rFonts w:ascii="Arial" w:hAnsi="Arial"/>
          <w:sz w:val="22"/>
        </w:rPr>
        <w:t xml:space="preserve">. La navegación entre ellas no implica cambios de ruta: el estado </w:t>
      </w:r>
      <w:r>
        <w:rPr>
          <w:rFonts w:ascii="Courier New" w:hAnsi="Courier New"/>
          <w:sz w:val="18"/>
        </w:rPr>
        <w:t>activeTab</w:t>
      </w:r>
      <w:r>
        <w:rPr>
          <w:rFonts w:ascii="Arial" w:hAnsi="Arial"/>
          <w:sz w:val="22"/>
        </w:rPr>
        <w:t xml:space="preserve"> determina qué sección se renderiza dentro del mismo componente.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Pestaña</w:t>
            </w:r>
          </w:p>
        </w:tc>
        <w:tc>
          <w:tcPr>
            <w:tcW w:type="dxa" w:w="3041"/>
          </w:tcPr>
          <w:p>
            <w:pPr>
              <w:spacing w:before="40" w:after="40"/>
            </w:pPr>
            <w:r>
              <w:rPr>
                <w:b/>
                <w:sz w:val="20"/>
              </w:rPr>
              <w:t>Función principal</w:t>
            </w:r>
          </w:p>
        </w:tc>
        <w:tc>
          <w:tcPr>
            <w:tcW w:type="dxa" w:w="3041"/>
          </w:tcPr>
          <w:p>
            <w:pPr>
              <w:spacing w:before="40" w:after="40"/>
            </w:pPr>
            <w:r>
              <w:rPr>
                <w:b/>
                <w:sz w:val="20"/>
              </w:rPr>
              <w:t>Endpoints consumidos</w:t>
            </w:r>
          </w:p>
        </w:tc>
      </w:tr>
      <w:tr>
        <w:tc>
          <w:tcPr>
            <w:tcW w:type="dxa" w:w="3041"/>
          </w:tcPr>
          <w:p>
            <w:pPr>
              <w:spacing w:before="40" w:after="40"/>
            </w:pPr>
            <w:r>
              <w:rPr>
                <w:rFonts w:ascii="Arial" w:hAnsi="Arial"/>
                <w:sz w:val="20"/>
              </w:rPr>
              <w:t>Resumen</w:t>
            </w:r>
          </w:p>
        </w:tc>
        <w:tc>
          <w:tcPr>
            <w:tcW w:type="dxa" w:w="3041"/>
          </w:tcPr>
          <w:p>
            <w:pPr>
              <w:spacing w:before="40" w:after="40"/>
            </w:pPr>
            <w:r>
              <w:rPr>
                <w:rFonts w:ascii="Arial" w:hAnsi="Arial"/>
                <w:sz w:val="20"/>
              </w:rPr>
              <w:t>Contadores globales y últimos 5 intentos</w:t>
            </w:r>
          </w:p>
        </w:tc>
        <w:tc>
          <w:tcPr>
            <w:tcW w:type="dxa" w:w="3041"/>
          </w:tcPr>
          <w:p>
            <w:pPr>
              <w:spacing w:before="40" w:after="40"/>
            </w:pPr>
            <w:r>
              <w:rPr>
                <w:rFonts w:ascii="Arial" w:hAnsi="Arial"/>
                <w:sz w:val="20"/>
              </w:rPr>
              <w:t>Todos (carga paralela)</w:t>
            </w:r>
          </w:p>
        </w:tc>
      </w:tr>
      <w:tr>
        <w:tc>
          <w:tcPr>
            <w:tcW w:type="dxa" w:w="3041"/>
          </w:tcPr>
          <w:p>
            <w:pPr>
              <w:spacing w:before="40" w:after="40"/>
            </w:pPr>
            <w:r>
              <w:rPr>
                <w:rFonts w:ascii="Arial" w:hAnsi="Arial"/>
                <w:sz w:val="20"/>
              </w:rPr>
              <w:t>Módulos</w:t>
            </w:r>
          </w:p>
        </w:tc>
        <w:tc>
          <w:tcPr>
            <w:tcW w:type="dxa" w:w="3041"/>
          </w:tcPr>
          <w:p>
            <w:pPr>
              <w:spacing w:before="40" w:after="40"/>
            </w:pPr>
            <w:r>
              <w:rPr>
                <w:rFonts w:ascii="Arial" w:hAnsi="Arial"/>
                <w:sz w:val="20"/>
              </w:rPr>
              <w:t>CRUD de módulos</w:t>
            </w:r>
          </w:p>
        </w:tc>
        <w:tc>
          <w:tcPr>
            <w:tcW w:type="dxa" w:w="3041"/>
          </w:tcPr>
          <w:p>
            <w:pPr>
              <w:spacing w:before="40" w:after="40"/>
            </w:pPr>
            <w:r>
              <w:rPr>
                <w:rFonts w:ascii="Courier New" w:hAnsi="Courier New"/>
                <w:sz w:val="20"/>
              </w:rPr>
              <w:t>GET/POST /api/admin/modules</w:t>
            </w:r>
            <w:r>
              <w:rPr>
                <w:rFonts w:ascii="Arial" w:hAnsi="Arial"/>
                <w:sz w:val="20"/>
              </w:rPr>
              <w:t xml:space="preserve">, </w:t>
            </w:r>
            <w:r>
              <w:rPr>
                <w:rFonts w:ascii="Courier New" w:hAnsi="Courier New"/>
                <w:sz w:val="20"/>
              </w:rPr>
              <w:t>PATCH /api/admin/modules/[id]</w:t>
            </w:r>
          </w:p>
        </w:tc>
      </w:tr>
      <w:tr>
        <w:tc>
          <w:tcPr>
            <w:tcW w:type="dxa" w:w="3041"/>
          </w:tcPr>
          <w:p>
            <w:pPr>
              <w:spacing w:before="40" w:after="40"/>
            </w:pPr>
            <w:r>
              <w:rPr>
                <w:rFonts w:ascii="Arial" w:hAnsi="Arial"/>
                <w:sz w:val="20"/>
              </w:rPr>
              <w:t>Vacantes</w:t>
            </w:r>
          </w:p>
        </w:tc>
        <w:tc>
          <w:tcPr>
            <w:tcW w:type="dxa" w:w="3041"/>
          </w:tcPr>
          <w:p>
            <w:pPr>
              <w:spacing w:before="40" w:after="40"/>
            </w:pPr>
            <w:r>
              <w:rPr>
                <w:rFonts w:ascii="Arial" w:hAnsi="Arial"/>
                <w:sz w:val="20"/>
              </w:rPr>
              <w:t>CRUD de vacantes con filtro</w:t>
            </w:r>
          </w:p>
        </w:tc>
        <w:tc>
          <w:tcPr>
            <w:tcW w:type="dxa" w:w="3041"/>
          </w:tcPr>
          <w:p>
            <w:pPr>
              <w:spacing w:before="40" w:after="40"/>
            </w:pPr>
            <w:r>
              <w:rPr>
                <w:rFonts w:ascii="Courier New" w:hAnsi="Courier New"/>
                <w:sz w:val="20"/>
              </w:rPr>
              <w:t>GET/POST /api/admin/vacancies</w:t>
            </w:r>
            <w:r>
              <w:rPr>
                <w:rFonts w:ascii="Arial" w:hAnsi="Arial"/>
                <w:sz w:val="20"/>
              </w:rPr>
              <w:t xml:space="preserve">, </w:t>
            </w:r>
            <w:r>
              <w:rPr>
                <w:rFonts w:ascii="Courier New" w:hAnsi="Courier New"/>
                <w:sz w:val="20"/>
              </w:rPr>
              <w:t>PATCH/DELETE /api/admin/vacancies/[id]</w:t>
            </w:r>
          </w:p>
        </w:tc>
      </w:tr>
      <w:tr>
        <w:tc>
          <w:tcPr>
            <w:tcW w:type="dxa" w:w="3041"/>
          </w:tcPr>
          <w:p>
            <w:pPr>
              <w:spacing w:before="40" w:after="40"/>
            </w:pPr>
            <w:r>
              <w:rPr>
                <w:rFonts w:ascii="Arial" w:hAnsi="Arial"/>
                <w:sz w:val="20"/>
              </w:rPr>
              <w:t>Evaluaciones</w:t>
            </w:r>
          </w:p>
        </w:tc>
        <w:tc>
          <w:tcPr>
            <w:tcW w:type="dxa" w:w="3041"/>
          </w:tcPr>
          <w:p>
            <w:pPr>
              <w:spacing w:before="40" w:after="40"/>
            </w:pPr>
            <w:r>
              <w:rPr>
                <w:rFonts w:ascii="Arial" w:hAnsi="Arial"/>
                <w:sz w:val="20"/>
              </w:rPr>
              <w:t>Edición de evaluaciones y CRUD de preguntas</w:t>
            </w:r>
          </w:p>
        </w:tc>
        <w:tc>
          <w:tcPr>
            <w:tcW w:type="dxa" w:w="3041"/>
          </w:tcPr>
          <w:p>
            <w:pPr>
              <w:spacing w:before="40" w:after="40"/>
            </w:pPr>
            <w:r>
              <w:rPr>
                <w:rFonts w:ascii="Courier New" w:hAnsi="Courier New"/>
                <w:sz w:val="20"/>
              </w:rPr>
              <w:t>PATCH /api/admin/assessments/[id]</w:t>
            </w:r>
            <w:r>
              <w:rPr>
                <w:rFonts w:ascii="Arial" w:hAnsi="Arial"/>
                <w:sz w:val="20"/>
              </w:rPr>
              <w:t xml:space="preserve">, </w:t>
            </w:r>
            <w:r>
              <w:rPr>
                <w:rFonts w:ascii="Courier New" w:hAnsi="Courier New"/>
                <w:sz w:val="20"/>
              </w:rPr>
              <w:t>GET/POST /api/admin/assessments/[id]/questions</w:t>
            </w:r>
            <w:r>
              <w:rPr>
                <w:rFonts w:ascii="Arial" w:hAnsi="Arial"/>
                <w:sz w:val="20"/>
              </w:rPr>
              <w:t xml:space="preserve">, </w:t>
            </w:r>
            <w:r>
              <w:rPr>
                <w:rFonts w:ascii="Courier New" w:hAnsi="Courier New"/>
                <w:sz w:val="20"/>
              </w:rPr>
              <w:t>PATCH/DELETE /api/admin/questions/[id]</w:t>
            </w:r>
          </w:p>
        </w:tc>
      </w:tr>
      <w:tr>
        <w:tc>
          <w:tcPr>
            <w:tcW w:type="dxa" w:w="3041"/>
          </w:tcPr>
          <w:p>
            <w:pPr>
              <w:spacing w:before="40" w:after="40"/>
            </w:pPr>
            <w:r>
              <w:rPr>
                <w:rFonts w:ascii="Arial" w:hAnsi="Arial"/>
                <w:sz w:val="20"/>
              </w:rPr>
              <w:t>Intentos</w:t>
            </w:r>
          </w:p>
        </w:tc>
        <w:tc>
          <w:tcPr>
            <w:tcW w:type="dxa" w:w="3041"/>
          </w:tcPr>
          <w:p>
            <w:pPr>
              <w:spacing w:before="40" w:after="40"/>
            </w:pPr>
            <w:r>
              <w:rPr>
                <w:rFonts w:ascii="Arial" w:hAnsi="Arial"/>
                <w:sz w:val="20"/>
              </w:rPr>
              <w:t>Lista filtrable de intentos con acceso al detalle</w:t>
            </w:r>
          </w:p>
        </w:tc>
        <w:tc>
          <w:tcPr>
            <w:tcW w:type="dxa" w:w="3041"/>
          </w:tcPr>
          <w:p>
            <w:pPr>
              <w:spacing w:before="40" w:after="40"/>
            </w:pPr>
            <w:r>
              <w:rPr>
                <w:rFonts w:ascii="Courier New" w:hAnsi="Courier New"/>
                <w:sz w:val="20"/>
              </w:rPr>
              <w:t>GET /api/admin/attempts</w:t>
            </w:r>
            <w:r>
              <w:rPr>
                <w:rFonts w:ascii="Arial" w:hAnsi="Arial"/>
                <w:sz w:val="20"/>
              </w:rPr>
              <w:t xml:space="preserve">, </w:t>
            </w:r>
            <w:r>
              <w:rPr>
                <w:rFonts w:ascii="Courier New" w:hAnsi="Courier New"/>
                <w:sz w:val="20"/>
              </w:rPr>
              <w:t>→ /admin/attempts/[id]</w:t>
            </w:r>
          </w:p>
        </w:tc>
      </w:tr>
    </w:tbl>
    <w:p/>
    <w:p>
      <w:pPr>
        <w:jc w:val="both"/>
      </w:pPr>
      <w:r>
        <w:rPr>
          <w:rFonts w:ascii="Arial" w:hAnsi="Arial"/>
          <w:sz w:val="22"/>
        </w:rPr>
        <w:t xml:space="preserve">Al inicializarse el panel, se cargan los cuatro conjuntos de datos en paralelo mediante </w:t>
      </w:r>
      <w:r>
        <w:rPr>
          <w:rFonts w:ascii="Courier New" w:hAnsi="Courier New"/>
          <w:sz w:val="18"/>
        </w:rPr>
        <w:t>Promise.all([loadModules(), loadVacancies(), loadAssessments(), loadAttempts()])</w:t>
      </w:r>
      <w:r>
        <w:rPr>
          <w:rFonts w:ascii="Arial" w:hAnsi="Arial"/>
          <w:sz w:val="22"/>
        </w:rPr>
        <w:t>. Esta carga en paralelo reduce el tiempo de espera inicial al eliminar la dependencia secuencial entre las cuatro solicitudes.</w:t>
      </w:r>
    </w:p>
    <w:p>
      <w:pPr>
        <w:pStyle w:val="Heading3"/>
      </w:pPr>
      <w:r>
        <w:t>5.9.3 Gestión de módulos (RF-13)</w:t>
      </w:r>
    </w:p>
    <w:p>
      <w:pPr>
        <w:jc w:val="center"/>
      </w:pPr>
      <w:r>
        <w:drawing>
          <wp:inline xmlns:a="http://schemas.openxmlformats.org/drawingml/2006/main" xmlns:pic="http://schemas.openxmlformats.org/drawingml/2006/picture">
            <wp:extent cx="5040000" cy="3150000"/>
            <wp:docPr id="28" name="Picture 28"/>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Los módulos son las unidades organizativas que agrupan vacantes. El endpoint </w:t>
      </w:r>
      <w:r>
        <w:rPr>
          <w:rFonts w:ascii="Courier New" w:hAnsi="Courier New"/>
          <w:sz w:val="18"/>
        </w:rPr>
        <w:t>GET /api/admin/modules</w:t>
      </w:r>
      <w:r>
        <w:rPr>
          <w:rFonts w:ascii="Arial" w:hAnsi="Arial"/>
          <w:sz w:val="22"/>
        </w:rPr>
        <w:t xml:space="preserve"> acepta un parámetro de búsqueda opcional </w:t>
      </w:r>
      <w:r>
        <w:rPr>
          <w:rFonts w:ascii="Courier New" w:hAnsi="Courier New"/>
          <w:sz w:val="18"/>
        </w:rPr>
        <w:t>?search=</w:t>
      </w:r>
      <w:r>
        <w:rPr>
          <w:rFonts w:ascii="Arial" w:hAnsi="Arial"/>
          <w:sz w:val="22"/>
        </w:rPr>
        <w:t xml:space="preserve"> que aplica un filtro </w:t>
      </w:r>
      <w:r>
        <w:rPr>
          <w:rFonts w:ascii="Courier New" w:hAnsi="Courier New"/>
          <w:sz w:val="18"/>
        </w:rPr>
        <w:t>ILIKE</w:t>
      </w:r>
      <w:r>
        <w:rPr>
          <w:rFonts w:ascii="Arial" w:hAnsi="Arial"/>
          <w:sz w:val="22"/>
        </w:rPr>
        <w:t xml:space="preserve"> sobre el nombre. La creación y edición se realizan con un formulario único: cuando el campo </w:t>
      </w:r>
      <w:r>
        <w:rPr>
          <w:rFonts w:ascii="Courier New" w:hAnsi="Courier New"/>
          <w:sz w:val="18"/>
        </w:rPr>
        <w:t>id</w:t>
      </w:r>
      <w:r>
        <w:rPr>
          <w:rFonts w:ascii="Arial" w:hAnsi="Arial"/>
          <w:sz w:val="22"/>
        </w:rPr>
        <w:t xml:space="preserve"> del formulario está vacío, se ejecuta </w:t>
      </w:r>
      <w:r>
        <w:rPr>
          <w:rFonts w:ascii="Courier New" w:hAnsi="Courier New"/>
          <w:sz w:val="18"/>
        </w:rPr>
        <w:t>POST</w:t>
      </w:r>
      <w:r>
        <w:rPr>
          <w:rFonts w:ascii="Arial" w:hAnsi="Arial"/>
          <w:sz w:val="22"/>
        </w:rPr>
        <w:t xml:space="preserve">; cuando contiene el ID de un módulo existente, se ejecuta </w:t>
      </w:r>
      <w:r>
        <w:rPr>
          <w:rFonts w:ascii="Courier New" w:hAnsi="Courier New"/>
          <w:sz w:val="18"/>
        </w:rPr>
        <w:t>PATCH</w:t>
      </w:r>
      <w:r>
        <w:rPr>
          <w:rFonts w:ascii="Arial" w:hAnsi="Arial"/>
          <w:sz w:val="22"/>
        </w:rPr>
        <w:t>.</w:t>
      </w:r>
    </w:p>
    <w:p>
      <w:pPr>
        <w:jc w:val="both"/>
      </w:pPr>
      <w:r>
        <w:rPr>
          <w:rFonts w:ascii="Arial" w:hAnsi="Arial"/>
          <w:sz w:val="22"/>
        </w:rPr>
        <w:t xml:space="preserve">La implementación del endpoint POST incluye un mecanismo de tolerancia para la columna </w:t>
      </w:r>
      <w:r>
        <w:rPr>
          <w:rFonts w:ascii="Courier New" w:hAnsi="Courier New"/>
          <w:sz w:val="18"/>
        </w:rPr>
        <w:t>sort_order</w:t>
      </w:r>
      <w:r>
        <w:rPr>
          <w:rFonts w:ascii="Arial" w:hAnsi="Arial"/>
          <w:sz w:val="22"/>
        </w:rP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pPr>
        <w:pStyle w:val="Heading3"/>
      </w:pPr>
      <w:r>
        <w:t>5.9.4 Gestión de vacantes (RF-14)</w:t>
      </w:r>
    </w:p>
    <w:p>
      <w:pPr>
        <w:jc w:val="center"/>
      </w:pPr>
      <w:r>
        <w:drawing>
          <wp:inline xmlns:a="http://schemas.openxmlformats.org/drawingml/2006/main" xmlns:pic="http://schemas.openxmlformats.org/drawingml/2006/picture">
            <wp:extent cx="5040000" cy="3150000"/>
            <wp:docPr id="29" name="Picture 29"/>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El proceso de creación de una vacante involucra dos operaciones coordinadas en el servidor: primero se crea el registro en </w:t>
      </w:r>
      <w:r>
        <w:rPr>
          <w:rFonts w:ascii="Courier New" w:hAnsi="Courier New"/>
          <w:sz w:val="18"/>
        </w:rPr>
        <w:t>vacancies</w:t>
      </w:r>
      <w:r>
        <w:rPr>
          <w:rFonts w:ascii="Arial" w:hAnsi="Arial"/>
          <w:sz w:val="22"/>
        </w:rPr>
        <w:t xml:space="preserve"> y, si la inserción es exitosa, se crea automáticamente una evaluación base asociada en </w:t>
      </w:r>
      <w:r>
        <w:rPr>
          <w:rFonts w:ascii="Courier New" w:hAnsi="Courier New"/>
          <w:sz w:val="18"/>
        </w:rPr>
        <w:t>assessments</w:t>
      </w:r>
      <w:r>
        <w:rPr>
          <w:rFonts w:ascii="Arial" w:hAnsi="Arial"/>
          <w:sz w:val="22"/>
        </w:rPr>
        <w:t>:</w:t>
      </w:r>
    </w:p>
    <w:p>
      <w:pPr>
        <w:pStyle w:val="CodeBlock"/>
        <w:shd w:val="clear" w:color="auto" w:fill="F2F2F2"/>
      </w:pPr>
      <w:r>
        <w:t>// app/api/admin/vacancies/route.ts — POST handler</w:t>
        <w:br/>
        <w:t>const vacancyResponse = await admin.supabase.from("vacancies").insert(payload).select("*").single();</w:t>
        <w:br/>
        <w:t>// ...</w:t>
        <w:br/>
        <w:t>const assessmentResponse = await admin.supabase.from("assessments").insert({</w:t>
        <w:br/>
        <w:t xml:space="preserve">  vacancy_id: vacancyResponse.data.id,</w:t>
        <w:br/>
        <w:t xml:space="preserve">  title: `Evaluación - ${vacancyResponse.data.title}`,</w:t>
        <w:br/>
        <w:t xml:space="preserve">  duration_minutes: 30,</w:t>
        <w:br/>
        <w:t>}).select("*").single();</w:t>
        <w:br/>
        <w:br/>
        <w:t>if (assessmentResponse.error) {</w:t>
        <w:br/>
        <w:t xml:space="preserve">  await admin.supabase.from("vacancies").delete().eq("id", vacancyResponse.data.id);</w:t>
        <w:br/>
        <w:t xml:space="preserve">  return NextResponse.json({ error: "No se pudo crear la evaluación automática" }, { status: 400 });</w:t>
        <w:br/>
        <w:t>}</w:t>
      </w:r>
    </w:p>
    <w:p>
      <w:pPr>
        <w:jc w:val="both"/>
      </w:pPr>
      <w:r>
        <w:rPr>
          <w:rFonts w:ascii="Arial" w:hAnsi="Arial"/>
          <w:sz w:val="22"/>
        </w:rP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pPr>
        <w:jc w:val="both"/>
      </w:pPr>
      <w:r>
        <w:rPr>
          <w:rFonts w:ascii="Arial" w:hAnsi="Arial"/>
          <w:sz w:val="22"/>
        </w:rPr>
        <w:t xml:space="preserve">Los estados de vacante disponibles son </w:t>
      </w:r>
      <w:r>
        <w:rPr>
          <w:rFonts w:ascii="Courier New" w:hAnsi="Courier New"/>
          <w:sz w:val="18"/>
        </w:rPr>
        <w:t>open</w:t>
      </w:r>
      <w:r>
        <w:rPr>
          <w:rFonts w:ascii="Arial" w:hAnsi="Arial"/>
          <w:sz w:val="22"/>
        </w:rPr>
        <w:t xml:space="preserve">, </w:t>
      </w:r>
      <w:r>
        <w:rPr>
          <w:rFonts w:ascii="Courier New" w:hAnsi="Courier New"/>
          <w:sz w:val="18"/>
        </w:rPr>
        <w:t>closed</w:t>
      </w:r>
      <w:r>
        <w:rPr>
          <w:rFonts w:ascii="Arial" w:hAnsi="Arial"/>
          <w:sz w:val="22"/>
        </w:rPr>
        <w:t xml:space="preserve"> y </w:t>
      </w:r>
      <w:r>
        <w:rPr>
          <w:rFonts w:ascii="Courier New" w:hAnsi="Courier New"/>
          <w:sz w:val="18"/>
        </w:rPr>
        <w:t>draft</w:t>
      </w:r>
      <w:r>
        <w:rPr>
          <w:rFonts w:ascii="Arial" w:hAnsi="Arial"/>
          <w:sz w:val="22"/>
        </w:rPr>
        <w:t xml:space="preserve">. El estado por defecto al crear es </w:t>
      </w:r>
      <w:r>
        <w:rPr>
          <w:rFonts w:ascii="Courier New" w:hAnsi="Courier New"/>
          <w:sz w:val="18"/>
        </w:rPr>
        <w:t>open</w:t>
      </w:r>
      <w:r>
        <w:rPr>
          <w:rFonts w:ascii="Arial" w:hAnsi="Arial"/>
          <w:sz w:val="22"/>
        </w:rPr>
        <w:t xml:space="preserve">. La interfaz ofrece un botón dedicado para cerrar directamente una vacante sin abrir el formulario de edición. La vacante marcada como </w:t>
      </w:r>
      <w:r>
        <w:rPr>
          <w:rFonts w:ascii="Courier New" w:hAnsi="Courier New"/>
          <w:sz w:val="18"/>
        </w:rPr>
        <w:t>draft</w:t>
      </w:r>
      <w:r>
        <w:rPr>
          <w:rFonts w:ascii="Arial" w:hAnsi="Arial"/>
          <w:sz w:val="22"/>
        </w:rPr>
        <w:t xml:space="preserve"> no aparece en el catálogo visible para los candidatos.</w:t>
      </w:r>
    </w:p>
    <w:p>
      <w:pPr>
        <w:pStyle w:val="Heading3"/>
      </w:pPr>
      <w:r>
        <w:t>5.9.5 Configuración de evaluaciones y preguntas (RF-15, RF-16)</w:t>
      </w:r>
    </w:p>
    <w:p>
      <w:pPr>
        <w:jc w:val="center"/>
      </w:pPr>
      <w:r>
        <w:drawing>
          <wp:inline xmlns:a="http://schemas.openxmlformats.org/drawingml/2006/main" xmlns:pic="http://schemas.openxmlformats.org/drawingml/2006/picture">
            <wp:extent cx="5040000" cy="3150000"/>
            <wp:docPr id="30" name="Picture 30"/>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La edición de una evaluación se limita al título y la duración en minutos mediante </w:t>
      </w:r>
      <w:r>
        <w:rPr>
          <w:rFonts w:ascii="Courier New" w:hAnsi="Courier New"/>
          <w:sz w:val="18"/>
        </w:rPr>
        <w:t>PATCH /api/admin/assessments/[id]</w:t>
      </w:r>
      <w:r>
        <w:rPr>
          <w:rFonts w:ascii="Arial" w:hAnsi="Arial"/>
          <w:sz w:val="22"/>
        </w:rPr>
        <w:t>. La duración determina el tiempo que tendrá el candidato desde que inicia el intento.</w:t>
      </w:r>
    </w:p>
    <w:p>
      <w:pPr>
        <w:jc w:val="both"/>
      </w:pPr>
      <w:r>
        <w:rPr>
          <w:rFonts w:ascii="Arial" w:hAnsi="Arial"/>
          <w:sz w:val="22"/>
        </w:rPr>
        <w:t>Las preguntas se crean desde la vista de evaluaciones con tres campos: el texto de la pregunta (</w:t>
      </w:r>
      <w:r>
        <w:rPr>
          <w:rFonts w:ascii="Courier New" w:hAnsi="Courier New"/>
          <w:sz w:val="18"/>
        </w:rPr>
        <w:t>prompt</w:t>
      </w:r>
      <w:r>
        <w:rPr>
          <w:rFonts w:ascii="Arial" w:hAnsi="Arial"/>
          <w:sz w:val="22"/>
        </w:rPr>
        <w:t>), las opciones de respuesta (ingresadas como texto separado por comas o saltos de línea y convertidas a arreglo JSON), y la opción correcta (</w:t>
      </w:r>
      <w:r>
        <w:rPr>
          <w:rFonts w:ascii="Courier New" w:hAnsi="Courier New"/>
          <w:sz w:val="18"/>
        </w:rPr>
        <w:t>correct_option</w:t>
      </w:r>
      <w:r>
        <w:rPr>
          <w:rFonts w:ascii="Arial" w:hAnsi="Arial"/>
          <w:sz w:val="22"/>
        </w:rPr>
        <w:t>). Las opciones se normalizan en el cliente mediante:</w:t>
      </w:r>
    </w:p>
    <w:p>
      <w:pPr>
        <w:pStyle w:val="CodeBlock"/>
        <w:shd w:val="clear" w:color="auto" w:fill="F2F2F2"/>
      </w:pPr>
      <w:r>
        <w:t>const parseOptionsInput = (text: string): string[] =&gt;</w:t>
        <w:br/>
        <w:t xml:space="preserve">  text.split(/[\n,]/).map((option) =&gt; option.trim()).filter(Boolean);</w:t>
      </w:r>
    </w:p>
    <w:p>
      <w:pPr>
        <w:jc w:val="both"/>
      </w:pPr>
      <w:r>
        <w:rPr>
          <w:rFonts w:ascii="Arial" w:hAnsi="Arial"/>
          <w:sz w:val="22"/>
        </w:rPr>
        <w:t>Esta normalización acepta tanto listas separadas por coma como entradas en múltiples renglones, reduciendo la fricción para el administrador al ingresar las opciones.</w:t>
      </w:r>
    </w:p>
    <w:p>
      <w:pPr>
        <w:jc w:val="both"/>
      </w:pPr>
      <w:r>
        <w:rPr>
          <w:rFonts w:ascii="Arial" w:hAnsi="Arial"/>
          <w:sz w:val="22"/>
        </w:rPr>
        <w:t xml:space="preserve">Cuando se muestra una pregunta existente, la función </w:t>
      </w:r>
      <w:r>
        <w:rPr>
          <w:rFonts w:ascii="Courier New" w:hAnsi="Courier New"/>
          <w:sz w:val="18"/>
        </w:rPr>
        <w:t>normalizeOptions()</w:t>
      </w:r>
      <w:r>
        <w:rPr>
          <w:rFonts w:ascii="Arial" w:hAnsi="Arial"/>
          <w:sz w:val="22"/>
        </w:rP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pPr>
        <w:jc w:val="both"/>
      </w:pPr>
      <w:r>
        <w:rPr>
          <w:rFonts w:ascii="Arial" w:hAnsi="Arial"/>
          <w:sz w:val="22"/>
        </w:rPr>
        <w:t xml:space="preserve">Las preguntas del cuestionario psicométrico tienen un formato especial de prompt que las identifica ante el sistema de cálculo: </w:t>
      </w:r>
      <w:r>
        <w:rPr>
          <w:rFonts w:ascii="Courier New" w:hAnsi="Courier New"/>
          <w:sz w:val="18"/>
        </w:rPr>
        <w:t>MINI_BIG_FIVE | [RASGO] | [texto de la pregunta]</w:t>
      </w:r>
      <w:r>
        <w:rPr>
          <w:rFonts w:ascii="Arial" w:hAnsi="Arial"/>
          <w:sz w:val="22"/>
        </w:rPr>
        <w:t xml:space="preserve">. Este prefijo no es visible para el candidato durante la evaluación, pero es el mecanismo mediante el cual la función </w:t>
      </w:r>
      <w:r>
        <w:rPr>
          <w:rFonts w:ascii="Courier New" w:hAnsi="Courier New"/>
          <w:sz w:val="18"/>
        </w:rPr>
        <w:t>calculatePsicometricoSummary()</w:t>
      </w:r>
      <w:r>
        <w:rPr>
          <w:rFonts w:ascii="Arial" w:hAnsi="Arial"/>
          <w:sz w:val="22"/>
        </w:rPr>
        <w:t xml:space="preserve"> agrupa las respuestas por rasgo.</w:t>
      </w:r>
    </w:p>
    <w:p>
      <w:pPr>
        <w:pStyle w:val="Heading3"/>
      </w:pPr>
      <w:r>
        <w:t>5.9.6 Consulta de postulaciones e intentos (RF-17)</w:t>
      </w:r>
    </w:p>
    <w:p>
      <w:pPr>
        <w:jc w:val="center"/>
      </w:pPr>
      <w:r>
        <w:drawing>
          <wp:inline xmlns:a="http://schemas.openxmlformats.org/drawingml/2006/main" xmlns:pic="http://schemas.openxmlformats.org/drawingml/2006/picture">
            <wp:extent cx="5040000" cy="3150000"/>
            <wp:docPr id="31" name="Picture 31"/>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La pestaña de intentos muestra todos los registros de la tabla </w:t>
      </w:r>
      <w:r>
        <w:rPr>
          <w:rFonts w:ascii="Courier New" w:hAnsi="Courier New"/>
          <w:sz w:val="18"/>
        </w:rPr>
        <w:t>attempts</w:t>
      </w:r>
      <w:r>
        <w:rPr>
          <w:rFonts w:ascii="Arial" w:hAnsi="Arial"/>
          <w:sz w:val="22"/>
        </w:rPr>
        <w:t xml:space="preserve"> con información del candidato y la vacante mediante una consulta con relaciones anidadas:</w:t>
      </w:r>
    </w:p>
    <w:p>
      <w:pPr>
        <w:pStyle w:val="CodeBlock"/>
        <w:shd w:val="clear" w:color="auto" w:fill="F2F2F2"/>
      </w:pPr>
      <w:r>
        <w:t>// app/api/admin/attempts/route.ts</w:t>
        <w:br/>
        <w:t>admin.supabase.from("attempts")</w:t>
        <w:br/>
        <w:t xml:space="preserve">  .select("id, status, started_at, submitted_at, theory_score, application:applications!inner(id, user_id, vacancy_id, vacancy:vacancies(title), profile:profiles!applications_user_id_fkey(name, email))")</w:t>
        <w:br/>
        <w:t xml:space="preserve">  .order("started_at", { ascending: false })</w:t>
      </w:r>
    </w:p>
    <w:p>
      <w:pPr>
        <w:jc w:val="both"/>
      </w:pPr>
      <w:r>
        <w:rPr>
          <w:rFonts w:ascii="Arial" w:hAnsi="Arial"/>
          <w:sz w:val="22"/>
        </w:rPr>
        <w:t xml:space="preserve">Esta consulta usa el join </w:t>
      </w:r>
      <w:r>
        <w:rPr>
          <w:rFonts w:ascii="Courier New" w:hAnsi="Courier New"/>
          <w:sz w:val="18"/>
        </w:rPr>
        <w:t>!inner</w:t>
      </w:r>
      <w:r>
        <w:rPr>
          <w:rFonts w:ascii="Arial" w:hAnsi="Arial"/>
          <w:sz w:val="22"/>
        </w:rPr>
        <w:t xml:space="preserve"> para garantizar que solo se devuelvan intentos que tengan una postulación asociada. El panel ofrece filtros por </w:t>
      </w:r>
      <w:r>
        <w:rPr>
          <w:rFonts w:ascii="Courier New" w:hAnsi="Courier New"/>
          <w:sz w:val="18"/>
        </w:rPr>
        <w:t>vacancy_id</w:t>
      </w:r>
      <w:r>
        <w:rPr>
          <w:rFonts w:ascii="Arial" w:hAnsi="Arial"/>
          <w:sz w:val="22"/>
        </w:rPr>
        <w:t xml:space="preserve">, </w:t>
      </w:r>
      <w:r>
        <w:rPr>
          <w:rFonts w:ascii="Courier New" w:hAnsi="Courier New"/>
          <w:sz w:val="18"/>
        </w:rPr>
        <w:t>user_id</w:t>
      </w:r>
      <w:r>
        <w:rPr>
          <w:rFonts w:ascii="Arial" w:hAnsi="Arial"/>
          <w:sz w:val="22"/>
        </w:rPr>
        <w:t xml:space="preserve"> y </w:t>
      </w:r>
      <w:r>
        <w:rPr>
          <w:rFonts w:ascii="Courier New" w:hAnsi="Courier New"/>
          <w:sz w:val="18"/>
        </w:rPr>
        <w:t>status</w:t>
      </w:r>
      <w:r>
        <w:rPr>
          <w:rFonts w:ascii="Arial" w:hAnsi="Arial"/>
          <w:sz w:val="22"/>
        </w:rPr>
        <w:t xml:space="preserve"> que el administrador puede combinar para reducir la lista.</w:t>
      </w:r>
    </w:p>
    <w:p>
      <w:pPr>
        <w:pStyle w:val="Heading3"/>
      </w:pPr>
      <w:r>
        <w:t>5.9.7 Detalle de intento y consulta de respuestas y evidencias (RF-17)</w:t>
      </w:r>
    </w:p>
    <w:p>
      <w:pPr>
        <w:jc w:val="center"/>
      </w:pPr>
      <w:r>
        <w:drawing>
          <wp:inline xmlns:a="http://schemas.openxmlformats.org/drawingml/2006/main" xmlns:pic="http://schemas.openxmlformats.org/drawingml/2006/picture">
            <wp:extent cx="5040000" cy="3150000"/>
            <wp:docPr id="32" name="Picture 32"/>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La página de detalle de intento (</w:t>
      </w:r>
      <w:r>
        <w:rPr>
          <w:rFonts w:ascii="Courier New" w:hAnsi="Courier New"/>
          <w:sz w:val="18"/>
        </w:rPr>
        <w:t>/admin/attempts/[id]</w:t>
      </w:r>
      <w:r>
        <w:rPr>
          <w:rFonts w:ascii="Arial" w:hAnsi="Arial"/>
          <w:sz w:val="22"/>
        </w:rPr>
        <w:t>) es la vista más completa del panel. Muestra en secciones diferenciadas:</w:t>
      </w:r>
    </w:p>
    <w:p>
      <w:pPr>
        <w:pStyle w:val="ListNumber"/>
      </w:pPr>
      <w:r>
        <w:rPr>
          <w:b/>
        </w:rPr>
        <w:t>Datos generales:</w:t>
      </w:r>
      <w:r>
        <w:rPr>
          <w:rFonts w:ascii="Arial" w:hAnsi="Arial"/>
          <w:sz w:val="22"/>
        </w:rPr>
        <w:t xml:space="preserve"> email y nombre del candidato, vacante, módulo, estado actual y decisión.</w:t>
      </w:r>
    </w:p>
    <w:p>
      <w:pPr>
        <w:pStyle w:val="ListNumber"/>
      </w:pPr>
      <w:r>
        <w:rPr>
          <w:b/>
        </w:rPr>
        <w:t>Resumen psicométrico:</w:t>
      </w:r>
      <w:r>
        <w:rPr>
          <w:rFonts w:ascii="Arial" w:hAnsi="Arial"/>
          <w:sz w:val="22"/>
        </w:rPr>
        <w:t xml:space="preserve"> cuando el intento corresponde al cuestionario base, muestra los scores por rasgo, su clasificación y las respuestas individuales.</w:t>
      </w:r>
    </w:p>
    <w:p>
      <w:pPr>
        <w:pStyle w:val="ListNumber"/>
      </w:pPr>
      <w:r>
        <w:rPr>
          <w:b/>
        </w:rPr>
        <w:t>Acciones de revisión:</w:t>
      </w:r>
      <w:r>
        <w:rPr>
          <w:rFonts w:ascii="Arial" w:hAnsi="Arial"/>
          <w:sz w:val="22"/>
        </w:rPr>
        <w:t xml:space="preserve"> selector de decisión (</w:t>
      </w:r>
      <w:r>
        <w:rPr>
          <w:rFonts w:ascii="Courier New" w:hAnsi="Courier New"/>
          <w:sz w:val="18"/>
        </w:rPr>
        <w:t>APPROVED</w:t>
      </w:r>
      <w:r>
        <w:rPr>
          <w:rFonts w:ascii="Arial" w:hAnsi="Arial"/>
          <w:sz w:val="22"/>
        </w:rPr>
        <w:t xml:space="preserve"> / </w:t>
      </w:r>
      <w:r>
        <w:rPr>
          <w:rFonts w:ascii="Courier New" w:hAnsi="Courier New"/>
          <w:sz w:val="18"/>
        </w:rPr>
        <w:t>REJECTED</w:t>
      </w:r>
      <w:r>
        <w:rPr>
          <w:rFonts w:ascii="Arial" w:hAnsi="Arial"/>
          <w:sz w:val="22"/>
        </w:rPr>
        <w:t>), campo de notas y botones para cambiar el estado del intento.</w:t>
      </w:r>
    </w:p>
    <w:p>
      <w:pPr>
        <w:pStyle w:val="ListNumber"/>
      </w:pPr>
      <w:r>
        <w:rPr>
          <w:b/>
        </w:rPr>
        <w:t>Respuestas:</w:t>
      </w:r>
      <w:r>
        <w:rPr>
          <w:rFonts w:ascii="Arial" w:hAnsi="Arial"/>
          <w:sz w:val="22"/>
        </w:rPr>
        <w:t xml:space="preserve"> lista de todas las respuestas con el texto de la pregunta, la opción seleccionada y la opción correcta.</w:t>
      </w:r>
    </w:p>
    <w:p>
      <w:pPr>
        <w:pStyle w:val="ListNumber"/>
      </w:pPr>
      <w:r>
        <w:rPr>
          <w:b/>
        </w:rPr>
        <w:t>Evidencias:</w:t>
      </w:r>
      <w:r>
        <w:rPr>
          <w:rFonts w:ascii="Arial" w:hAnsi="Arial"/>
          <w:sz w:val="22"/>
        </w:rPr>
        <w:t xml:space="preserve"> archivos subidos con nombre de ruta, tipo MIME, tamaño y enlace de descarga.</w:t>
      </w:r>
    </w:p>
    <w:p>
      <w:pPr>
        <w:jc w:val="both"/>
      </w:pPr>
      <w:r>
        <w:rPr>
          <w:rFonts w:ascii="Arial" w:hAnsi="Arial"/>
          <w:sz w:val="22"/>
        </w:rPr>
        <w:t xml:space="preserve">Los archivos de evidencia se muestran con URLs firmadas de 60 minutos generadas por el endpoint </w:t>
      </w:r>
      <w:r>
        <w:rPr>
          <w:rFonts w:ascii="Courier New" w:hAnsi="Courier New"/>
          <w:sz w:val="18"/>
        </w:rPr>
        <w:t>GET /api/admin/attempts/[id]/detail</w:t>
      </w:r>
      <w:r>
        <w:rPr>
          <w:rFonts w:ascii="Arial" w:hAnsi="Arial"/>
          <w:sz w:val="22"/>
        </w:rPr>
        <w:t xml:space="preserve">. Estas URLs se generan mediante </w:t>
      </w:r>
      <w:r>
        <w:rPr>
          <w:rFonts w:ascii="Courier New" w:hAnsi="Courier New"/>
          <w:sz w:val="18"/>
        </w:rPr>
        <w:t>supabase.storage.from(bucket).createSignedUrl(path, 60 * 60)</w:t>
      </w:r>
      <w:r>
        <w:rPr>
          <w:rFonts w:ascii="Arial" w:hAnsi="Arial"/>
          <w:sz w:val="22"/>
        </w:rPr>
        <w:t>.</w:t>
      </w:r>
    </w:p>
    <w:p>
      <w:pPr>
        <w:pStyle w:val="Heading3"/>
      </w:pPr>
      <w:r>
        <w:t>5.9.8 Registro de decisiones y observaciones (RF-18)</w:t>
      </w:r>
    </w:p>
    <w:p>
      <w:pPr>
        <w:jc w:val="center"/>
      </w:pPr>
      <w:r>
        <w:drawing>
          <wp:inline xmlns:a="http://schemas.openxmlformats.org/drawingml/2006/main" xmlns:pic="http://schemas.openxmlformats.org/drawingml/2006/picture">
            <wp:extent cx="5040000" cy="3150000"/>
            <wp:docPr id="33" name="Picture 33"/>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La operación de registrar una decisión sobre un intento es la más compleja del panel administrativo. El endpoint </w:t>
      </w:r>
      <w:r>
        <w:rPr>
          <w:rFonts w:ascii="Courier New" w:hAnsi="Courier New"/>
          <w:sz w:val="18"/>
        </w:rPr>
        <w:t>PATCH /api/admin/attempts/[id]</w:t>
      </w:r>
      <w:r>
        <w:rPr>
          <w:rFonts w:ascii="Arial" w:hAnsi="Arial"/>
          <w:sz w:val="22"/>
        </w:rPr>
        <w:t xml:space="preserve"> implementa una lógica en dos capas para persitir tanto el cambio de estado del intento como la decisión y las notas del revisor.</w:t>
      </w:r>
    </w:p>
    <w:p>
      <w:pPr>
        <w:jc w:val="both"/>
      </w:pPr>
      <w:r>
        <w:rPr>
          <w:b/>
        </w:rPr>
        <w:t>Figura 5.5 — Diagrama del flujo de persistencia de decisiones</w:t>
      </w:r>
    </w:p>
    <w:p>
      <w:pPr>
        <w:pStyle w:val="CodeBlock"/>
        <w:shd w:val="clear" w:color="auto" w:fill="F2F2F2"/>
      </w:pPr>
      <w:r>
        <w:t>sequenceDiagram</w:t>
        <w:br/>
        <w:t xml:space="preserve">    participant UI as admin/attempts/[id]/page.tsx</w:t>
        <w:br/>
        <w:t xml:space="preserve">    participant PATCH as PATCH /api/admin/attempts/[id]</w:t>
        <w:br/>
        <w:t xml:space="preserve">    participant DB_A as PostgreSQL (attempts)</w:t>
        <w:br/>
        <w:t xml:space="preserve">    participant DB_R as PostgreSQL (reviews)</w:t>
        <w:br/>
        <w:br/>
        <w:t xml:space="preserve">    UI-&gt;&gt;PATCH: PATCH {status, decision, notes}</w:t>
        <w:br/>
        <w:t xml:space="preserve">    PATCH-&gt;&gt;PATCH: requireAdmin() → verifica JWT y rol</w:t>
        <w:br/>
        <w:t xml:space="preserve">    PATCH-&gt;&gt;DB_A: UPDATE attempts SET status = ? WHERE id = ?</w:t>
        <w:br/>
        <w:t xml:space="preserve">    DB_A--&gt;&gt;PATCH: OK</w:t>
        <w:br/>
        <w:br/>
        <w:t xml:space="preserve">    alt decision o notes en el body</w:t>
        <w:br/>
        <w:t xml:space="preserve">        PATCH-&gt;&gt;DB_R: SELECT reviews WHERE attempt_id = ?</w:t>
        <w:br/>
        <w:t xml:space="preserve">        alt reviews existe con ese attempt_id</w:t>
        <w:br/>
        <w:t xml:space="preserve">            DB_R--&gt;&gt;PATCH: {id: reviewId}</w:t>
        <w:br/>
        <w:t xml:space="preserve">            PATCH-&gt;&gt;DB_R: UPDATE reviews SET decision, notes WHERE id = reviewId</w:t>
        <w:br/>
        <w:t xml:space="preserve">        else no existe review previo</w:t>
        <w:br/>
        <w:t xml:space="preserve">            DB_R--&gt;&gt;PATCH: null</w:t>
        <w:br/>
        <w:t xml:space="preserve">            PATCH-&gt;&gt;DB_R: INSERT INTO reviews {attempt_id, reviewer_id, decision, notes}</w:t>
        <w:br/>
        <w:t xml:space="preserve">        end</w:t>
        <w:br/>
        <w:t xml:space="preserve">        alt reviews tabla no existe (error 42P01)</w:t>
        <w:br/>
        <w:t xml:space="preserve">            PATCH-&gt;&gt;DB_A: UPDATE attempts SET decision, reviewer_notes WHERE id = ?</w:t>
        <w:br/>
        <w:t xml:space="preserve">        end</w:t>
        <w:br/>
        <w:t xml:space="preserve">    end</w:t>
        <w:br/>
        <w:br/>
        <w:t xml:space="preserve">    PATCH-&gt;&gt;PATCH: getAttemptDetail() → carga estado actualizado</w:t>
        <w:br/>
        <w:t xml:space="preserve">    PATCH--&gt;&gt;UI: {data: attemptActualizado, warning?}</w:t>
      </w:r>
    </w:p>
    <w:p>
      <w:pPr>
        <w:jc w:val="both"/>
      </w:pPr>
      <w:r>
        <w:rPr>
          <w:rFonts w:ascii="Arial" w:hAnsi="Arial"/>
          <w:sz w:val="22"/>
        </w:rPr>
        <w:t xml:space="preserve">La función </w:t>
      </w:r>
      <w:r>
        <w:rPr>
          <w:rFonts w:ascii="Courier New" w:hAnsi="Courier New"/>
          <w:sz w:val="18"/>
        </w:rPr>
        <w:t>persistDecisionAndNotes</w:t>
      </w:r>
      <w:r>
        <w:rPr>
          <w:rFonts w:ascii="Arial" w:hAnsi="Arial"/>
          <w:sz w:val="22"/>
        </w:rPr>
        <w:t xml:space="preserve"> intenta primero escribir en </w:t>
      </w:r>
      <w:r>
        <w:rPr>
          <w:rFonts w:ascii="Courier New" w:hAnsi="Courier New"/>
          <w:sz w:val="18"/>
        </w:rPr>
        <w:t>reviews</w:t>
      </w:r>
      <w:r>
        <w:rPr>
          <w:rFonts w:ascii="Arial" w:hAnsi="Arial"/>
          <w:sz w:val="22"/>
        </w:rPr>
        <w:t xml:space="preserve"> mediante </w:t>
      </w:r>
      <w:r>
        <w:rPr>
          <w:rFonts w:ascii="Courier New" w:hAnsi="Courier New"/>
          <w:sz w:val="18"/>
        </w:rPr>
        <w:t>upsertReview</w:t>
      </w:r>
      <w:r>
        <w:rPr>
          <w:rFonts w:ascii="Arial" w:hAnsi="Arial"/>
          <w:sz w:val="22"/>
        </w:rPr>
        <w:t xml:space="preserve">. Si la tabla </w:t>
      </w:r>
      <w:r>
        <w:rPr>
          <w:rFonts w:ascii="Courier New" w:hAnsi="Courier New"/>
          <w:sz w:val="18"/>
        </w:rPr>
        <w:t>reviews</w:t>
      </w:r>
      <w:r>
        <w:rPr>
          <w:rFonts w:ascii="Arial" w:hAnsi="Arial"/>
          <w:sz w:val="22"/>
        </w:rPr>
        <w:t xml:space="preserve"> no existe (código de error PostgreSQL </w:t>
      </w:r>
      <w:r>
        <w:rPr>
          <w:rFonts w:ascii="Courier New" w:hAnsi="Courier New"/>
          <w:sz w:val="18"/>
        </w:rPr>
        <w:t>42P01</w:t>
      </w:r>
      <w:r>
        <w:rPr>
          <w:rFonts w:ascii="Arial" w:hAnsi="Arial"/>
          <w:sz w:val="22"/>
        </w:rPr>
        <w:t xml:space="preserve"> o código PostgREST </w:t>
      </w:r>
      <w:r>
        <w:rPr>
          <w:rFonts w:ascii="Courier New" w:hAnsi="Courier New"/>
          <w:sz w:val="18"/>
        </w:rPr>
        <w:t>PGRST205</w:t>
      </w:r>
      <w:r>
        <w:rPr>
          <w:rFonts w:ascii="Arial" w:hAnsi="Arial"/>
          <w:sz w:val="22"/>
        </w:rPr>
        <w:t xml:space="preserve">), el sistema recae sobre </w:t>
      </w:r>
      <w:r>
        <w:rPr>
          <w:rFonts w:ascii="Courier New" w:hAnsi="Courier New"/>
          <w:sz w:val="18"/>
        </w:rPr>
        <w:t>attempts.decision</w:t>
      </w:r>
      <w:r>
        <w:rPr>
          <w:rFonts w:ascii="Arial" w:hAnsi="Arial"/>
          <w:sz w:val="22"/>
        </w:rPr>
        <w:t xml:space="preserve"> y </w:t>
      </w:r>
      <w:r>
        <w:rPr>
          <w:rFonts w:ascii="Courier New" w:hAnsi="Courier New"/>
          <w:sz w:val="18"/>
        </w:rPr>
        <w:t>attempts.reviewer_notes</w:t>
      </w:r>
      <w:r>
        <w:rPr>
          <w:rFonts w:ascii="Arial" w:hAnsi="Arial"/>
          <w:sz w:val="22"/>
        </w:rPr>
        <w:t xml:space="preserve">. En el entorno de producción con el esquema completo, la tabla </w:t>
      </w:r>
      <w:r>
        <w:rPr>
          <w:rFonts w:ascii="Courier New" w:hAnsi="Courier New"/>
          <w:sz w:val="18"/>
        </w:rPr>
        <w:t>reviews</w:t>
      </w:r>
      <w:r>
        <w:rPr>
          <w:rFonts w:ascii="Arial" w:hAnsi="Arial"/>
          <w:sz w:val="22"/>
        </w:rPr>
        <w:t xml:space="preserve"> es el almacén primario de decisiones; el fallback hacia </w:t>
      </w:r>
      <w:r>
        <w:rPr>
          <w:rFonts w:ascii="Courier New" w:hAnsi="Courier New"/>
          <w:sz w:val="18"/>
        </w:rPr>
        <w:t>attempts</w:t>
      </w:r>
      <w:r>
        <w:rPr>
          <w:rFonts w:ascii="Arial" w:hAnsi="Arial"/>
          <w:sz w:val="22"/>
        </w:rPr>
        <w:t xml:space="preserve"> solo opera cuando el esquema está incompleto.</w:t>
      </w:r>
    </w:p>
    <w:p>
      <w:pPr>
        <w:pStyle w:val="Heading3"/>
      </w:pPr>
      <w:r>
        <w:t>5.9.9 Indicadores de resumen</w:t>
      </w:r>
    </w:p>
    <w:p>
      <w:pPr>
        <w:jc w:val="center"/>
      </w:pPr>
      <w:r>
        <w:drawing>
          <wp:inline xmlns:a="http://schemas.openxmlformats.org/drawingml/2006/main" xmlns:pic="http://schemas.openxmlformats.org/drawingml/2006/picture">
            <wp:extent cx="5040000" cy="3150000"/>
            <wp:docPr id="34" name="Picture 34"/>
            <wp:cNvGraphicFramePr>
              <a:graphicFrameLocks noChangeAspect="1"/>
            </wp:cNvGraphicFramePr>
            <a:graphic>
              <a:graphicData uri="http://schemas.openxmlformats.org/drawingml/2006/picture">
                <pic:pic>
                  <pic:nvPicPr>
                    <pic:cNvPr id="0" name="EV-5B-01-admin-panel.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jc w:val="both"/>
      </w:pPr>
      <w:r>
        <w:rPr>
          <w:rFonts w:ascii="Arial" w:hAnsi="Arial"/>
          <w:sz w:val="22"/>
        </w:rP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rPr>
          <w:rFonts w:ascii="Arial" w:hAnsi="Arial"/>
          <w:sz w:val="22"/>
        </w:rPr>
        <w:t xml:space="preserve"> (intentos con estado </w:t>
      </w:r>
      <w:r>
        <w:rPr>
          <w:rFonts w:ascii="Courier New" w:hAnsi="Courier New"/>
          <w:sz w:val="18"/>
        </w:rPr>
        <w:t>UNDER_REVIEW</w:t>
      </w:r>
      <w:r>
        <w:rPr>
          <w:rFonts w:ascii="Arial" w:hAnsi="Arial"/>
          <w:sz w:val="22"/>
        </w:rPr>
        <w:t xml:space="preserve"> o </w:t>
      </w:r>
      <w:r>
        <w:rPr>
          <w:rFonts w:ascii="Courier New" w:hAnsi="Courier New"/>
          <w:sz w:val="18"/>
        </w:rPr>
        <w:t>SUBMITTED</w:t>
      </w:r>
      <w:r>
        <w:rPr>
          <w:rFonts w:ascii="Arial" w:hAnsi="Arial"/>
          <w:sz w:val="22"/>
        </w:rPr>
        <w:t xml:space="preserve">) y </w:t>
      </w:r>
      <w:r>
        <w:rPr>
          <w:rFonts w:ascii="Courier New" w:hAnsi="Courier New"/>
          <w:sz w:val="18"/>
        </w:rPr>
        <w:t>completedAttempts</w:t>
      </w:r>
      <w:r>
        <w:rPr>
          <w:rFonts w:ascii="Arial" w:hAnsi="Arial"/>
          <w:sz w:val="22"/>
        </w:rPr>
        <w:t xml:space="preserve"> (estado </w:t>
      </w:r>
      <w:r>
        <w:rPr>
          <w:rFonts w:ascii="Courier New" w:hAnsi="Courier New"/>
          <w:sz w:val="18"/>
        </w:rPr>
        <w:t>COMPLETED</w:t>
      </w:r>
      <w:r>
        <w:rPr>
          <w:rFonts w:ascii="Arial" w:hAnsi="Arial"/>
          <w:sz w:val="22"/>
        </w:rPr>
        <w:t>).</w:t>
      </w:r>
    </w:p>
    <w:p>
      <w:pPr>
        <w:jc w:val="both"/>
      </w:pPr>
      <w:r>
        <w:rPr>
          <w:rFonts w:ascii="Arial" w:hAnsi="Arial"/>
          <w:sz w:val="22"/>
        </w:rPr>
        <w:t xml:space="preserve">Existe un endpoint de estadísticas por vacante en </w:t>
      </w:r>
      <w:r>
        <w:rPr>
          <w:rFonts w:ascii="Courier New" w:hAnsi="Courier New"/>
          <w:sz w:val="18"/>
        </w:rPr>
        <w:t>GET /api/admin/vacancies/[id]/stats</w:t>
      </w:r>
      <w:r>
        <w:rPr>
          <w:rFonts w:ascii="Arial" w:hAnsi="Arial"/>
          <w:sz w:val="22"/>
        </w:rPr>
        <w:t xml:space="preserve"> que devuelve </w:t>
      </w:r>
      <w:r>
        <w:rPr>
          <w:rFonts w:ascii="Courier New" w:hAnsi="Courier New"/>
          <w:sz w:val="18"/>
        </w:rPr>
        <w:t>applicationsCount</w:t>
      </w:r>
      <w:r>
        <w:rPr>
          <w:rFonts w:ascii="Arial" w:hAnsi="Arial"/>
          <w:sz w:val="22"/>
        </w:rPr>
        <w:t xml:space="preserve"> y </w:t>
      </w:r>
      <w:r>
        <w:rPr>
          <w:rFonts w:ascii="Courier New" w:hAnsi="Courier New"/>
          <w:sz w:val="18"/>
        </w:rPr>
        <w:t>attemptsCount</w:t>
      </w:r>
      <w:r>
        <w:rPr>
          <w:rFonts w:ascii="Arial" w:hAnsi="Arial"/>
          <w:sz w:val="22"/>
        </w:rP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pPr>
        <w:pStyle w:val="Heading2"/>
      </w:pPr>
      <w:r>
        <w:t>5.10 Implementación de seguridad y control de acceso</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pStyle w:val="Heading3"/>
      </w:pPr>
      <w:r>
        <w:t>5.10.1 Autenticación mediante Supabase Auth</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La autenticación del sistema se delega íntegramente a Supabase Auth, que implementa el estándar JWT (RFC 7519). Cuando un usuario inicia sesión mediante </w:t>
      </w:r>
      <w:r>
        <w:rPr>
          <w:rFonts w:ascii="Courier New" w:hAnsi="Courier New"/>
          <w:sz w:val="18"/>
        </w:rPr>
        <w:t>signInWithPassword</w:t>
      </w:r>
      <w:r>
        <w:rPr>
          <w:rFonts w:ascii="Arial" w:hAnsi="Arial"/>
          <w:sz w:val="22"/>
        </w:rPr>
        <w:t>, Supabase emite un token JWT firmado con RS256 que encapsula el identificador del usuario (</w:t>
      </w:r>
      <w:r>
        <w:rPr>
          <w:rFonts w:ascii="Courier New" w:hAnsi="Courier New"/>
          <w:sz w:val="18"/>
        </w:rPr>
        <w:t>sub</w:t>
      </w:r>
      <w:r>
        <w:rPr>
          <w:rFonts w:ascii="Arial" w:hAnsi="Arial"/>
          <w:sz w:val="22"/>
        </w:rPr>
        <w:t>), su correo y metadatos de la sesión. Este token se almacena en el almacenamiento local del navegador y tiene vigencia de una hora por defecto.</w:t>
      </w:r>
    </w:p>
    <w:p>
      <w:pPr>
        <w:jc w:val="both"/>
      </w:pPr>
      <w:r>
        <w:rPr>
          <w:rFonts w:ascii="Arial" w:hAnsi="Arial"/>
          <w:sz w:val="22"/>
        </w:rPr>
        <w:t>La comunicación entre el servidor Next.js y Supabase Auth utiliza la clave de rol de servicio (</w:t>
      </w:r>
      <w:r>
        <w:rPr>
          <w:rFonts w:ascii="Courier New" w:hAnsi="Courier New"/>
          <w:sz w:val="18"/>
        </w:rPr>
        <w:t>SUPABASE_SERVICE_ROLE_KEY</w:t>
      </w:r>
      <w:r>
        <w:rPr>
          <w:rFonts w:ascii="Arial" w:hAnsi="Arial"/>
          <w:sz w:val="22"/>
        </w:rPr>
        <w:t xml:space="preserve">), que permite invocar </w:t>
      </w:r>
      <w:r>
        <w:rPr>
          <w:rFonts w:ascii="Courier New" w:hAnsi="Courier New"/>
          <w:sz w:val="18"/>
        </w:rPr>
        <w:t>supabase.auth.getUser(token)</w:t>
      </w:r>
      <w:r>
        <w:rPr>
          <w:rFonts w:ascii="Arial" w:hAnsi="Arial"/>
          <w:sz w:val="22"/>
        </w:rPr>
        <w:t xml:space="preserve"> para validar el JWT sin necesidad de una sesión activa del servidor. Esta validación descifra y verifica la firma del token, devuelve el usuario si el token es válido, y retorna un error si el token está expirado, malformado o revocado.</w:t>
      </w:r>
    </w:p>
    <w:p>
      <w:pPr>
        <w:pStyle w:val="Heading3"/>
      </w:pPr>
      <w:r>
        <w:t>5.10.2 Función `requireAdmin()` y protección de operaciones administrativas</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center"/>
      </w:pPr>
      <w:r>
        <w:drawing>
          <wp:inline xmlns:a="http://schemas.openxmlformats.org/drawingml/2006/main" xmlns:pic="http://schemas.openxmlformats.org/drawingml/2006/picture">
            <wp:extent cx="5040000" cy="15927765"/>
            <wp:docPr id="35" name="Picture 35"/>
            <wp:cNvGraphicFramePr>
              <a:graphicFrameLocks noChangeAspect="1"/>
            </wp:cNvGraphicFramePr>
            <a:graphic>
              <a:graphicData uri="http://schemas.openxmlformats.org/drawingml/2006/picture">
                <pic:pic>
                  <pic:nvPicPr>
                    <pic:cNvPr id="0" name="fig-5-6-flujo-requireAdmin.png"/>
                    <pic:cNvPicPr/>
                  </pic:nvPicPr>
                  <pic:blipFill>
                    <a:blip r:embed="rId20"/>
                    <a:stretch>
                      <a:fillRect/>
                    </a:stretch>
                  </pic:blipFill>
                  <pic:spPr>
                    <a:xfrm>
                      <a:off x="0" y="0"/>
                      <a:ext cx="5040000" cy="15927765"/>
                    </a:xfrm>
                    <a:prstGeom prst="rect"/>
                  </pic:spPr>
                </pic:pic>
              </a:graphicData>
            </a:graphic>
          </wp:inline>
        </w:drawing>
      </w:r>
    </w:p>
    <w:p>
      <w:pPr>
        <w:pStyle w:val="FigureCaption"/>
      </w:pPr>
      <w:r>
        <w:t>Figura 5.15. Diagrama de flujo de la función requireAdmin(). Fuente: elaboración propia, 2026.</w:t>
      </w:r>
    </w:p>
    <w:p>
      <w:pPr>
        <w:jc w:val="both"/>
      </w:pPr>
      <w:r>
        <w:rPr>
          <w:rFonts w:ascii="Arial" w:hAnsi="Arial"/>
          <w:sz w:val="22"/>
        </w:rPr>
        <w:t xml:space="preserve">La función </w:t>
      </w:r>
      <w:r>
        <w:rPr>
          <w:rFonts w:ascii="Courier New" w:hAnsi="Courier New"/>
          <w:sz w:val="18"/>
        </w:rPr>
        <w:t>requireAdmin()</w:t>
      </w:r>
      <w:r>
        <w:rPr>
          <w:rFonts w:ascii="Arial" w:hAnsi="Arial"/>
          <w:sz w:val="22"/>
        </w:rPr>
        <w:t xml:space="preserve"> es el guardián de acceso para los 13 endpoints del área administrativa. Su implementación en </w:t>
      </w:r>
      <w:r>
        <w:rPr>
          <w:rFonts w:ascii="Courier New" w:hAnsi="Courier New"/>
          <w:sz w:val="18"/>
        </w:rPr>
        <w:t>app/api/admin/utils.ts</w:t>
      </w:r>
      <w:r>
        <w:rPr>
          <w:rFonts w:ascii="Arial" w:hAnsi="Arial"/>
          <w:sz w:val="22"/>
        </w:rPr>
        <w:t xml:space="preserve"> ejecuta cuatro verificaciones en secuencia:</w:t>
      </w:r>
    </w:p>
    <w:p>
      <w:pPr>
        <w:jc w:val="both"/>
      </w:pPr>
      <w:r>
        <w:rPr>
          <w:b/>
        </w:rPr>
        <w:t>Figura 5.6 — Flujo de autorización en requireAdmin()</w:t>
      </w:r>
    </w:p>
    <w:p>
      <w:pPr>
        <w:pStyle w:val="CodeBlock"/>
        <w:shd w:val="clear" w:color="auto" w:fill="F2F2F2"/>
      </w:pPr>
      <w:r>
        <w:t>flowchart TD</w:t>
        <w:br/>
        <w:t xml:space="preserve">    A[Route Handler recibe Request] --&gt; B{Authorization header\ncomienza con Bearer?}</w:t>
        <w:br/>
        <w:t xml:space="preserve">    B -- No --&gt; C[401 No autenticado]</w:t>
        <w:br/>
        <w:t xml:space="preserve">    B -- Sí --&gt; D[Extrae token JWT]</w:t>
        <w:br/>
        <w:t xml:space="preserve">    D --&gt; E[supabase.auth.getUser(token)]</w:t>
        <w:br/>
        <w:t xml:space="preserve">    E --&gt; F{JWT válido y\nusuario existe?}</w:t>
        <w:br/>
        <w:t xml:space="preserve">    F -- No --&gt; G[401 Sesión inválida]</w:t>
        <w:br/>
        <w:t xml:space="preserve">    F -- Sí --&gt; H[Crea supabaseAsUser con\nanonKey + header Bearer]</w:t>
        <w:br/>
        <w:t xml:space="preserve">    H --&gt; I[supabaseAsUser.rpc('get_my_role')]</w:t>
        <w:br/>
        <w:t xml:space="preserve">    I --&gt; J{roleData === 'admin'?}</w:t>
        <w:br/>
        <w:t xml:space="preserve">    J -- No --&gt; K[403 Acceso restringido]</w:t>
        <w:br/>
        <w:t xml:space="preserve">    J -- Sí --&gt; L[Retorna {supabase: serviceClient, userId}]</w:t>
      </w:r>
    </w:p>
    <w:p>
      <w:pPr>
        <w:jc w:val="both"/>
      </w:pPr>
      <w:r>
        <w:rPr>
          <w:rFonts w:ascii="Arial" w:hAnsi="Arial"/>
          <w:sz w:val="22"/>
        </w:rPr>
        <w:t xml:space="preserve">El diseño de </w:t>
      </w:r>
      <w:r>
        <w:rPr>
          <w:rFonts w:ascii="Courier New" w:hAnsi="Courier New"/>
          <w:sz w:val="18"/>
        </w:rPr>
        <w:t>requireAdmin()</w:t>
      </w:r>
      <w:r>
        <w:rPr>
          <w:rFonts w:ascii="Arial" w:hAnsi="Arial"/>
          <w:sz w:val="22"/>
        </w:rPr>
        <w:t xml:space="preserve"> tiene una característica notable: para verificar el rol, crea un cliente Supabase que usa la clave anónima (</w:t>
      </w:r>
      <w:r>
        <w:rPr>
          <w:rFonts w:ascii="Courier New" w:hAnsi="Courier New"/>
          <w:sz w:val="18"/>
        </w:rPr>
        <w:t>anonKey</w:t>
      </w:r>
      <w:r>
        <w:rPr>
          <w:rFonts w:ascii="Arial" w:hAnsi="Arial"/>
          <w:sz w:val="22"/>
        </w:rPr>
        <w:t xml:space="preserve">) pero inyecta el JWT del usuario en el encabezado </w:t>
      </w:r>
      <w:r>
        <w:rPr>
          <w:rFonts w:ascii="Courier New" w:hAnsi="Courier New"/>
          <w:sz w:val="18"/>
        </w:rPr>
        <w:t>Authorization</w:t>
      </w:r>
      <w:r>
        <w:rPr>
          <w:rFonts w:ascii="Arial" w:hAnsi="Arial"/>
          <w:sz w:val="22"/>
        </w:rPr>
        <w:t xml:space="preserve">. Esto hace que la llamada </w:t>
      </w:r>
      <w:r>
        <w:rPr>
          <w:rFonts w:ascii="Courier New" w:hAnsi="Courier New"/>
          <w:sz w:val="18"/>
        </w:rPr>
        <w:t>rpc("get_my_role")</w:t>
      </w:r>
      <w:r>
        <w:rPr>
          <w:rFonts w:ascii="Arial" w:hAnsi="Arial"/>
          <w:sz w:val="22"/>
        </w:rP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rPr>
          <w:rFonts w:ascii="Arial" w:hAnsi="Arial"/>
          <w:sz w:val="22"/>
        </w:rPr>
        <w:t xml:space="preserve"> usa </w:t>
      </w:r>
      <w:r>
        <w:rPr>
          <w:rFonts w:ascii="Courier New" w:hAnsi="Courier New"/>
          <w:sz w:val="18"/>
        </w:rPr>
        <w:t>auth.uid()</w:t>
      </w:r>
      <w:r>
        <w:rPr>
          <w:rFonts w:ascii="Arial" w:hAnsi="Arial"/>
          <w:sz w:val="22"/>
        </w:rPr>
        <w:t xml:space="preserve"> internamente, que solo retorna el UUID del usuario actual cuando la llamada se realiza con un token de usuario, no con la clave de servicio.</w:t>
      </w:r>
    </w:p>
    <w:p>
      <w:pPr>
        <w:jc w:val="both"/>
      </w:pPr>
      <w:r>
        <w:rPr>
          <w:rFonts w:ascii="Arial" w:hAnsi="Arial"/>
          <w:sz w:val="22"/>
        </w:rPr>
        <w:t>Una vez que la verificación es exitosa, la función retorna el cliente de servicio (</w:t>
      </w:r>
      <w:r>
        <w:rPr>
          <w:rFonts w:ascii="Courier New" w:hAnsi="Courier New"/>
          <w:sz w:val="18"/>
        </w:rPr>
        <w:t>supabase: supabaseServer()</w:t>
      </w:r>
      <w:r>
        <w:rPr>
          <w:rFonts w:ascii="Arial" w:hAnsi="Arial"/>
          <w:sz w:val="22"/>
        </w:rPr>
        <w:t>) que el Route Handler usa para ejecutar las operaciones de base de datos. En este punto, las operaciones sí omiten las políticas de RLS, pero la identidad del solicitante ya fue verificada como administrador.</w:t>
      </w:r>
    </w:p>
    <w:p>
      <w:pPr>
        <w:pStyle w:val="Heading3"/>
      </w:pPr>
      <w:r>
        <w:t>5.10.3 Función `get_my_role()` y separación de contextos</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La función de base de datos </w:t>
      </w:r>
      <w:r>
        <w:rPr>
          <w:rFonts w:ascii="Courier New" w:hAnsi="Courier New"/>
          <w:sz w:val="18"/>
        </w:rPr>
        <w:t>get_my_role()</w:t>
      </w:r>
      <w:r>
        <w:rPr>
          <w:rFonts w:ascii="Arial" w:hAnsi="Arial"/>
          <w:sz w:val="22"/>
        </w:rPr>
        <w:t xml:space="preserve"> es el núcleo del sistema de roles. Está definida en </w:t>
      </w:r>
      <w:r>
        <w:rPr>
          <w:rFonts w:ascii="Courier New" w:hAnsi="Courier New"/>
          <w:sz w:val="18"/>
        </w:rPr>
        <w:t>supabase/rls.sql</w:t>
      </w:r>
      <w:r>
        <w:rPr>
          <w:rFonts w:ascii="Arial" w:hAnsi="Arial"/>
          <w:sz w:val="22"/>
        </w:rPr>
        <w:t xml:space="preserve"> con la directiva </w:t>
      </w:r>
      <w:r>
        <w:rPr>
          <w:rFonts w:ascii="Courier New" w:hAnsi="Courier New"/>
          <w:sz w:val="18"/>
        </w:rPr>
        <w:t>SECURITY DEFINER</w:t>
      </w:r>
      <w:r>
        <w:rPr>
          <w:rFonts w:ascii="Arial" w:hAnsi="Arial"/>
          <w:sz w:val="22"/>
        </w:rPr>
        <w:t>:</w:t>
      </w:r>
    </w:p>
    <w:p>
      <w:pPr>
        <w:pStyle w:val="CodeBlock"/>
        <w:shd w:val="clear" w:color="auto" w:fill="F2F2F2"/>
      </w:pPr>
      <w:r>
        <w:t>create or replace function public.get_my_role()</w:t>
        <w:br/>
        <w:t>returns text</w:t>
        <w:br/>
        <w:t>language plpgsql</w:t>
        <w:br/>
        <w:t>security definer</w:t>
        <w:br/>
        <w:t>set search_path = public</w:t>
        <w:br/>
        <w:t>stable</w:t>
        <w:br/>
        <w:t>as $$</w:t>
        <w:br/>
        <w:t>declare</w:t>
        <w:br/>
        <w:t xml:space="preserve">  current_role text;</w:t>
        <w:br/>
        <w:t>begin</w:t>
        <w:br/>
        <w:t xml:space="preserve">  select ur.role into current_role</w:t>
        <w:br/>
        <w:t xml:space="preserve">  from public.user_roles ur</w:t>
        <w:br/>
        <w:t xml:space="preserve">  where ur.user_id = auth.uid()</w:t>
        <w:br/>
        <w:t xml:space="preserve">  limit 1;</w:t>
        <w:br/>
        <w:br/>
        <w:t xml:space="preserve">  if current_role is not null then return current_role; end if;</w:t>
        <w:br/>
        <w:br/>
        <w:t xml:space="preserve">  select p.role into current_role</w:t>
        <w:br/>
        <w:t xml:space="preserve">  from public.profiles p</w:t>
        <w:br/>
        <w:t xml:space="preserve">  where p.user_id = auth.uid()</w:t>
        <w:br/>
        <w:t xml:space="preserve">  limit 1;</w:t>
        <w:br/>
        <w:br/>
        <w:t xml:space="preserve">  if current_role = 'admin' then return 'admin'; end if;</w:t>
        <w:br/>
        <w:br/>
        <w:t xml:space="preserve">  return 'user';</w:t>
        <w:br/>
        <w:t>end;</w:t>
        <w:br/>
        <w:t>$$;</w:t>
        <w:br/>
        <w:br/>
        <w:t>revoke all on function public.get_my_role() from public;</w:t>
        <w:br/>
        <w:t>grant execute on function public.get_my_role() to authenticated, service_role;</w:t>
      </w:r>
    </w:p>
    <w:p>
      <w:pPr>
        <w:jc w:val="both"/>
      </w:pPr>
      <w:r>
        <w:rPr>
          <w:rFonts w:ascii="Arial" w:hAnsi="Arial"/>
          <w:sz w:val="22"/>
        </w:rPr>
        <w:t xml:space="preserve">La directiva </w:t>
      </w:r>
      <w:r>
        <w:rPr>
          <w:rFonts w:ascii="Courier New" w:hAnsi="Courier New"/>
          <w:sz w:val="18"/>
        </w:rPr>
        <w:t>SECURITY DEFINER</w:t>
      </w:r>
      <w:r>
        <w:rPr>
          <w:rFonts w:ascii="Arial" w:hAnsi="Arial"/>
          <w:sz w:val="22"/>
        </w:rPr>
        <w:t xml:space="preserve"> permite que la función consulte </w:t>
      </w:r>
      <w:r>
        <w:rPr>
          <w:rFonts w:ascii="Courier New" w:hAnsi="Courier New"/>
          <w:sz w:val="18"/>
        </w:rPr>
        <w:t>user_roles</w:t>
      </w:r>
      <w:r>
        <w:rPr>
          <w:rFonts w:ascii="Arial" w:hAnsi="Arial"/>
          <w:sz w:val="22"/>
        </w:rPr>
        <w:t xml:space="preserve"> y </w:t>
      </w:r>
      <w:r>
        <w:rPr>
          <w:rFonts w:ascii="Courier New" w:hAnsi="Courier New"/>
          <w:sz w:val="18"/>
        </w:rPr>
        <w:t>profiles</w:t>
      </w:r>
      <w:r>
        <w:rPr>
          <w:rFonts w:ascii="Arial" w:hAnsi="Arial"/>
          <w:sz w:val="22"/>
        </w:rPr>
        <w:t xml:space="preserve"> sin que las políticas de RLS de esas tablas interfieran con la consulta interna. Sin ella, la propia política que restringe el acceso a </w:t>
      </w:r>
      <w:r>
        <w:rPr>
          <w:rFonts w:ascii="Courier New" w:hAnsi="Courier New"/>
          <w:sz w:val="18"/>
        </w:rPr>
        <w:t>user_roles</w:t>
      </w:r>
      <w:r>
        <w:rPr>
          <w:rFonts w:ascii="Arial" w:hAnsi="Arial"/>
          <w:sz w:val="22"/>
        </w:rPr>
        <w:t xml:space="preserve"> impediría que la función leyera el rol del usuario, creando una circularidad que produjo el problema técnico T-02 (documentado en la sección 5.12).</w:t>
      </w:r>
    </w:p>
    <w:p>
      <w:pPr>
        <w:jc w:val="both"/>
      </w:pPr>
      <w:r>
        <w:rPr>
          <w:rFonts w:ascii="Arial" w:hAnsi="Arial"/>
          <w:sz w:val="22"/>
        </w:rPr>
        <w:t xml:space="preserve">La lógica de la función implementa una jerarquía de fuentes: consulta primero </w:t>
      </w:r>
      <w:r>
        <w:rPr>
          <w:rFonts w:ascii="Courier New" w:hAnsi="Courier New"/>
          <w:sz w:val="18"/>
        </w:rPr>
        <w:t>user_roles</w:t>
      </w:r>
      <w:r>
        <w:rPr>
          <w:rFonts w:ascii="Arial" w:hAnsi="Arial"/>
          <w:sz w:val="22"/>
        </w:rPr>
        <w:t xml:space="preserve"> (fuente canónica desde la iteración 3), luego </w:t>
      </w:r>
      <w:r>
        <w:rPr>
          <w:rFonts w:ascii="Courier New" w:hAnsi="Courier New"/>
          <w:sz w:val="18"/>
        </w:rPr>
        <w:t>profiles.role</w:t>
      </w:r>
      <w:r>
        <w:rPr>
          <w:rFonts w:ascii="Arial" w:hAnsi="Arial"/>
          <w:sz w:val="22"/>
        </w:rPr>
        <w:t xml:space="preserve"> como respaldo de compatibilidad. Solo retorna </w:t>
      </w:r>
      <w:r>
        <w:rPr>
          <w:rFonts w:ascii="Courier New" w:hAnsi="Courier New"/>
          <w:sz w:val="18"/>
        </w:rPr>
        <w:t>admin</w:t>
      </w:r>
      <w:r>
        <w:rPr>
          <w:rFonts w:ascii="Arial" w:hAnsi="Arial"/>
          <w:sz w:val="22"/>
        </w:rPr>
        <w:t xml:space="preserve"> si lo encuentra explícitamente; en cualquier otro caso retorna </w:t>
      </w:r>
      <w:r>
        <w:rPr>
          <w:rFonts w:ascii="Courier New" w:hAnsi="Courier New"/>
          <w:sz w:val="18"/>
        </w:rPr>
        <w:t>user</w:t>
      </w:r>
      <w:r>
        <w:rPr>
          <w:rFonts w:ascii="Arial" w:hAnsi="Arial"/>
          <w:sz w:val="22"/>
        </w:rPr>
        <w:t>. Esta política de mínimo privilegio por defecto garantiza que un valor inesperado en la base de datos no escale privilegios.</w:t>
      </w:r>
    </w:p>
    <w:p>
      <w:pPr>
        <w:pStyle w:val="Heading3"/>
      </w:pPr>
      <w:r>
        <w:t>5.10.4 Triple capa de defensa en la resolución de roles</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El flujo completo de resolución de rol incorpora tres niveles de verificación: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Capa</w:t>
            </w:r>
          </w:p>
        </w:tc>
        <w:tc>
          <w:tcPr>
            <w:tcW w:type="dxa" w:w="3041"/>
          </w:tcPr>
          <w:p>
            <w:pPr>
              <w:spacing w:before="40" w:after="40"/>
            </w:pPr>
            <w:r>
              <w:rPr>
                <w:b/>
                <w:sz w:val="20"/>
              </w:rPr>
              <w:t>Ubicación</w:t>
            </w:r>
          </w:p>
        </w:tc>
        <w:tc>
          <w:tcPr>
            <w:tcW w:type="dxa" w:w="3041"/>
          </w:tcPr>
          <w:p>
            <w:pPr>
              <w:spacing w:before="40" w:after="40"/>
            </w:pPr>
            <w:r>
              <w:rPr>
                <w:b/>
                <w:sz w:val="20"/>
              </w:rPr>
              <w:t>Acción defensiva</w:t>
            </w:r>
          </w:p>
        </w:tc>
      </w:tr>
      <w:tr>
        <w:tc>
          <w:tcPr>
            <w:tcW w:type="dxa" w:w="3041"/>
          </w:tcPr>
          <w:p>
            <w:pPr>
              <w:spacing w:before="40" w:after="40"/>
            </w:pPr>
            <w:r>
              <w:rPr>
                <w:rFonts w:ascii="Arial" w:hAnsi="Arial"/>
                <w:sz w:val="20"/>
              </w:rPr>
              <w:t>1 — RPC</w:t>
            </w:r>
          </w:p>
        </w:tc>
        <w:tc>
          <w:tcPr>
            <w:tcW w:type="dxa" w:w="3041"/>
          </w:tcPr>
          <w:p>
            <w:pPr>
              <w:spacing w:before="40" w:after="40"/>
            </w:pPr>
            <w:r>
              <w:rPr>
                <w:rFonts w:ascii="Courier New" w:hAnsi="Courier New"/>
                <w:sz w:val="20"/>
              </w:rPr>
              <w:t>rls.sql: get_my_role()</w:t>
            </w:r>
          </w:p>
        </w:tc>
        <w:tc>
          <w:tcPr>
            <w:tcW w:type="dxa" w:w="3041"/>
          </w:tcPr>
          <w:p>
            <w:pPr>
              <w:spacing w:before="40" w:after="40"/>
            </w:pPr>
            <w:r>
              <w:rPr>
                <w:rFonts w:ascii="Arial" w:hAnsi="Arial"/>
                <w:sz w:val="20"/>
              </w:rPr>
              <w:t xml:space="preserve">Solo retorna </w:t>
            </w:r>
            <w:r>
              <w:rPr>
                <w:rFonts w:ascii="Courier New" w:hAnsi="Courier New"/>
                <w:sz w:val="20"/>
              </w:rPr>
              <w:t>admin</w:t>
            </w:r>
            <w:r>
              <w:rPr>
                <w:rFonts w:ascii="Arial" w:hAnsi="Arial"/>
                <w:sz w:val="20"/>
              </w:rPr>
              <w:t xml:space="preserve"> si existe en </w:t>
            </w:r>
            <w:r>
              <w:rPr>
                <w:rFonts w:ascii="Courier New" w:hAnsi="Courier New"/>
                <w:sz w:val="20"/>
              </w:rPr>
              <w:t>user_roles</w:t>
            </w:r>
            <w:r>
              <w:rPr>
                <w:rFonts w:ascii="Arial" w:hAnsi="Arial"/>
                <w:sz w:val="20"/>
              </w:rPr>
              <w:t xml:space="preserve"> o </w:t>
            </w:r>
            <w:r>
              <w:rPr>
                <w:rFonts w:ascii="Courier New" w:hAnsi="Courier New"/>
                <w:sz w:val="20"/>
              </w:rPr>
              <w:t>profiles.role</w:t>
            </w:r>
          </w:p>
        </w:tc>
      </w:tr>
      <w:tr>
        <w:tc>
          <w:tcPr>
            <w:tcW w:type="dxa" w:w="3041"/>
          </w:tcPr>
          <w:p>
            <w:pPr>
              <w:spacing w:before="40" w:after="40"/>
            </w:pPr>
            <w:r>
              <w:rPr>
                <w:rFonts w:ascii="Arial" w:hAnsi="Arial"/>
                <w:sz w:val="20"/>
              </w:rPr>
              <w:t>2 — resolveRole</w:t>
            </w:r>
          </w:p>
        </w:tc>
        <w:tc>
          <w:tcPr>
            <w:tcW w:type="dxa" w:w="3041"/>
          </w:tcPr>
          <w:p>
            <w:pPr>
              <w:spacing w:before="40" w:after="40"/>
            </w:pPr>
            <w:r>
              <w:rPr>
                <w:rFonts w:ascii="Courier New" w:hAnsi="Courier New"/>
                <w:sz w:val="20"/>
              </w:rPr>
              <w:t>lib/auth.ts: resolveRole()</w:t>
            </w:r>
          </w:p>
        </w:tc>
        <w:tc>
          <w:tcPr>
            <w:tcW w:type="dxa" w:w="3041"/>
          </w:tcPr>
          <w:p>
            <w:pPr>
              <w:spacing w:before="40" w:after="40"/>
            </w:pPr>
            <w:r>
              <w:rPr>
                <w:rFonts w:ascii="Arial" w:hAnsi="Arial"/>
                <w:sz w:val="20"/>
              </w:rPr>
              <w:t xml:space="preserve">Acepta únicamente los literales </w:t>
            </w:r>
            <w:r>
              <w:rPr>
                <w:rFonts w:ascii="Courier New" w:hAnsi="Courier New"/>
                <w:sz w:val="20"/>
              </w:rPr>
              <w:t>"admin"</w:t>
            </w:r>
            <w:r>
              <w:rPr>
                <w:rFonts w:ascii="Arial" w:hAnsi="Arial"/>
                <w:sz w:val="20"/>
              </w:rPr>
              <w:t xml:space="preserve"> o </w:t>
            </w:r>
            <w:r>
              <w:rPr>
                <w:rFonts w:ascii="Courier New" w:hAnsi="Courier New"/>
                <w:sz w:val="20"/>
              </w:rPr>
              <w:t>"user"</w:t>
            </w:r>
            <w:r>
              <w:rPr>
                <w:rFonts w:ascii="Arial" w:hAnsi="Arial"/>
                <w:sz w:val="20"/>
              </w:rPr>
              <w:t xml:space="preserve">; cualquier otro valor retorna </w:t>
            </w:r>
            <w:r>
              <w:rPr>
                <w:rFonts w:ascii="Courier New" w:hAnsi="Courier New"/>
                <w:sz w:val="20"/>
              </w:rPr>
              <w:t>"user"</w:t>
            </w:r>
          </w:p>
        </w:tc>
      </w:tr>
      <w:tr>
        <w:tc>
          <w:tcPr>
            <w:tcW w:type="dxa" w:w="3041"/>
          </w:tcPr>
          <w:p>
            <w:pPr>
              <w:spacing w:before="40" w:after="40"/>
            </w:pPr>
            <w:r>
              <w:rPr>
                <w:rFonts w:ascii="Arial" w:hAnsi="Arial"/>
                <w:sz w:val="20"/>
              </w:rPr>
              <w:t>3 — Fallback en error</w:t>
            </w:r>
          </w:p>
        </w:tc>
        <w:tc>
          <w:tcPr>
            <w:tcW w:type="dxa" w:w="3041"/>
          </w:tcPr>
          <w:p>
            <w:pPr>
              <w:spacing w:before="40" w:after="40"/>
            </w:pPr>
            <w:r>
              <w:rPr>
                <w:rFonts w:ascii="Courier New" w:hAnsi="Courier New"/>
                <w:sz w:val="20"/>
              </w:rPr>
              <w:t>lib/auth.ts: getRoleForSession()</w:t>
            </w:r>
          </w:p>
        </w:tc>
        <w:tc>
          <w:tcPr>
            <w:tcW w:type="dxa" w:w="3041"/>
          </w:tcPr>
          <w:p>
            <w:pPr>
              <w:spacing w:before="40" w:after="40"/>
            </w:pPr>
            <w:r>
              <w:rPr>
                <w:rFonts w:ascii="Arial" w:hAnsi="Arial"/>
                <w:sz w:val="20"/>
              </w:rPr>
              <w:t xml:space="preserve">Si el RPC produce un error de cualquier tipo, retorna </w:t>
            </w:r>
            <w:r>
              <w:rPr>
                <w:rFonts w:ascii="Courier New" w:hAnsi="Courier New"/>
                <w:sz w:val="20"/>
              </w:rPr>
              <w:t>"user"</w:t>
            </w:r>
            <w:r>
              <w:rPr>
                <w:rFonts w:ascii="Arial" w:hAnsi="Arial"/>
                <w:sz w:val="20"/>
              </w:rPr>
              <w:t xml:space="preserve"> como valor seguro</w:t>
            </w:r>
          </w:p>
        </w:tc>
      </w:tr>
    </w:tbl>
    <w:p/>
    <w:p>
      <w:pPr>
        <w:pStyle w:val="CodeBlock"/>
        <w:shd w:val="clear" w:color="auto" w:fill="F2F2F2"/>
      </w:pPr>
      <w:r>
        <w:t>// lib/auth.ts</w:t>
        <w:br/>
        <w:t>export const getRoleForSession = async (supabase: SupabaseClient): Promise&lt;ProfileRole&gt; =&gt; {</w:t>
        <w:br/>
        <w:t xml:space="preserve">  const { data, error } = await supabase.rpc("get_my_role");</w:t>
        <w:br/>
        <w:t xml:space="preserve">  if (error) return "user";  // Capa 3</w:t>
        <w:br/>
        <w:t xml:space="preserve">  return resolveRole(typeof data === "string" ? data : null);  // Capa 2</w:t>
        <w:br/>
        <w:t>};</w:t>
      </w:r>
    </w:p>
    <w:p>
      <w:pPr>
        <w:jc w:val="both"/>
      </w:pPr>
      <w:r>
        <w:rPr>
          <w:rFonts w:ascii="Arial" w:hAnsi="Arial"/>
          <w:sz w:val="22"/>
        </w:rPr>
        <w:t>Este diseño garantiza que ningún fallo de red, error de base de datos o valor inesperado escale los privilegios de un usuario.</w:t>
      </w:r>
    </w:p>
    <w:p>
      <w:pPr>
        <w:pStyle w:val="Heading3"/>
      </w:pPr>
      <w:r>
        <w:t>5.10.5 Políticas de Row Level Security</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rPr>
          <w:rFonts w:ascii="Arial" w:hAnsi="Arial"/>
          <w:sz w:val="22"/>
        </w:rPr>
        <w:t>. El patrón de políticas sigue dos arquetipos según el tipo de tabla:</w:t>
      </w:r>
    </w:p>
    <w:p>
      <w:pPr>
        <w:jc w:val="both"/>
      </w:pPr>
      <w:r>
        <w:rPr>
          <w:b/>
        </w:rPr>
        <w:t>Tablas de configuración</w:t>
      </w:r>
      <w:r>
        <w:rPr>
          <w:rFonts w:ascii="Arial" w:hAnsi="Arial"/>
          <w:sz w:val="22"/>
        </w:rPr>
        <w:t xml:space="preserve"> (modules, vacancies, assessments, questions, practical_tasks):</w:t>
      </w:r>
    </w:p>
    <w:p>
      <w:pPr>
        <w:pStyle w:val="ListBullet"/>
        <w:ind w:left="567"/>
      </w:pPr>
      <w:r>
        <w:rPr>
          <w:rFonts w:ascii="Arial" w:hAnsi="Arial"/>
          <w:sz w:val="22"/>
        </w:rPr>
        <w:t xml:space="preserve">Lectura permitida a todos los usuarios autenticados: </w:t>
      </w:r>
      <w:r>
        <w:rPr>
          <w:rFonts w:ascii="Courier New" w:hAnsi="Courier New"/>
          <w:sz w:val="18"/>
        </w:rPr>
        <w:t>USING (true)</w:t>
      </w:r>
      <w:r>
        <w:rPr>
          <w:rFonts w:ascii="Arial" w:hAnsi="Arial"/>
          <w:sz w:val="22"/>
        </w:rPr>
        <w:t xml:space="preserve"> para </w:t>
      </w:r>
      <w:r>
        <w:rPr>
          <w:rFonts w:ascii="Courier New" w:hAnsi="Courier New"/>
          <w:sz w:val="18"/>
        </w:rPr>
        <w:t>authenticated</w:t>
      </w:r>
    </w:p>
    <w:p>
      <w:pPr>
        <w:pStyle w:val="ListBullet"/>
        <w:ind w:left="567"/>
      </w:pPr>
      <w:r>
        <w:rPr>
          <w:rFonts w:ascii="Arial" w:hAnsi="Arial"/>
          <w:sz w:val="22"/>
        </w:rPr>
        <w:t xml:space="preserve">Escritura permitida solo a administradores: </w:t>
      </w:r>
      <w:r>
        <w:rPr>
          <w:rFonts w:ascii="Courier New" w:hAnsi="Courier New"/>
          <w:sz w:val="18"/>
        </w:rPr>
        <w:t>USING (get_my_role() = 'admin')</w:t>
      </w:r>
    </w:p>
    <w:p>
      <w:pPr>
        <w:jc w:val="both"/>
      </w:pPr>
      <w:r>
        <w:rPr>
          <w:b/>
        </w:rPr>
        <w:t>Tablas de participación</w:t>
      </w:r>
      <w:r>
        <w:rPr>
          <w:rFonts w:ascii="Arial" w:hAnsi="Arial"/>
          <w:sz w:val="22"/>
        </w:rPr>
        <w:t xml:space="preserve"> (applications, attempts, answers, evidence_uploads, reviews):</w:t>
      </w:r>
    </w:p>
    <w:p>
      <w:pPr>
        <w:pStyle w:val="ListBullet"/>
        <w:ind w:left="567"/>
      </w:pPr>
      <w:r>
        <w:rPr>
          <w:rFonts w:ascii="Arial" w:hAnsi="Arial"/>
          <w:sz w:val="22"/>
        </w:rPr>
        <w:t xml:space="preserve">Lectura y escritura del usuario sobre sus propios registros: filtra por </w:t>
      </w:r>
      <w:r>
        <w:rPr>
          <w:rFonts w:ascii="Courier New" w:hAnsi="Courier New"/>
          <w:sz w:val="18"/>
        </w:rPr>
        <w:t>user_id = auth.uid()</w:t>
      </w:r>
      <w:r>
        <w:rPr>
          <w:rFonts w:ascii="Arial" w:hAnsi="Arial"/>
          <w:sz w:val="22"/>
        </w:rPr>
        <w:t xml:space="preserve"> o por relación transitiva hacia el </w:t>
      </w:r>
      <w:r>
        <w:rPr>
          <w:rFonts w:ascii="Courier New" w:hAnsi="Courier New"/>
          <w:sz w:val="18"/>
        </w:rPr>
        <w:t>user_id</w:t>
      </w:r>
    </w:p>
    <w:p>
      <w:pPr>
        <w:pStyle w:val="ListBullet"/>
        <w:ind w:left="567"/>
      </w:pPr>
      <w:r>
        <w:rPr>
          <w:rFonts w:ascii="Arial" w:hAnsi="Arial"/>
          <w:sz w:val="22"/>
        </w:rPr>
        <w:t xml:space="preserve">Acceso completo a administradores: política separada que verifica </w:t>
      </w:r>
      <w:r>
        <w:rPr>
          <w:rFonts w:ascii="Courier New" w:hAnsi="Courier New"/>
          <w:sz w:val="18"/>
        </w:rPr>
        <w:t>get_my_role() = 'admin'</w:t>
      </w:r>
    </w:p>
    <w:p>
      <w:pPr>
        <w:jc w:val="both"/>
      </w:pPr>
      <w:r>
        <w:rPr>
          <w:rFonts w:ascii="Arial" w:hAnsi="Arial"/>
          <w:sz w:val="22"/>
        </w:rPr>
        <w:t>Esta separación garantiza que un candidato autenticado solo pueda acceder a sus propias postulaciones, intentos y respuestas, sin visibilidad de los de otros candidatos.</w:t>
      </w:r>
    </w:p>
    <w:p>
      <w:pPr>
        <w:pStyle w:val="Heading3"/>
      </w:pPr>
      <w:r>
        <w:t>5.10.6 Cliente privilegiado: uso y alcance del service_role</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El cliente </w:t>
      </w:r>
      <w:r>
        <w:rPr>
          <w:rFonts w:ascii="Courier New" w:hAnsi="Courier New"/>
          <w:sz w:val="18"/>
        </w:rPr>
        <w:t>supabaseServer()</w:t>
      </w:r>
      <w:r>
        <w:rPr>
          <w:rFonts w:ascii="Arial" w:hAnsi="Arial"/>
          <w:sz w:val="22"/>
        </w:rPr>
        <w:t xml:space="preserve"> usa la </w:t>
      </w:r>
      <w:r>
        <w:rPr>
          <w:rFonts w:ascii="Courier New" w:hAnsi="Courier New"/>
          <w:sz w:val="18"/>
        </w:rPr>
        <w:t>SUPABASE_SERVICE_ROLE_KEY</w:t>
      </w:r>
      <w:r>
        <w:rPr>
          <w:rFonts w:ascii="Arial" w:hAnsi="Arial"/>
          <w:sz w:val="22"/>
        </w:rPr>
        <w:t>, que omite RLS. Los contextos en que se usa este cliente son los siguientes:</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Contexto</w:t>
            </w:r>
          </w:p>
        </w:tc>
        <w:tc>
          <w:tcPr>
            <w:tcW w:type="dxa" w:w="4561"/>
          </w:tcPr>
          <w:p>
            <w:pPr>
              <w:spacing w:before="40" w:after="40"/>
            </w:pPr>
            <w:r>
              <w:rPr>
                <w:b/>
                <w:sz w:val="20"/>
              </w:rPr>
              <w:t>Razón del uso de service_role</w:t>
            </w:r>
          </w:p>
        </w:tc>
      </w:tr>
      <w:tr>
        <w:tc>
          <w:tcPr>
            <w:tcW w:type="dxa" w:w="4561"/>
          </w:tcPr>
          <w:p>
            <w:pPr>
              <w:spacing w:before="40" w:after="40"/>
            </w:pPr>
            <w:r>
              <w:rPr>
                <w:rFonts w:ascii="Courier New" w:hAnsi="Courier New"/>
                <w:sz w:val="20"/>
              </w:rPr>
              <w:t>register/route.ts</w:t>
            </w:r>
          </w:p>
        </w:tc>
        <w:tc>
          <w:tcPr>
            <w:tcW w:type="dxa" w:w="4561"/>
          </w:tcPr>
          <w:p>
            <w:pPr>
              <w:spacing w:before="40" w:after="40"/>
            </w:pPr>
            <w:r>
              <w:rPr>
                <w:rFonts w:ascii="Arial" w:hAnsi="Arial"/>
                <w:sz w:val="20"/>
              </w:rPr>
              <w:t>Crear usuario en Auth (</w:t>
            </w:r>
            <w:r>
              <w:rPr>
                <w:rFonts w:ascii="Courier New" w:hAnsi="Courier New"/>
                <w:sz w:val="20"/>
              </w:rPr>
              <w:t>admin.createUser</w:t>
            </w:r>
            <w:r>
              <w:rPr>
                <w:rFonts w:ascii="Arial" w:hAnsi="Arial"/>
                <w:sz w:val="20"/>
              </w:rPr>
              <w:t>) y operaciones de rollback</w:t>
            </w:r>
          </w:p>
        </w:tc>
      </w:tr>
      <w:tr>
        <w:tc>
          <w:tcPr>
            <w:tcW w:type="dxa" w:w="4561"/>
          </w:tcPr>
          <w:p>
            <w:pPr>
              <w:spacing w:before="40" w:after="40"/>
            </w:pPr>
            <w:r>
              <w:rPr>
                <w:rFonts w:ascii="Courier New" w:hAnsi="Courier New"/>
                <w:sz w:val="20"/>
              </w:rPr>
              <w:t>submit/route.ts</w:t>
            </w:r>
          </w:p>
        </w:tc>
        <w:tc>
          <w:tcPr>
            <w:tcW w:type="dxa" w:w="4561"/>
          </w:tcPr>
          <w:p>
            <w:pPr>
              <w:spacing w:before="40" w:after="40"/>
            </w:pPr>
            <w:r>
              <w:rPr>
                <w:rFonts w:ascii="Arial" w:hAnsi="Arial"/>
                <w:sz w:val="20"/>
              </w:rPr>
              <w:t xml:space="preserve">Verificar intento y actualizar </w:t>
            </w:r>
            <w:r>
              <w:rPr>
                <w:rFonts w:ascii="Courier New" w:hAnsi="Courier New"/>
                <w:sz w:val="20"/>
              </w:rPr>
              <w:t>attempts</w:t>
            </w:r>
            <w:r>
              <w:rPr>
                <w:rFonts w:ascii="Arial" w:hAnsi="Arial"/>
                <w:sz w:val="20"/>
              </w:rPr>
              <w:t xml:space="preserve"> (acceso cross-user no permitido por RLS de candidato)</w:t>
            </w:r>
          </w:p>
        </w:tc>
      </w:tr>
      <w:tr>
        <w:tc>
          <w:tcPr>
            <w:tcW w:type="dxa" w:w="4561"/>
          </w:tcPr>
          <w:p>
            <w:pPr>
              <w:spacing w:before="40" w:after="40"/>
            </w:pPr>
            <w:r>
              <w:rPr>
                <w:rFonts w:ascii="Courier New" w:hAnsi="Courier New"/>
                <w:sz w:val="20"/>
              </w:rPr>
              <w:t>answers/route.ts</w:t>
            </w:r>
          </w:p>
        </w:tc>
        <w:tc>
          <w:tcPr>
            <w:tcW w:type="dxa" w:w="4561"/>
          </w:tcPr>
          <w:p>
            <w:pPr>
              <w:spacing w:before="40" w:after="40"/>
            </w:pPr>
            <w:r>
              <w:rPr>
                <w:rFonts w:ascii="Arial" w:hAnsi="Arial"/>
                <w:sz w:val="20"/>
              </w:rPr>
              <w:t>Verificar pertenencia del intento con relación cruzada</w:t>
            </w:r>
          </w:p>
        </w:tc>
      </w:tr>
      <w:tr>
        <w:tc>
          <w:tcPr>
            <w:tcW w:type="dxa" w:w="4561"/>
          </w:tcPr>
          <w:p>
            <w:pPr>
              <w:spacing w:before="40" w:after="40"/>
            </w:pPr>
            <w:r>
              <w:rPr>
                <w:rFonts w:ascii="Courier New" w:hAnsi="Courier New"/>
                <w:sz w:val="20"/>
              </w:rPr>
              <w:t>apply/route.ts</w:t>
            </w:r>
          </w:p>
        </w:tc>
        <w:tc>
          <w:tcPr>
            <w:tcW w:type="dxa" w:w="4561"/>
          </w:tcPr>
          <w:p>
            <w:pPr>
              <w:spacing w:before="40" w:after="40"/>
            </w:pPr>
            <w:r>
              <w:rPr>
                <w:rFonts w:ascii="Arial" w:hAnsi="Arial"/>
                <w:sz w:val="20"/>
              </w:rPr>
              <w:t>Verificar estado del psicométrico y crear application/attempt</w:t>
            </w:r>
          </w:p>
        </w:tc>
      </w:tr>
      <w:tr>
        <w:tc>
          <w:tcPr>
            <w:tcW w:type="dxa" w:w="4561"/>
          </w:tcPr>
          <w:p>
            <w:pPr>
              <w:spacing w:before="40" w:after="40"/>
            </w:pPr>
            <w:r>
              <w:rPr>
                <w:rFonts w:ascii="Arial" w:hAnsi="Arial"/>
                <w:sz w:val="20"/>
              </w:rPr>
              <w:t xml:space="preserve">Todos los endpoints </w:t>
            </w:r>
            <w:r>
              <w:rPr>
                <w:rFonts w:ascii="Courier New" w:hAnsi="Courier New"/>
                <w:sz w:val="20"/>
              </w:rPr>
              <w:t>/api/admin/**</w:t>
            </w:r>
          </w:p>
        </w:tc>
        <w:tc>
          <w:tcPr>
            <w:tcW w:type="dxa" w:w="4561"/>
          </w:tcPr>
          <w:p>
            <w:pPr>
              <w:spacing w:before="40" w:after="40"/>
            </w:pPr>
            <w:r>
              <w:rPr>
                <w:rFonts w:ascii="Arial" w:hAnsi="Arial"/>
                <w:sz w:val="20"/>
              </w:rPr>
              <w:t>Operaciones administrativas sobre registros de múltiples usuarios</w:t>
            </w:r>
          </w:p>
        </w:tc>
      </w:tr>
    </w:tbl>
    <w:p/>
    <w:p>
      <w:pPr>
        <w:jc w:val="both"/>
      </w:pPr>
      <w:r>
        <w:rPr>
          <w:rFonts w:ascii="Arial" w:hAnsi="Arial"/>
          <w:sz w:val="22"/>
        </w:rPr>
        <w:t xml:space="preserve">Es importante distinguir que usar el cliente de servicio no equivale a omitir la autenticación. Todos los Route Handlers que usan </w:t>
      </w:r>
      <w:r>
        <w:rPr>
          <w:rFonts w:ascii="Courier New" w:hAnsi="Courier New"/>
          <w:sz w:val="18"/>
        </w:rPr>
        <w:t>supabaseServer()</w:t>
      </w:r>
      <w:r>
        <w:rPr>
          <w:rFonts w:ascii="Arial" w:hAnsi="Arial"/>
          <w:sz w:val="22"/>
        </w:rPr>
        <w:t xml:space="preserve"> validan explícitamente el JWT del solicitante antes de usar el cliente privilegiado:</w:t>
      </w:r>
    </w:p>
    <w:p>
      <w:pPr>
        <w:pStyle w:val="CodeBlock"/>
        <w:shd w:val="clear" w:color="auto" w:fill="F2F2F2"/>
      </w:pPr>
      <w:r>
        <w:t>// Patrón de validación previa al uso de service_role</w:t>
        <w:br/>
        <w:t>const { data: userData, error: userError } = await supabase.auth.getUser(token);</w:t>
        <w:br/>
        <w:t>if (userError || !userData.user) return NextResponse.json({ error: "Sesión inválida" }, { status: 401 });</w:t>
        <w:br/>
        <w:t>// Solo después de esta verificación se usan operaciones privilegiadas</w:t>
      </w:r>
    </w:p>
    <w:p>
      <w:pPr>
        <w:jc w:val="both"/>
      </w:pPr>
      <w:r>
        <w:rPr>
          <w:rFonts w:ascii="Arial" w:hAnsi="Arial"/>
          <w:sz w:val="22"/>
        </w:rPr>
        <w:t>Lo que la clave de servicio omite es la verificación de RLS sobre los datos; la verificación de identidad del solicitante es siempre responsabilidad del código de la API, no de las políticas de base de datos.</w:t>
      </w:r>
    </w:p>
    <w:p>
      <w:pPr>
        <w:pStyle w:val="Heading3"/>
      </w:pPr>
      <w:r>
        <w:t>5.10.7 Validación de pertenencia de intentos</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Tanto el guardado de respuestas como el envío del intento verifican que el intento consultado pertenezca al usuario autenticado:</w:t>
      </w:r>
    </w:p>
    <w:p>
      <w:pPr>
        <w:pStyle w:val="CodeBlock"/>
        <w:shd w:val="clear" w:color="auto" w:fill="F2F2F2"/>
      </w:pPr>
      <w:r>
        <w:t>// app/api/attempts/[attemptId]/answers/route.ts y submit/route.ts</w:t>
        <w:br/>
        <w:t>const application = Array.isArray(attempt.application)</w:t>
        <w:br/>
        <w:t xml:space="preserve">  ? attempt.application[0]</w:t>
        <w:br/>
        <w:t xml:space="preserve">  : attempt.application;</w:t>
        <w:br/>
        <w:br/>
        <w:t>if (!application || application.user_id !== userData.user.id) {</w:t>
        <w:br/>
        <w:t xml:space="preserve">  return NextResponse.json({ error: "No autorizado" }, { status: 403 });</w:t>
        <w:br/>
        <w:t>}</w:t>
      </w:r>
    </w:p>
    <w:p>
      <w:pPr>
        <w:jc w:val="both"/>
      </w:pPr>
      <w:r>
        <w:rPr>
          <w:rFonts w:ascii="Arial" w:hAnsi="Arial"/>
          <w:sz w:val="22"/>
        </w:rP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pPr>
        <w:pStyle w:val="Heading3"/>
      </w:pPr>
      <w:r>
        <w:t>5.10.8 Protección de CURP mediante HMAC-SHA256</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rPr>
          <w:rFonts w:ascii="Arial" w:hAnsi="Arial"/>
          <w:sz w:val="22"/>
        </w:rPr>
        <w:t>:</w:t>
      </w:r>
    </w:p>
    <w:p>
      <w:pPr>
        <w:pStyle w:val="CodeBlock"/>
        <w:shd w:val="clear" w:color="auto" w:fill="F2F2F2"/>
      </w:pPr>
      <w:r>
        <w:t>// lib/curp.ts</w:t>
        <w:br/>
        <w:t>export const hashCurpHmac = (secret: string, curp: string) =&gt;</w:t>
        <w:br/>
        <w:t xml:space="preserve">  crypto.createHmac("sha256", secret).update(normalizeCurp(curp)).digest("hex");</w:t>
      </w:r>
    </w:p>
    <w:p>
      <w:pPr>
        <w:jc w:val="both"/>
      </w:pPr>
      <w:r>
        <w:rPr>
          <w:rFonts w:ascii="Arial" w:hAnsi="Arial"/>
          <w:sz w:val="22"/>
        </w:rP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rPr>
          <w:rFonts w:ascii="Arial" w:hAnsi="Arial"/>
          <w:sz w:val="22"/>
        </w:rPr>
        <w:t xml:space="preserve"> almacena el hash y el </w:t>
      </w:r>
      <w:r>
        <w:rPr>
          <w:rFonts w:ascii="Courier New" w:hAnsi="Courier New"/>
          <w:sz w:val="18"/>
        </w:rPr>
        <w:t>user_id</w:t>
      </w:r>
      <w:r>
        <w:rPr>
          <w:rFonts w:ascii="Arial" w:hAnsi="Arial"/>
          <w:sz w:val="22"/>
        </w:rPr>
        <w:t xml:space="preserve"> correspondiente, con un índice UNIQUE que impide duplicados.</w:t>
      </w:r>
    </w:p>
    <w:p>
      <w:pPr>
        <w:pStyle w:val="Heading3"/>
      </w:pPr>
      <w:r>
        <w:t>5.10.9 Almacenamiento privado y URLs firmadas</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El bucket </w:t>
      </w:r>
      <w:r>
        <w:rPr>
          <w:rFonts w:ascii="Courier New" w:hAnsi="Courier New"/>
          <w:sz w:val="18"/>
        </w:rPr>
        <w:t>evidences</w:t>
      </w:r>
      <w:r>
        <w:rPr>
          <w:rFonts w:ascii="Arial" w:hAnsi="Arial"/>
          <w:sz w:val="22"/>
        </w:rPr>
        <w:t xml:space="preserve"> de Supabase Storage se configura con </w:t>
      </w:r>
      <w:r>
        <w:rPr>
          <w:rFonts w:ascii="Courier New" w:hAnsi="Courier New"/>
          <w:sz w:val="18"/>
        </w:rPr>
        <w:t>public = false</w:t>
      </w:r>
      <w:r>
        <w:rPr>
          <w:rFonts w:ascii="Arial" w:hAnsi="Arial"/>
          <w:sz w:val="22"/>
        </w:rPr>
        <w:t xml:space="preserve"> en </w:t>
      </w:r>
      <w:r>
        <w:rPr>
          <w:rFonts w:ascii="Courier New" w:hAnsi="Courier New"/>
          <w:sz w:val="18"/>
        </w:rPr>
        <w:t>rls.sql</w:t>
      </w:r>
      <w:r>
        <w:rPr>
          <w:rFonts w:ascii="Arial" w:hAnsi="Arial"/>
          <w:sz w:val="22"/>
        </w:rP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pPr>
        <w:jc w:val="both"/>
      </w:pPr>
      <w:r>
        <w:rPr>
          <w:rFonts w:ascii="Arial" w:hAnsi="Arial"/>
          <w:sz w:val="22"/>
        </w:rPr>
        <w:t xml:space="preserve">La interfaz de evaluación usa </w:t>
      </w:r>
      <w:r>
        <w:rPr>
          <w:rFonts w:ascii="Courier New" w:hAnsi="Courier New"/>
          <w:sz w:val="18"/>
        </w:rPr>
        <w:t>getPublicUrl()</w:t>
      </w:r>
      <w:r>
        <w:rPr>
          <w:rFonts w:ascii="Arial" w:hAnsi="Arial"/>
          <w:sz w:val="22"/>
        </w:rP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pPr>
        <w:pStyle w:val="Heading3"/>
      </w:pPr>
      <w:r>
        <w:t>5.10.10 Variables de entorno y separación de credenciales</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 xml:space="preserve">La convención de Next.js distingue automáticamente las variables con prefijo </w:t>
      </w:r>
      <w:r>
        <w:rPr>
          <w:rFonts w:ascii="Courier New" w:hAnsi="Courier New"/>
          <w:sz w:val="18"/>
        </w:rPr>
        <w:t>NEXT_PUBLIC_</w:t>
      </w:r>
      <w:r>
        <w:rPr>
          <w:rFonts w:ascii="Arial" w:hAnsi="Arial"/>
          <w:sz w:val="22"/>
        </w:rPr>
        <w:t xml:space="preserve"> (incluidas en el bundle del cliente) de las que no lo tienen (exclusivas del servidor):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Variable</w:t>
            </w:r>
          </w:p>
        </w:tc>
        <w:tc>
          <w:tcPr>
            <w:tcW w:type="dxa" w:w="3041"/>
          </w:tcPr>
          <w:p>
            <w:pPr>
              <w:spacing w:before="40" w:after="40"/>
            </w:pPr>
            <w:r>
              <w:rPr>
                <w:b/>
                <w:sz w:val="20"/>
              </w:rPr>
              <w:t>Expuesta al cliente</w:t>
            </w:r>
          </w:p>
        </w:tc>
        <w:tc>
          <w:tcPr>
            <w:tcW w:type="dxa" w:w="3041"/>
          </w:tcPr>
          <w:p>
            <w:pPr>
              <w:spacing w:before="40" w:after="40"/>
            </w:pPr>
            <w:r>
              <w:rPr>
                <w:b/>
                <w:sz w:val="20"/>
              </w:rPr>
              <w:t>Propósito</w:t>
            </w:r>
          </w:p>
        </w:tc>
      </w:tr>
      <w:tr>
        <w:tc>
          <w:tcPr>
            <w:tcW w:type="dxa" w:w="3041"/>
          </w:tcPr>
          <w:p>
            <w:pPr>
              <w:spacing w:before="40" w:after="40"/>
            </w:pPr>
            <w:r>
              <w:rPr>
                <w:rFonts w:ascii="Courier New" w:hAnsi="Courier New"/>
                <w:sz w:val="20"/>
              </w:rPr>
              <w:t>NEXT_PUBLIC_SUPABASE_URL</w:t>
            </w:r>
          </w:p>
        </w:tc>
        <w:tc>
          <w:tcPr>
            <w:tcW w:type="dxa" w:w="3041"/>
          </w:tcPr>
          <w:p>
            <w:pPr>
              <w:spacing w:before="40" w:after="40"/>
            </w:pPr>
            <w:r>
              <w:rPr>
                <w:rFonts w:ascii="Arial" w:hAnsi="Arial"/>
                <w:sz w:val="20"/>
              </w:rPr>
              <w:t>Sí</w:t>
            </w:r>
          </w:p>
        </w:tc>
        <w:tc>
          <w:tcPr>
            <w:tcW w:type="dxa" w:w="3041"/>
          </w:tcPr>
          <w:p>
            <w:pPr>
              <w:spacing w:before="40" w:after="40"/>
            </w:pPr>
            <w:r>
              <w:rPr>
                <w:rFonts w:ascii="Arial" w:hAnsi="Arial"/>
                <w:sz w:val="20"/>
              </w:rPr>
              <w:t>URL del proyecto Supabase</w:t>
            </w:r>
          </w:p>
        </w:tc>
      </w:tr>
      <w:tr>
        <w:tc>
          <w:tcPr>
            <w:tcW w:type="dxa" w:w="3041"/>
          </w:tcPr>
          <w:p>
            <w:pPr>
              <w:spacing w:before="40" w:after="40"/>
            </w:pPr>
            <w:r>
              <w:rPr>
                <w:rFonts w:ascii="Courier New" w:hAnsi="Courier New"/>
                <w:sz w:val="20"/>
              </w:rPr>
              <w:t>NEXT_PUBLIC_SUPABASE_ANON_KEY</w:t>
            </w:r>
          </w:p>
        </w:tc>
        <w:tc>
          <w:tcPr>
            <w:tcW w:type="dxa" w:w="3041"/>
          </w:tcPr>
          <w:p>
            <w:pPr>
              <w:spacing w:before="40" w:after="40"/>
            </w:pPr>
            <w:r>
              <w:rPr>
                <w:rFonts w:ascii="Arial" w:hAnsi="Arial"/>
                <w:sz w:val="20"/>
              </w:rPr>
              <w:t>Sí</w:t>
            </w:r>
          </w:p>
        </w:tc>
        <w:tc>
          <w:tcPr>
            <w:tcW w:type="dxa" w:w="3041"/>
          </w:tcPr>
          <w:p>
            <w:pPr>
              <w:spacing w:before="40" w:after="40"/>
            </w:pPr>
            <w:r>
              <w:rPr>
                <w:rFonts w:ascii="Arial" w:hAnsi="Arial"/>
                <w:sz w:val="20"/>
              </w:rPr>
              <w:t>Clave de RLS para el navegador</w:t>
            </w:r>
          </w:p>
        </w:tc>
      </w:tr>
      <w:tr>
        <w:tc>
          <w:tcPr>
            <w:tcW w:type="dxa" w:w="3041"/>
          </w:tcPr>
          <w:p>
            <w:pPr>
              <w:spacing w:before="40" w:after="40"/>
            </w:pPr>
            <w:r>
              <w:rPr>
                <w:rFonts w:ascii="Courier New" w:hAnsi="Courier New"/>
                <w:sz w:val="20"/>
              </w:rPr>
              <w:t>SUPABASE_SERVICE_ROLE_KEY</w:t>
            </w:r>
          </w:p>
        </w:tc>
        <w:tc>
          <w:tcPr>
            <w:tcW w:type="dxa" w:w="3041"/>
          </w:tcPr>
          <w:p>
            <w:pPr>
              <w:spacing w:before="40" w:after="40"/>
            </w:pPr>
            <w:r>
              <w:rPr>
                <w:rFonts w:ascii="Arial" w:hAnsi="Arial"/>
                <w:sz w:val="20"/>
              </w:rPr>
              <w:t>No</w:t>
            </w:r>
          </w:p>
        </w:tc>
        <w:tc>
          <w:tcPr>
            <w:tcW w:type="dxa" w:w="3041"/>
          </w:tcPr>
          <w:p>
            <w:pPr>
              <w:spacing w:before="40" w:after="40"/>
            </w:pPr>
            <w:r>
              <w:rPr>
                <w:rFonts w:ascii="Arial" w:hAnsi="Arial"/>
                <w:sz w:val="20"/>
              </w:rPr>
              <w:t>Acceso privilegiado del servidor</w:t>
            </w:r>
          </w:p>
        </w:tc>
      </w:tr>
      <w:tr>
        <w:tc>
          <w:tcPr>
            <w:tcW w:type="dxa" w:w="3041"/>
          </w:tcPr>
          <w:p>
            <w:pPr>
              <w:spacing w:before="40" w:after="40"/>
            </w:pPr>
            <w:r>
              <w:rPr>
                <w:rFonts w:ascii="Courier New" w:hAnsi="Courier New"/>
                <w:sz w:val="20"/>
              </w:rPr>
              <w:t>CURP_HASH_SECRET</w:t>
            </w:r>
          </w:p>
        </w:tc>
        <w:tc>
          <w:tcPr>
            <w:tcW w:type="dxa" w:w="3041"/>
          </w:tcPr>
          <w:p>
            <w:pPr>
              <w:spacing w:before="40" w:after="40"/>
            </w:pPr>
            <w:r>
              <w:rPr>
                <w:rFonts w:ascii="Arial" w:hAnsi="Arial"/>
                <w:sz w:val="20"/>
              </w:rPr>
              <w:t>No</w:t>
            </w:r>
          </w:p>
        </w:tc>
        <w:tc>
          <w:tcPr>
            <w:tcW w:type="dxa" w:w="3041"/>
          </w:tcPr>
          <w:p>
            <w:pPr>
              <w:spacing w:before="40" w:after="40"/>
            </w:pPr>
            <w:r>
              <w:rPr>
                <w:rFonts w:ascii="Arial" w:hAnsi="Arial"/>
                <w:sz w:val="20"/>
              </w:rPr>
              <w:t>Clave HMAC para protección de CURP</w:t>
            </w:r>
          </w:p>
        </w:tc>
      </w:tr>
    </w:tbl>
    <w:p/>
    <w:p>
      <w:pPr>
        <w:jc w:val="both"/>
      </w:pPr>
      <w:r>
        <w:rPr>
          <w:rFonts w:ascii="Arial" w:hAnsi="Arial"/>
          <w:sz w:val="22"/>
        </w:rPr>
        <w:t>La clave de servicio y el secreto HMAC nunca se incluyen en el bundle de JavaScript enviado al navegador. Si un usuario inspeccionara el código de red, solo podría recuperar la clave anónima, cuyo uso está limitado por las políticas de RLS.</w:t>
      </w:r>
    </w:p>
    <w:p>
      <w:pPr>
        <w:pStyle w:val="Heading3"/>
      </w:pPr>
      <w:r>
        <w:t>5.10.11 Limitaciones de seguridad del MVP</w:t>
      </w:r>
    </w:p>
    <w:p>
      <w:pPr>
        <w:jc w:val="center"/>
        <w:shd w:val="clear" w:color="auto" w:fill="FFE8E8"/>
      </w:pPr>
      <w:r>
        <w:rPr>
          <w:b/>
          <w:color w:val="B40000"/>
          <w:sz w:val="20"/>
        </w:rPr>
        <w:t>[ Figura 5.16. [MARCADOR — EV-5B-02 PENDIENTE: captura de vista de detalle del candidato en el panel de administración (/admin/attempts/[id]).] ]</w:t>
      </w:r>
    </w:p>
    <w:p>
      <w:pPr>
        <w:pStyle w:val="FigureCaption"/>
      </w:pPr>
      <w:r>
        <w:t>Figura 5.16. [MARCADOR — EV-5B-02 PENDIENTE: captura de vista de detalle del candidato en el panel de administración (/admin/attempts/[id]).]</w:t>
      </w:r>
    </w:p>
    <w:p>
      <w:pPr>
        <w:jc w:val="both"/>
      </w:pPr>
      <w:r>
        <w:rPr>
          <w:rFonts w:ascii="Arial" w:hAnsi="Arial"/>
          <w:sz w:val="22"/>
        </w:rPr>
        <w:t>Las siguientes limitaciones se identifican como aspectos de seguridad que quedaron fuera del alcance del MVP: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Limitación</w:t>
            </w:r>
          </w:p>
        </w:tc>
        <w:tc>
          <w:tcPr>
            <w:tcW w:type="dxa" w:w="3041"/>
          </w:tcPr>
          <w:p>
            <w:pPr>
              <w:spacing w:before="40" w:after="40"/>
            </w:pPr>
            <w:r>
              <w:rPr>
                <w:b/>
                <w:sz w:val="20"/>
              </w:rPr>
              <w:t>Descripción</w:t>
            </w:r>
          </w:p>
        </w:tc>
        <w:tc>
          <w:tcPr>
            <w:tcW w:type="dxa" w:w="3041"/>
          </w:tcPr>
          <w:p>
            <w:pPr>
              <w:spacing w:before="40" w:after="40"/>
            </w:pPr>
            <w:r>
              <w:rPr>
                <w:b/>
                <w:sz w:val="20"/>
              </w:rPr>
              <w:t>Impacto</w:t>
            </w:r>
          </w:p>
        </w:tc>
      </w:tr>
      <w:tr>
        <w:tc>
          <w:tcPr>
            <w:tcW w:type="dxa" w:w="3041"/>
          </w:tcPr>
          <w:p>
            <w:pPr>
              <w:spacing w:before="40" w:after="40"/>
            </w:pPr>
            <w:r>
              <w:rPr>
                <w:rFonts w:ascii="Arial" w:hAnsi="Arial"/>
                <w:sz w:val="20"/>
              </w:rPr>
              <w:t xml:space="preserve">Sin </w:t>
            </w:r>
            <w:r>
              <w:rPr>
                <w:rFonts w:ascii="Courier New" w:hAnsi="Courier New"/>
                <w:sz w:val="20"/>
              </w:rPr>
              <w:t>middleware.ts</w:t>
            </w:r>
            <w:r>
              <w:rPr>
                <w:rFonts w:ascii="Arial" w:hAnsi="Arial"/>
                <w:sz w:val="20"/>
              </w:rPr>
              <w:t xml:space="preserve"> de Next.js</w:t>
            </w:r>
          </w:p>
        </w:tc>
        <w:tc>
          <w:tcPr>
            <w:tcW w:type="dxa" w:w="3041"/>
          </w:tcPr>
          <w:p>
            <w:pPr>
              <w:spacing w:before="40" w:after="40"/>
            </w:pPr>
            <w:r>
              <w:rPr>
                <w:rFonts w:ascii="Arial" w:hAnsi="Arial"/>
                <w:sz w:val="20"/>
              </w:rPr>
              <w:t xml:space="preserve">La protección de rutas es client-side mediante </w:t>
            </w:r>
            <w:r>
              <w:rPr>
                <w:rFonts w:ascii="Courier New" w:hAnsi="Courier New"/>
                <w:sz w:val="20"/>
              </w:rPr>
              <w:t>useEffect</w:t>
            </w:r>
            <w:r>
              <w:rPr>
                <w:rFonts w:ascii="Arial" w:hAnsi="Arial"/>
                <w:sz w:val="20"/>
              </w:rPr>
              <w:t>. Las páginas renderizan HTML antes de la verificación</w:t>
            </w:r>
          </w:p>
        </w:tc>
        <w:tc>
          <w:tcPr>
            <w:tcW w:type="dxa" w:w="3041"/>
          </w:tcPr>
          <w:p>
            <w:pPr>
              <w:spacing w:before="40" w:after="40"/>
            </w:pPr>
            <w:r>
              <w:rPr>
                <w:rFonts w:ascii="Arial" w:hAnsi="Arial"/>
                <w:sz w:val="20"/>
              </w:rPr>
              <w:t>UX (parpadeo de contenido), no exposición de datos</w:t>
            </w:r>
          </w:p>
        </w:tc>
      </w:tr>
      <w:tr>
        <w:tc>
          <w:tcPr>
            <w:tcW w:type="dxa" w:w="3041"/>
          </w:tcPr>
          <w:p>
            <w:pPr>
              <w:spacing w:before="40" w:after="40"/>
            </w:pPr>
            <w:r>
              <w:rPr>
                <w:rFonts w:ascii="Arial" w:hAnsi="Arial"/>
                <w:sz w:val="20"/>
              </w:rPr>
              <w:t>Sin validación de tipo MIME en servidor</w:t>
            </w:r>
          </w:p>
        </w:tc>
        <w:tc>
          <w:tcPr>
            <w:tcW w:type="dxa" w:w="3041"/>
          </w:tcPr>
          <w:p>
            <w:pPr>
              <w:spacing w:before="40" w:after="40"/>
            </w:pPr>
            <w:r>
              <w:rPr>
                <w:rFonts w:ascii="Arial" w:hAnsi="Arial"/>
                <w:sz w:val="20"/>
              </w:rPr>
              <w:t>La validación del tipo de archivo para evidencias ocurre solo en el cliente (</w:t>
            </w:r>
            <w:r>
              <w:rPr>
                <w:rFonts w:ascii="Courier New" w:hAnsi="Courier New"/>
                <w:sz w:val="20"/>
              </w:rPr>
              <w:t>accept="image/*,application/pdf"</w:t>
            </w:r>
            <w:r>
              <w:rPr>
                <w:rFonts w:ascii="Arial" w:hAnsi="Arial"/>
                <w:sz w:val="20"/>
              </w:rPr>
              <w:t>)</w:t>
            </w:r>
          </w:p>
        </w:tc>
        <w:tc>
          <w:tcPr>
            <w:tcW w:type="dxa" w:w="3041"/>
          </w:tcPr>
          <w:p>
            <w:pPr>
              <w:spacing w:before="40" w:after="40"/>
            </w:pPr>
            <w:r>
              <w:rPr>
                <w:rFonts w:ascii="Arial" w:hAnsi="Arial"/>
                <w:sz w:val="20"/>
              </w:rPr>
              <w:t>Bajo: el bucket privado previene acceso no autorizado al contenido</w:t>
            </w:r>
          </w:p>
        </w:tc>
      </w:tr>
      <w:tr>
        <w:tc>
          <w:tcPr>
            <w:tcW w:type="dxa" w:w="3041"/>
          </w:tcPr>
          <w:p>
            <w:pPr>
              <w:spacing w:before="40" w:after="40"/>
            </w:pPr>
            <w:r>
              <w:rPr>
                <w:rFonts w:ascii="Courier New" w:hAnsi="Courier New"/>
                <w:sz w:val="20"/>
              </w:rPr>
              <w:t>getPublicUrl()</w:t>
            </w:r>
            <w:r>
              <w:rPr>
                <w:rFonts w:ascii="Arial" w:hAnsi="Arial"/>
                <w:sz w:val="20"/>
              </w:rPr>
              <w:t xml:space="preserve"> en bucket privado</w:t>
            </w:r>
          </w:p>
        </w:tc>
        <w:tc>
          <w:tcPr>
            <w:tcW w:type="dxa" w:w="3041"/>
          </w:tcPr>
          <w:p>
            <w:pPr>
              <w:spacing w:before="40" w:after="40"/>
            </w:pPr>
            <w:r>
              <w:rPr>
                <w:rFonts w:ascii="Arial" w:hAnsi="Arial"/>
                <w:sz w:val="20"/>
              </w:rPr>
              <w:t>Las URLs de previsualización de evidencia en el cliente no funcionan sin autenticación activa</w:t>
            </w:r>
          </w:p>
        </w:tc>
        <w:tc>
          <w:tcPr>
            <w:tcW w:type="dxa" w:w="3041"/>
          </w:tcPr>
          <w:p>
            <w:pPr>
              <w:spacing w:before="40" w:after="40"/>
            </w:pPr>
            <w:r>
              <w:rPr>
                <w:rFonts w:ascii="Arial" w:hAnsi="Arial"/>
                <w:sz w:val="20"/>
              </w:rPr>
              <w:t>Funcional, no de seguridad</w:t>
            </w:r>
          </w:p>
        </w:tc>
      </w:tr>
      <w:tr>
        <w:tc>
          <w:tcPr>
            <w:tcW w:type="dxa" w:w="3041"/>
          </w:tcPr>
          <w:p>
            <w:pPr>
              <w:spacing w:before="40" w:after="40"/>
            </w:pPr>
            <w:r>
              <w:rPr>
                <w:rFonts w:ascii="Arial" w:hAnsi="Arial"/>
                <w:sz w:val="20"/>
              </w:rPr>
              <w:t>Confirmación de correo deshabilitada</w:t>
            </w:r>
          </w:p>
        </w:tc>
        <w:tc>
          <w:tcPr>
            <w:tcW w:type="dxa" w:w="3041"/>
          </w:tcPr>
          <w:p>
            <w:pPr>
              <w:spacing w:before="40" w:after="40"/>
            </w:pPr>
            <w:r>
              <w:rPr>
                <w:rFonts w:ascii="Courier New" w:hAnsi="Courier New"/>
                <w:sz w:val="20"/>
              </w:rPr>
              <w:t>email_confirm: true</w:t>
            </w:r>
            <w:r>
              <w:rPr>
                <w:rFonts w:ascii="Arial" w:hAnsi="Arial"/>
                <w:sz w:val="20"/>
              </w:rPr>
              <w:t xml:space="preserve"> en </w:t>
            </w:r>
            <w:r>
              <w:rPr>
                <w:rFonts w:ascii="Courier New" w:hAnsi="Courier New"/>
                <w:sz w:val="20"/>
              </w:rPr>
              <w:t>createUser</w:t>
            </w:r>
            <w:r>
              <w:rPr>
                <w:rFonts w:ascii="Arial" w:hAnsi="Arial"/>
                <w:sz w:val="20"/>
              </w:rPr>
              <w:t xml:space="preserve"> confirma la cuenta sin verificar el correo</w:t>
            </w:r>
          </w:p>
        </w:tc>
        <w:tc>
          <w:tcPr>
            <w:tcW w:type="dxa" w:w="3041"/>
          </w:tcPr>
          <w:p>
            <w:pPr>
              <w:spacing w:before="40" w:after="40"/>
            </w:pPr>
            <w:r>
              <w:rPr>
                <w:rFonts w:ascii="Arial" w:hAnsi="Arial"/>
                <w:sz w:val="20"/>
              </w:rPr>
              <w:t>Bajo en contexto institucional de invitación controlada</w:t>
            </w:r>
          </w:p>
        </w:tc>
      </w:tr>
    </w:tbl>
    <w:p/>
    <w:p>
      <w:pPr>
        <w:pStyle w:val="Heading2"/>
      </w:pPr>
      <w:r>
        <w:t>5.11 Implementación del módulo psicométrico y procesamiento de resultados</w:t>
      </w:r>
    </w:p>
    <w:p>
      <w:pPr>
        <w:jc w:val="center"/>
      </w:pPr>
      <w:r>
        <w:drawing>
          <wp:inline xmlns:a="http://schemas.openxmlformats.org/drawingml/2006/main" xmlns:pic="http://schemas.openxmlformats.org/drawingml/2006/picture">
            <wp:extent cx="5040000" cy="3150000"/>
            <wp:docPr id="36" name="Picture 36"/>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pStyle w:val="Heading3"/>
      </w:pPr>
      <w:r>
        <w:t>5.11.1 Instrumento institucional Mini Big Five</w:t>
      </w:r>
    </w:p>
    <w:p>
      <w:pPr>
        <w:jc w:val="center"/>
      </w:pPr>
      <w:r>
        <w:drawing>
          <wp:inline xmlns:a="http://schemas.openxmlformats.org/drawingml/2006/main" xmlns:pic="http://schemas.openxmlformats.org/drawingml/2006/picture">
            <wp:extent cx="5040000" cy="3150000"/>
            <wp:docPr id="37" name="Picture 37"/>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pPr>
        <w:jc w:val="both"/>
      </w:pPr>
      <w:r>
        <w:rPr>
          <w:rFonts w:ascii="Arial" w:hAnsi="Arial"/>
          <w:sz w:val="22"/>
        </w:rPr>
        <w:t>Las cinco dimensiones medidas son: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Dimensión</w:t>
            </w:r>
          </w:p>
        </w:tc>
        <w:tc>
          <w:tcPr>
            <w:tcW w:type="dxa" w:w="2280"/>
          </w:tcPr>
          <w:p>
            <w:pPr>
              <w:spacing w:before="40" w:after="40"/>
            </w:pPr>
            <w:r>
              <w:rPr>
                <w:b/>
                <w:sz w:val="20"/>
              </w:rPr>
              <w:t>Clave en el código</w:t>
            </w:r>
          </w:p>
        </w:tc>
        <w:tc>
          <w:tcPr>
            <w:tcW w:type="dxa" w:w="2280"/>
          </w:tcPr>
          <w:p>
            <w:pPr>
              <w:spacing w:before="40" w:after="40"/>
            </w:pPr>
            <w:r>
              <w:rPr>
                <w:b/>
                <w:sz w:val="20"/>
              </w:rPr>
              <w:t>Ítems</w:t>
            </w:r>
          </w:p>
        </w:tc>
        <w:tc>
          <w:tcPr>
            <w:tcW w:type="dxa" w:w="2280"/>
          </w:tcPr>
          <w:p>
            <w:pPr>
              <w:spacing w:before="40" w:after="40"/>
            </w:pPr>
            <w:r>
              <w:rPr>
                <w:b/>
                <w:sz w:val="20"/>
              </w:rPr>
              <w:t>Interpretación institucional</w:t>
            </w:r>
          </w:p>
        </w:tc>
      </w:tr>
      <w:tr>
        <w:tc>
          <w:tcPr>
            <w:tcW w:type="dxa" w:w="2280"/>
          </w:tcPr>
          <w:p>
            <w:pPr>
              <w:spacing w:before="40" w:after="40"/>
            </w:pPr>
            <w:r>
              <w:rPr>
                <w:rFonts w:ascii="Arial" w:hAnsi="Arial"/>
                <w:sz w:val="20"/>
              </w:rPr>
              <w:t>Estabilidad Emocional</w:t>
            </w:r>
          </w:p>
        </w:tc>
        <w:tc>
          <w:tcPr>
            <w:tcW w:type="dxa" w:w="2280"/>
          </w:tcPr>
          <w:p>
            <w:pPr>
              <w:spacing w:before="40" w:after="40"/>
            </w:pPr>
            <w:r>
              <w:rPr>
                <w:rFonts w:ascii="Courier New" w:hAnsi="Courier New"/>
                <w:sz w:val="20"/>
              </w:rPr>
              <w:t>ESTABILIDAD_EMOCIONAL</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Alta, Adecuada, Riesgo reactividad</w:t>
            </w:r>
          </w:p>
        </w:tc>
      </w:tr>
      <w:tr>
        <w:tc>
          <w:tcPr>
            <w:tcW w:type="dxa" w:w="2280"/>
          </w:tcPr>
          <w:p>
            <w:pPr>
              <w:spacing w:before="40" w:after="40"/>
            </w:pPr>
            <w:r>
              <w:rPr>
                <w:rFonts w:ascii="Arial" w:hAnsi="Arial"/>
                <w:sz w:val="20"/>
              </w:rPr>
              <w:t>Amabilidad</w:t>
            </w:r>
          </w:p>
        </w:tc>
        <w:tc>
          <w:tcPr>
            <w:tcW w:type="dxa" w:w="2280"/>
          </w:tcPr>
          <w:p>
            <w:pPr>
              <w:spacing w:before="40" w:after="40"/>
            </w:pPr>
            <w:r>
              <w:rPr>
                <w:rFonts w:ascii="Courier New" w:hAnsi="Courier New"/>
                <w:sz w:val="20"/>
              </w:rPr>
              <w:t>AMABILIDAD</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Cooperativo, Funcional, Riesgo conflicto</w:t>
            </w:r>
          </w:p>
        </w:tc>
      </w:tr>
      <w:tr>
        <w:tc>
          <w:tcPr>
            <w:tcW w:type="dxa" w:w="2280"/>
          </w:tcPr>
          <w:p>
            <w:pPr>
              <w:spacing w:before="40" w:after="40"/>
            </w:pPr>
            <w:r>
              <w:rPr>
                <w:rFonts w:ascii="Arial" w:hAnsi="Arial"/>
                <w:sz w:val="20"/>
              </w:rPr>
              <w:t>Responsabilidad</w:t>
            </w:r>
          </w:p>
        </w:tc>
        <w:tc>
          <w:tcPr>
            <w:tcW w:type="dxa" w:w="2280"/>
          </w:tcPr>
          <w:p>
            <w:pPr>
              <w:spacing w:before="40" w:after="40"/>
            </w:pPr>
            <w:r>
              <w:rPr>
                <w:rFonts w:ascii="Courier New" w:hAnsi="Courier New"/>
                <w:sz w:val="20"/>
              </w:rPr>
              <w:t>RESPONSABILIDAD</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Alto compromiso, Aceptable, Riesgo incumplimiento</w:t>
            </w:r>
          </w:p>
        </w:tc>
      </w:tr>
      <w:tr>
        <w:tc>
          <w:tcPr>
            <w:tcW w:type="dxa" w:w="2280"/>
          </w:tcPr>
          <w:p>
            <w:pPr>
              <w:spacing w:before="40" w:after="40"/>
            </w:pPr>
            <w:r>
              <w:rPr>
                <w:rFonts w:ascii="Arial" w:hAnsi="Arial"/>
                <w:sz w:val="20"/>
              </w:rPr>
              <w:t>Apertura</w:t>
            </w:r>
          </w:p>
        </w:tc>
        <w:tc>
          <w:tcPr>
            <w:tcW w:type="dxa" w:w="2280"/>
          </w:tcPr>
          <w:p>
            <w:pPr>
              <w:spacing w:before="40" w:after="40"/>
            </w:pPr>
            <w:r>
              <w:rPr>
                <w:rFonts w:ascii="Courier New" w:hAnsi="Courier New"/>
                <w:sz w:val="20"/>
              </w:rPr>
              <w:t>APERTURA</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Innovador/adaptable, Moderado, Rigidez</w:t>
            </w:r>
          </w:p>
        </w:tc>
      </w:tr>
      <w:tr>
        <w:tc>
          <w:tcPr>
            <w:tcW w:type="dxa" w:w="2280"/>
          </w:tcPr>
          <w:p>
            <w:pPr>
              <w:spacing w:before="40" w:after="40"/>
            </w:pPr>
            <w:r>
              <w:rPr>
                <w:rFonts w:ascii="Arial" w:hAnsi="Arial"/>
                <w:sz w:val="20"/>
              </w:rPr>
              <w:t>Extroversión</w:t>
            </w:r>
          </w:p>
        </w:tc>
        <w:tc>
          <w:tcPr>
            <w:tcW w:type="dxa" w:w="2280"/>
          </w:tcPr>
          <w:p>
            <w:pPr>
              <w:spacing w:before="40" w:after="40"/>
            </w:pPr>
            <w:r>
              <w:rPr>
                <w:rFonts w:ascii="Courier New" w:hAnsi="Courier New"/>
                <w:sz w:val="20"/>
              </w:rPr>
              <w:t>EXTROVERSION</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Indicador sin filtro</w:t>
            </w:r>
          </w:p>
        </w:tc>
      </w:tr>
    </w:tbl>
    <w:p/>
    <w:p>
      <w:pPr>
        <w:jc w:val="both"/>
      </w:pPr>
      <w:r>
        <w:rPr>
          <w:rFonts w:ascii="Arial" w:hAnsi="Arial"/>
          <w:sz w:val="22"/>
        </w:rP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pPr>
        <w:pStyle w:val="Heading3"/>
      </w:pPr>
      <w:r>
        <w:t>5.11.2 Organización de los reactivos y estructura de almacenamiento</w:t>
      </w:r>
    </w:p>
    <w:p>
      <w:pPr>
        <w:jc w:val="center"/>
      </w:pPr>
      <w:r>
        <w:drawing>
          <wp:inline xmlns:a="http://schemas.openxmlformats.org/drawingml/2006/main" xmlns:pic="http://schemas.openxmlformats.org/drawingml/2006/picture">
            <wp:extent cx="5040000" cy="3150000"/>
            <wp:docPr id="38" name="Picture 38"/>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Cada reactivo psicométrico se almacena en la tabla </w:t>
      </w:r>
      <w:r>
        <w:rPr>
          <w:rFonts w:ascii="Courier New" w:hAnsi="Courier New"/>
          <w:sz w:val="18"/>
        </w:rPr>
        <w:t>questions</w:t>
      </w:r>
      <w:r>
        <w:rPr>
          <w:rFonts w:ascii="Arial" w:hAnsi="Arial"/>
          <w:sz w:val="22"/>
        </w:rPr>
        <w:t xml:space="preserve"> con un formato de </w:t>
      </w:r>
      <w:r>
        <w:rPr>
          <w:rFonts w:ascii="Courier New" w:hAnsi="Courier New"/>
          <w:sz w:val="18"/>
        </w:rPr>
        <w:t>prompt</w:t>
      </w:r>
      <w:r>
        <w:rPr>
          <w:rFonts w:ascii="Arial" w:hAnsi="Arial"/>
          <w:sz w:val="22"/>
        </w:rPr>
        <w:t xml:space="preserve"> que codifica su pertenencia a una dimensión:</w:t>
      </w:r>
    </w:p>
    <w:p>
      <w:pPr>
        <w:pStyle w:val="CodeBlock"/>
        <w:shd w:val="clear" w:color="auto" w:fill="F2F2F2"/>
      </w:pPr>
      <w:r>
        <w:t>MINI_BIG_FIVE | ESTABILIDAD_EMOCIONAL | Texto descriptivo del ítem</w:t>
      </w:r>
    </w:p>
    <w:p>
      <w:pPr>
        <w:jc w:val="both"/>
      </w:pPr>
      <w:r>
        <w:rPr>
          <w:rFonts w:ascii="Arial" w:hAnsi="Arial"/>
          <w:sz w:val="22"/>
        </w:rPr>
        <w:t xml:space="preserve">Este formato de triple segmento separado por el carácter </w:t>
      </w:r>
      <w:r>
        <w:rPr>
          <w:rFonts w:ascii="Courier New" w:hAnsi="Courier New"/>
          <w:sz w:val="18"/>
        </w:rPr>
        <w:t>|</w:t>
      </w:r>
      <w:r>
        <w:rPr>
          <w:rFonts w:ascii="Arial" w:hAnsi="Arial"/>
          <w:sz w:val="22"/>
        </w:rP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rPr>
          <w:rFonts w:ascii="Arial" w:hAnsi="Arial"/>
          <w:sz w:val="22"/>
        </w:rPr>
        <w:t xml:space="preserve">, vinculado a una vacante interna con </w:t>
      </w:r>
      <w:r>
        <w:rPr>
          <w:rFonts w:ascii="Courier New" w:hAnsi="Courier New"/>
          <w:sz w:val="18"/>
        </w:rPr>
        <w:t>status = 'draft'</w:t>
      </w:r>
      <w:r>
        <w:rPr>
          <w:rFonts w:ascii="Arial" w:hAnsi="Arial"/>
          <w:sz w:val="22"/>
        </w:rPr>
        <w:t xml:space="preserve"> denominada </w:t>
      </w:r>
      <w:r>
        <w:rPr>
          <w:rFonts w:ascii="Courier New" w:hAnsi="Courier New"/>
          <w:sz w:val="18"/>
        </w:rPr>
        <w:t>[INTERNAL] Psicométrico base</w:t>
      </w:r>
      <w:r>
        <w:rPr>
          <w:rFonts w:ascii="Arial" w:hAnsi="Arial"/>
          <w:sz w:val="22"/>
        </w:rPr>
        <w:t xml:space="preserve">. Al estar en estado </w:t>
      </w:r>
      <w:r>
        <w:rPr>
          <w:rFonts w:ascii="Courier New" w:hAnsi="Courier New"/>
          <w:sz w:val="18"/>
        </w:rPr>
        <w:t>draft</w:t>
      </w:r>
      <w:r>
        <w:rPr>
          <w:rFonts w:ascii="Arial" w:hAnsi="Arial"/>
          <w:sz w:val="22"/>
        </w:rPr>
        <w:t>, esta vacante no aparece en el catálogo de vacantes para los candidatos.</w:t>
      </w:r>
    </w:p>
    <w:p>
      <w:pPr>
        <w:jc w:val="both"/>
      </w:pPr>
      <w:r>
        <w:rPr>
          <w:rFonts w:ascii="Arial" w:hAnsi="Arial"/>
          <w:sz w:val="22"/>
        </w:rPr>
        <w:t xml:space="preserve">Las respuestas se capturan en escala Likert del 1 al 5 (donde 1 representa el menor grado de acuerdo y 5 el mayor), almacenadas como cadenas en la columna </w:t>
      </w:r>
      <w:r>
        <w:rPr>
          <w:rFonts w:ascii="Courier New" w:hAnsi="Courier New"/>
          <w:sz w:val="18"/>
        </w:rPr>
        <w:t>selected_option</w:t>
      </w:r>
      <w:r>
        <w:rPr>
          <w:rFonts w:ascii="Arial" w:hAnsi="Arial"/>
          <w:sz w:val="22"/>
        </w:rPr>
        <w:t xml:space="preserve"> de la tabla </w:t>
      </w:r>
      <w:r>
        <w:rPr>
          <w:rFonts w:ascii="Courier New" w:hAnsi="Courier New"/>
          <w:sz w:val="18"/>
        </w:rPr>
        <w:t>answers</w:t>
      </w:r>
      <w:r>
        <w:rPr>
          <w:rFonts w:ascii="Arial" w:hAnsi="Arial"/>
          <w:sz w:val="22"/>
        </w:rPr>
        <w:t xml:space="preserve">. El algoritmo de cálculo las convierte a enteros mediante </w:t>
      </w:r>
      <w:r>
        <w:rPr>
          <w:rFonts w:ascii="Courier New" w:hAnsi="Courier New"/>
          <w:sz w:val="18"/>
        </w:rPr>
        <w:t>parseInt</w:t>
      </w:r>
      <w:r>
        <w:rPr>
          <w:rFonts w:ascii="Arial" w:hAnsi="Arial"/>
          <w:sz w:val="22"/>
        </w:rPr>
        <w:t>.</w:t>
      </w:r>
    </w:p>
    <w:p>
      <w:pPr>
        <w:pStyle w:val="Heading3"/>
      </w:pPr>
      <w:r>
        <w:t>5.11.3 Flujo de inicio del cuestionario psicométrico</w:t>
      </w:r>
    </w:p>
    <w:p>
      <w:pPr>
        <w:jc w:val="center"/>
      </w:pPr>
      <w:r>
        <w:drawing>
          <wp:inline xmlns:a="http://schemas.openxmlformats.org/drawingml/2006/main" xmlns:pic="http://schemas.openxmlformats.org/drawingml/2006/picture">
            <wp:extent cx="5040000" cy="3150000"/>
            <wp:docPr id="39" name="Picture 39"/>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El flujo que lleva a un candidato a presentar el cuestionario se origina en </w:t>
      </w:r>
      <w:r>
        <w:rPr>
          <w:rFonts w:ascii="Courier New" w:hAnsi="Courier New"/>
          <w:sz w:val="18"/>
        </w:rPr>
        <w:t>/psicometrico/page.tsx</w:t>
      </w:r>
      <w:r>
        <w:rPr>
          <w:rFonts w:ascii="Arial" w:hAnsi="Arial"/>
          <w:sz w:val="22"/>
        </w:rPr>
        <w:t xml:space="preserve">, que inmediatamente al montarse invoca </w:t>
      </w:r>
      <w:r>
        <w:rPr>
          <w:rFonts w:ascii="Courier New" w:hAnsi="Courier New"/>
          <w:sz w:val="18"/>
        </w:rPr>
        <w:t>POST /api/psicometrico/start</w:t>
      </w:r>
      <w:r>
        <w:rPr>
          <w:rFonts w:ascii="Arial" w:hAnsi="Arial"/>
          <w:sz w:val="22"/>
        </w:rPr>
        <w:t xml:space="preserve">. Este endpoint delega en </w:t>
      </w:r>
      <w:r>
        <w:rPr>
          <w:rFonts w:ascii="Courier New" w:hAnsi="Courier New"/>
          <w:sz w:val="18"/>
        </w:rPr>
        <w:t>ensurePsicometricoAttempt()</w:t>
      </w:r>
      <w:r>
        <w:rPr>
          <w:rFonts w:ascii="Arial" w:hAnsi="Arial"/>
          <w:sz w:val="22"/>
        </w:rPr>
        <w:t xml:space="preserve"> de </w:t>
      </w:r>
      <w:r>
        <w:rPr>
          <w:rFonts w:ascii="Courier New" w:hAnsi="Courier New"/>
          <w:sz w:val="18"/>
        </w:rPr>
        <w:t>lib/psicometrico.ts</w:t>
      </w:r>
      <w:r>
        <w:rPr>
          <w:rFonts w:ascii="Arial" w:hAnsi="Arial"/>
          <w:sz w:val="22"/>
        </w:rPr>
        <w:t>:</w:t>
      </w:r>
    </w:p>
    <w:p>
      <w:pPr>
        <w:pStyle w:val="CodeBlock"/>
        <w:shd w:val="clear" w:color="auto" w:fill="F2F2F2"/>
      </w:pPr>
      <w:r>
        <w:t>flowchart TD</w:t>
        <w:br/>
        <w:t xml:space="preserve">    A[/psicometrico] --&gt; B[POST /api/psicometrico/start]</w:t>
        <w:br/>
        <w:t xml:space="preserve">    B --&gt; C[getPsicometricoAttemptState]</w:t>
        <w:br/>
        <w:t xml:space="preserve">    C --&gt; D{¿Existe intento\ncompletado?}</w:t>
        <w:br/>
        <w:t xml:space="preserve">    D -- Sí --&gt; E[{completed: true}]</w:t>
        <w:br/>
        <w:t xml:space="preserve">    E --&gt; F[Redirect a /panel]</w:t>
        <w:br/>
        <w:t xml:space="preserve">    D -- No --&gt; G{¿Existe intento\npendiente?}</w:t>
        <w:br/>
        <w:t xml:space="preserve">    G -- Sí --&gt; H[Retorna attemptId existente]</w:t>
        <w:br/>
        <w:t xml:space="preserve">    G -- No --&gt; I[Busca o crea application\npara vacante interna]</w:t>
        <w:br/>
        <w:t xml:space="preserve">    I --&gt; J[Crea attempt con deadline_at]</w:t>
        <w:br/>
        <w:t xml:space="preserve">    J --&gt; K[Retorna {attemptId}]</w:t>
        <w:br/>
        <w:t xml:space="preserve">    H --&gt; L[Redirect a /evaluacion/attemptId]</w:t>
        <w:br/>
        <w:t xml:space="preserve">    K --&gt; L</w:t>
      </w:r>
    </w:p>
    <w:p>
      <w:pPr>
        <w:jc w:val="both"/>
      </w:pPr>
      <w:r>
        <w:rPr>
          <w:rFonts w:ascii="Arial" w:hAnsi="Arial"/>
          <w:sz w:val="22"/>
        </w:rPr>
        <w:t xml:space="preserve">La función </w:t>
      </w:r>
      <w:r>
        <w:rPr>
          <w:rFonts w:ascii="Courier New" w:hAnsi="Courier New"/>
          <w:sz w:val="18"/>
        </w:rPr>
        <w:t>getPsicometricoAttemptState()</w:t>
      </w:r>
      <w:r>
        <w:rPr>
          <w:rFonts w:ascii="Arial" w:hAnsi="Arial"/>
          <w:sz w:val="22"/>
        </w:rPr>
        <w:t xml:space="preserve"> determina si el psicométrico está completado verificando si existe algún intento con </w:t>
      </w:r>
      <w:r>
        <w:rPr>
          <w:rFonts w:ascii="Courier New" w:hAnsi="Courier New"/>
          <w:sz w:val="18"/>
        </w:rPr>
        <w:t>submitted_at</w:t>
      </w:r>
      <w:r>
        <w:rPr>
          <w:rFonts w:ascii="Arial" w:hAnsi="Arial"/>
          <w:sz w:val="22"/>
        </w:rPr>
        <w:t xml:space="preserve"> no nulo o con estado en el conjunto </w:t>
      </w:r>
      <w:r>
        <w:rPr>
          <w:rFonts w:ascii="Courier New" w:hAnsi="Courier New"/>
          <w:sz w:val="18"/>
        </w:rPr>
        <w:t>{SUBMITTED, UNDER_REVIEW, COMPLETED}</w:t>
      </w:r>
      <w:r>
        <w:rPr>
          <w:rFonts w:ascii="Arial" w:hAnsi="Arial"/>
          <w:sz w:val="22"/>
        </w:rPr>
        <w:t>. Si ya está completado, la página redirige al panel sin mostrar el cuestionario nuevamente. Si existe un intento en progreso, se retoma ese intento. Si no existe ninguno, se crea la aplicación y el intento necesarios.</w:t>
      </w:r>
    </w:p>
    <w:p>
      <w:pPr>
        <w:pStyle w:val="Heading3"/>
      </w:pPr>
      <w:r>
        <w:t>5.11.4 Algoritmo de procesamiento psicométrico</w:t>
      </w:r>
    </w:p>
    <w:p>
      <w:pPr>
        <w:jc w:val="center"/>
      </w:pPr>
      <w:r>
        <w:drawing>
          <wp:inline xmlns:a="http://schemas.openxmlformats.org/drawingml/2006/main" xmlns:pic="http://schemas.openxmlformats.org/drawingml/2006/picture">
            <wp:extent cx="5040000" cy="3150000"/>
            <wp:docPr id="40" name="Picture 40"/>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El procesamiento de los resultados ocurre al momento del envío del intento, en el Route Handler </w:t>
      </w:r>
      <w:r>
        <w:rPr>
          <w:rFonts w:ascii="Courier New" w:hAnsi="Courier New"/>
          <w:sz w:val="18"/>
        </w:rPr>
        <w:t>POST /api/attempts/[attemptId]/submit</w:t>
      </w:r>
      <w:r>
        <w:rPr>
          <w:rFonts w:ascii="Arial" w:hAnsi="Arial"/>
          <w:sz w:val="22"/>
        </w:rPr>
        <w:t xml:space="preserve">. La función </w:t>
      </w:r>
      <w:r>
        <w:rPr>
          <w:rFonts w:ascii="Courier New" w:hAnsi="Courier New"/>
          <w:sz w:val="18"/>
        </w:rPr>
        <w:t>calculatePsicometricoSummary()</w:t>
      </w:r>
      <w:r>
        <w:rPr>
          <w:rFonts w:ascii="Arial" w:hAnsi="Arial"/>
          <w:sz w:val="22"/>
        </w:rPr>
        <w:t xml:space="preserve"> de </w:t>
      </w:r>
      <w:r>
        <w:rPr>
          <w:rFonts w:ascii="Courier New" w:hAnsi="Courier New"/>
          <w:sz w:val="18"/>
        </w:rPr>
        <w:t>lib/psicometricoResults.ts</w:t>
      </w:r>
      <w:r>
        <w:rPr>
          <w:rFonts w:ascii="Arial" w:hAnsi="Arial"/>
          <w:sz w:val="22"/>
        </w:rPr>
        <w:t xml:space="preserve"> recibe los pares pregunta-respuesta y produce el resumen estructurado:</w:t>
      </w:r>
    </w:p>
    <w:p>
      <w:pPr>
        <w:pStyle w:val="CodeBlock"/>
        <w:shd w:val="clear" w:color="auto" w:fill="F2F2F2"/>
      </w:pPr>
      <w:r>
        <w:t>// lib/psicometricoResults.ts (lógica de acumulación)</w:t>
        <w:br/>
        <w:t>questionsWithAnswers.forEach(({ prompt, selected_option }) =&gt; {</w:t>
        <w:br/>
        <w:t xml:space="preserve">  const likertValue = parseLikertValue(selected_option);     // Convierte a entero 1-5</w:t>
        <w:br/>
        <w:t xml:space="preserve">  if (!likertValue) return;                                  // Omite no respondidas</w:t>
        <w:br/>
        <w:t xml:space="preserve">  const segments = prompt.split("|").map(s =&gt; s.trim());</w:t>
        <w:br/>
        <w:t xml:space="preserve">  if (segments[0] === "MINI_BIG_FIVE" &amp;&amp; segments.length &gt;= 3) {</w:t>
        <w:br/>
        <w:t xml:space="preserve">    const traitKey = segments[1] as keyof typeof traitScores;</w:t>
        <w:br/>
        <w:t xml:space="preserve">    if (traitKey in traitScores) {</w:t>
        <w:br/>
        <w:t xml:space="preserve">      traitScores[traitKey] += likertValue;                  // Acumula puntaje</w:t>
        <w:br/>
        <w:t xml:space="preserve">      traitAnswered[traitKey] += 1;                          // Cuenta respondidas</w:t>
        <w:br/>
        <w:t xml:space="preserve">    }</w:t>
        <w:br/>
        <w:t xml:space="preserve">  }</w:t>
        <w:br/>
        <w:t>});</w:t>
      </w:r>
    </w:p>
    <w:p>
      <w:pPr>
        <w:jc w:val="both"/>
      </w:pPr>
      <w:r>
        <w:rPr>
          <w:rFonts w:ascii="Arial" w:hAnsi="Arial"/>
          <w:sz w:val="22"/>
        </w:rP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rPr>
          <w:rFonts w:ascii="Arial" w:hAnsi="Arial"/>
          <w:sz w:val="22"/>
        </w:rPr>
        <w:t xml:space="preserve"> reflejará un porcentaje de completitud menor.</w:t>
      </w:r>
    </w:p>
    <w:p>
      <w:pPr>
        <w:pStyle w:val="Heading3"/>
      </w:pPr>
      <w:r>
        <w:t>5.11.5 Umbrales de clasificación por rasgo</w:t>
      </w:r>
    </w:p>
    <w:p>
      <w:pPr>
        <w:jc w:val="center"/>
      </w:pPr>
      <w:r>
        <w:drawing>
          <wp:inline xmlns:a="http://schemas.openxmlformats.org/drawingml/2006/main" xmlns:pic="http://schemas.openxmlformats.org/drawingml/2006/picture">
            <wp:extent cx="5040000" cy="3150000"/>
            <wp:docPr id="41" name="Picture 41"/>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La función </w:t>
      </w:r>
      <w:r>
        <w:rPr>
          <w:rFonts w:ascii="Courier New" w:hAnsi="Courier New"/>
          <w:sz w:val="18"/>
        </w:rPr>
        <w:t>classifyTrait()</w:t>
      </w:r>
      <w:r>
        <w:rPr>
          <w:rFonts w:ascii="Arial" w:hAnsi="Arial"/>
          <w:sz w:val="22"/>
        </w:rPr>
        <w:t xml:space="preserve"> aplica los umbrales institucionales a cada puntaje acumulado:</w:t>
      </w:r>
    </w:p>
    <w:p>
      <w:pPr>
        <w:pStyle w:val="CodeBlock"/>
        <w:shd w:val="clear" w:color="auto" w:fill="F2F2F2"/>
      </w:pPr>
      <w:r>
        <w:t>// lib/psicometricoResults.ts</w:t>
        <w:br/>
        <w:t>const classifyTrait = (score: number, high: string, mid: string, low: string) =&gt; {</w:t>
        <w:br/>
        <w:t xml:space="preserve">  if (score &gt;= 16) return high;    // Alta (80% o más de la escala máxima)</w:t>
        <w:br/>
        <w:t xml:space="preserve">  if (score &gt;= 11) return mid;     // Adecuada</w:t>
        <w:br/>
        <w:t xml:space="preserve">  return low;                      // Riesgo (puntaje &lt; 55% de la escala)</w:t>
        <w:br/>
        <w:t>};</w:t>
      </w:r>
    </w:p>
    <w:p>
      <w:pPr>
        <w:jc w:val="both"/>
      </w:pPr>
      <w:r>
        <w:rPr>
          <w:rFonts w:ascii="Arial" w:hAnsi="Arial"/>
          <w:sz w:val="22"/>
        </w:rP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pPr>
        <w:pStyle w:val="Heading3"/>
      </w:pPr>
      <w:r>
        <w:t>5.11.6 Tratamiento diferenciado de la extroversión</w:t>
      </w:r>
    </w:p>
    <w:p>
      <w:pPr>
        <w:jc w:val="center"/>
      </w:pPr>
      <w:r>
        <w:drawing>
          <wp:inline xmlns:a="http://schemas.openxmlformats.org/drawingml/2006/main" xmlns:pic="http://schemas.openxmlformats.org/drawingml/2006/picture">
            <wp:extent cx="5040000" cy="3150000"/>
            <wp:docPr id="42" name="Picture 42"/>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La dimensión de Extroversión recibe un tratamiento diferente a las otras cuatro. En lugar de asignarle una clasificación de riesgo o alta, la función </w:t>
      </w:r>
      <w:r>
        <w:rPr>
          <w:rFonts w:ascii="Courier New" w:hAnsi="Courier New"/>
          <w:sz w:val="18"/>
        </w:rPr>
        <w:t>buildTraitResult()</w:t>
      </w:r>
      <w:r>
        <w:rPr>
          <w:rFonts w:ascii="Arial" w:hAnsi="Arial"/>
          <w:sz w:val="22"/>
        </w:rPr>
        <w:t xml:space="preserve"> la marca con un indicador descriptivo:</w:t>
      </w:r>
    </w:p>
    <w:p>
      <w:pPr>
        <w:pStyle w:val="CodeBlock"/>
        <w:shd w:val="clear" w:color="auto" w:fill="F2F2F2"/>
      </w:pPr>
      <w:r>
        <w:t>// lib/psicometricoResults.ts</w:t>
        <w:br/>
        <w:t>extroversion: buildTraitResult(</w:t>
        <w:br/>
        <w:t xml:space="preserve">  traitScores.EXTROVERSION, traitAnswered.EXTROVERSION,</w:t>
        <w:br/>
        <w:t xml:space="preserve">  { high: "", mid: "", low: "" },</w:t>
        <w:br/>
        <w:t xml:space="preserve">  false,                                          // withFilter = false → no clasifica</w:t>
        <w:br/>
        <w:t xml:space="preserve">  "No es filtro de contratación, solo indicador de integración."</w:t>
        <w:br/>
        <w:t>)</w:t>
      </w:r>
    </w:p>
    <w:p>
      <w:pPr>
        <w:jc w:val="both"/>
      </w:pPr>
      <w:r>
        <w:rPr>
          <w:rFonts w:ascii="Arial" w:hAnsi="Arial"/>
          <w:sz w:val="22"/>
        </w:rPr>
        <w:t xml:space="preserve">El parámetro </w:t>
      </w:r>
      <w:r>
        <w:rPr>
          <w:rFonts w:ascii="Courier New" w:hAnsi="Courier New"/>
          <w:sz w:val="18"/>
        </w:rPr>
        <w:t>withFilter = false</w:t>
      </w:r>
      <w:r>
        <w:rPr>
          <w:rFonts w:ascii="Arial" w:hAnsi="Arial"/>
          <w:sz w:val="22"/>
        </w:rPr>
        <w:t xml:space="preserve"> omite la aplicación de </w:t>
      </w:r>
      <w:r>
        <w:rPr>
          <w:rFonts w:ascii="Courier New" w:hAnsi="Courier New"/>
          <w:sz w:val="18"/>
        </w:rPr>
        <w:t>classifyTrait()</w:t>
      </w:r>
      <w:r>
        <w:rPr>
          <w:rFonts w:ascii="Arial" w:hAnsi="Arial"/>
          <w:sz w:val="22"/>
        </w:rP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pPr>
        <w:pStyle w:val="Heading3"/>
      </w:pPr>
      <w:r>
        <w:t>5.11.7 Generación del resumen y persistencia JSONB</w:t>
      </w:r>
    </w:p>
    <w:p>
      <w:pPr>
        <w:jc w:val="center"/>
      </w:pPr>
      <w:r>
        <w:drawing>
          <wp:inline xmlns:a="http://schemas.openxmlformats.org/drawingml/2006/main" xmlns:pic="http://schemas.openxmlformats.org/drawingml/2006/picture">
            <wp:extent cx="5040000" cy="3150000"/>
            <wp:docPr id="43" name="Picture 43"/>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El resultado de </w:t>
      </w:r>
      <w:r>
        <w:rPr>
          <w:rFonts w:ascii="Courier New" w:hAnsi="Courier New"/>
          <w:sz w:val="18"/>
        </w:rPr>
        <w:t>calculatePsicometricoSummary()</w:t>
      </w:r>
      <w:r>
        <w:rPr>
          <w:rFonts w:ascii="Arial" w:hAnsi="Arial"/>
          <w:sz w:val="22"/>
        </w:rPr>
        <w:t xml:space="preserve"> es una estructura tipada </w:t>
      </w:r>
      <w:r>
        <w:rPr>
          <w:rFonts w:ascii="Courier New" w:hAnsi="Courier New"/>
          <w:sz w:val="18"/>
        </w:rPr>
        <w:t>PsicometricoSummary</w:t>
      </w:r>
      <w:r>
        <w:rPr>
          <w:rFonts w:ascii="Arial" w:hAnsi="Arial"/>
          <w:sz w:val="22"/>
        </w:rPr>
        <w:t xml:space="preserve"> que se serializa como JSON en el campo </w:t>
      </w:r>
      <w:r>
        <w:rPr>
          <w:rFonts w:ascii="Courier New" w:hAnsi="Courier New"/>
          <w:sz w:val="18"/>
        </w:rPr>
        <w:t>attempts.psychometric_summary</w:t>
      </w:r>
      <w:r>
        <w:rPr>
          <w:rFonts w:ascii="Arial" w:hAnsi="Arial"/>
          <w:sz w:val="22"/>
        </w:rPr>
        <w:t xml:space="preserve"> (tipo JSONB en PostgreSQL):</w:t>
      </w:r>
    </w:p>
    <w:p>
      <w:pPr>
        <w:pStyle w:val="CodeBlock"/>
        <w:shd w:val="clear" w:color="auto" w:fill="F2F2F2"/>
      </w:pPr>
      <w:r>
        <w:t>// Estructura de PsicometricoSummary almacenada</w:t>
        <w:br/>
        <w:t>{</w:t>
        <w:br/>
        <w:t xml:space="preserve">  "miniBigFive": {</w:t>
        <w:br/>
        <w:t xml:space="preserve">    "estabilidadEmocional": { "score": 14, "min": 4, "max": 20, "classification": "Adecuada", "answered": 4 },</w:t>
        <w:br/>
        <w:t xml:space="preserve">    "amabilidad": { "score": 18, "min": 4, "max": 20, "classification": "Cooperativo", "answered": 4 },</w:t>
        <w:br/>
        <w:t xml:space="preserve">    "responsabilidad": { "score": 16, "min": 4, "max": 20, "classification": "Alto compromiso", "answered": 4 },</w:t>
        <w:br/>
        <w:t xml:space="preserve">    "apertura": { "score": 12, "min": 4, "max": 20, "classification": "Moderado", "answered": 4 },</w:t>
        <w:br/>
        <w:t xml:space="preserve">    "extroversion": { "score": 10, "min": 4, "max": 20, "classification": "No es filtro de contratación, solo indicador de integración.", "answered": 4 }</w:t>
        <w:br/>
        <w:t xml:space="preserve">  },</w:t>
        <w:br/>
        <w:t xml:space="preserve">  "totals": { "likertAnswered": 20, "likertQuestions": 20 },</w:t>
        <w:br/>
        <w:t xml:space="preserve">  "submitMeta": { "timedOutBeforeSubmit": false }</w:t>
        <w:br/>
        <w:t>}</w:t>
      </w:r>
    </w:p>
    <w:p>
      <w:pPr>
        <w:jc w:val="both"/>
      </w:pPr>
      <w:r>
        <w:rPr>
          <w:rFonts w:ascii="Arial" w:hAnsi="Arial"/>
          <w:sz w:val="22"/>
        </w:rPr>
        <w:t xml:space="preserve">El campo </w:t>
      </w:r>
      <w:r>
        <w:rPr>
          <w:rFonts w:ascii="Courier New" w:hAnsi="Courier New"/>
          <w:sz w:val="18"/>
        </w:rPr>
        <w:t>submitMeta.timedOutBeforeSubmit</w:t>
      </w:r>
      <w:r>
        <w:rPr>
          <w:rFonts w:ascii="Arial" w:hAnsi="Arial"/>
          <w:sz w:val="22"/>
        </w:rP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pPr>
        <w:jc w:val="both"/>
      </w:pPr>
      <w:r>
        <w:rPr>
          <w:rFonts w:ascii="Arial" w:hAnsi="Arial"/>
          <w:sz w:val="22"/>
        </w:rPr>
        <w:t xml:space="preserve">Adicionalmente se calcula el </w:t>
      </w:r>
      <w:r>
        <w:rPr>
          <w:rFonts w:ascii="Courier New" w:hAnsi="Courier New"/>
          <w:sz w:val="18"/>
        </w:rPr>
        <w:t>theory_score</w:t>
      </w:r>
      <w:r>
        <w:rPr>
          <w:rFonts w:ascii="Arial" w:hAnsi="Arial"/>
          <w:sz w:val="22"/>
        </w:rPr>
        <w:t xml:space="preserve"> como porcentaje de preguntas respondidas: </w:t>
      </w:r>
      <w:r>
        <w:rPr>
          <w:rFonts w:ascii="Courier New" w:hAnsi="Courier New"/>
          <w:sz w:val="18"/>
        </w:rPr>
        <w:t>Math.round((likertAnswered / likertQuestions) * 100)</w:t>
      </w:r>
      <w:r>
        <w:rPr>
          <w:rFonts w:ascii="Arial" w:hAnsi="Arial"/>
          <w:sz w:val="22"/>
        </w:rPr>
        <w:t xml:space="preserve">. Para el cuestionario psicométrico, un candidato que respondió los 20 reactivos obtiene </w:t>
      </w:r>
      <w:r>
        <w:rPr>
          <w:rFonts w:ascii="Courier New" w:hAnsi="Courier New"/>
          <w:sz w:val="18"/>
        </w:rPr>
        <w:t>theory_score = 100</w:t>
      </w:r>
      <w:r>
        <w:rPr>
          <w:rFonts w:ascii="Arial" w:hAnsi="Arial"/>
          <w:sz w:val="22"/>
        </w:rPr>
        <w:t>, independientemente de sus respuestas específicas.</w:t>
      </w:r>
    </w:p>
    <w:p>
      <w:pPr>
        <w:pStyle w:val="Heading3"/>
      </w:pPr>
      <w:r>
        <w:t>5.11.8 Consulta administrativa del resumen psicométrico</w:t>
      </w:r>
    </w:p>
    <w:p>
      <w:pPr>
        <w:jc w:val="center"/>
      </w:pPr>
      <w:r>
        <w:drawing>
          <wp:inline xmlns:a="http://schemas.openxmlformats.org/drawingml/2006/main" xmlns:pic="http://schemas.openxmlformats.org/drawingml/2006/picture">
            <wp:extent cx="5040000" cy="3150000"/>
            <wp:docPr id="44" name="Picture 44"/>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 xml:space="preserve">El panel de detalle de intento carga el campo </w:t>
      </w:r>
      <w:r>
        <w:rPr>
          <w:rFonts w:ascii="Courier New" w:hAnsi="Courier New"/>
          <w:sz w:val="18"/>
        </w:rPr>
        <w:t>psychometric_summary</w:t>
      </w:r>
      <w:r>
        <w:rPr>
          <w:rFonts w:ascii="Arial" w:hAnsi="Arial"/>
          <w:sz w:val="22"/>
        </w:rPr>
        <w:t xml:space="preserve"> junto con el resto de los datos del intento. La página </w:t>
      </w:r>
      <w:r>
        <w:rPr>
          <w:rFonts w:ascii="Courier New" w:hAnsi="Courier New"/>
          <w:sz w:val="18"/>
        </w:rPr>
        <w:t>app/admin/attempts/[id]/page.tsx</w:t>
      </w:r>
      <w:r>
        <w:rPr>
          <w:rFonts w:ascii="Arial" w:hAnsi="Arial"/>
          <w:sz w:val="22"/>
        </w:rPr>
        <w:t xml:space="preserve"> mapea cada rasgo y muestra su puntaje, clasificación y las respuestas individuales:</w:t>
      </w:r>
    </w:p>
    <w:p>
      <w:pPr>
        <w:pStyle w:val="CodeBlock"/>
        <w:shd w:val="clear" w:color="auto" w:fill="F2F2F2"/>
      </w:pPr>
      <w:r>
        <w:t>// app/admin/attempts/[id]/page.tsx — filtrado de respuestas por rasgo</w:t>
        <w:br/>
        <w:t>const traitAnswers = (attempt.answers ?? []).filter((answer) =&gt;</w:t>
        <w:br/>
        <w:t xml:space="preserve">  answer.question?.prompt?.startsWith(`MINI_BIG_FIVE | ${traitSlug} |`)</w:t>
        <w:br/>
        <w:t>);</w:t>
      </w:r>
    </w:p>
    <w:p>
      <w:pPr>
        <w:jc w:val="both"/>
      </w:pPr>
      <w:r>
        <w:rPr>
          <w:rFonts w:ascii="Arial" w:hAnsi="Arial"/>
          <w:sz w:val="22"/>
        </w:rPr>
        <w:t>Este filtrado local permite mostrar, junto al score del rasgo, cuáles fueron las respuestas exactas del candidato a los cuatro reactivos de esa dimensión. La información es de uso exclusivo del administrador y no se expone al candidato.</w:t>
      </w:r>
    </w:p>
    <w:p>
      <w:pPr>
        <w:pStyle w:val="Heading3"/>
      </w:pPr>
      <w:r>
        <w:t>5.11.9 Distinción entre completar el cuestionario y aprobar una vacante</w:t>
      </w:r>
    </w:p>
    <w:p>
      <w:pPr>
        <w:jc w:val="center"/>
      </w:pPr>
      <w:r>
        <w:drawing>
          <wp:inline xmlns:a="http://schemas.openxmlformats.org/drawingml/2006/main" xmlns:pic="http://schemas.openxmlformats.org/drawingml/2006/picture">
            <wp:extent cx="5040000" cy="3150000"/>
            <wp:docPr id="45" name="Picture 45"/>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jc w:val="both"/>
      </w:pPr>
      <w:r>
        <w:rPr>
          <w:rFonts w:ascii="Arial" w:hAnsi="Arial"/>
          <w:sz w:val="22"/>
        </w:rPr>
        <w:t>El sistema distingue dos situaciones que el administrador debe comprender claramente:</w:t>
      </w:r>
    </w:p>
    <w:p>
      <w:pPr>
        <w:jc w:val="both"/>
      </w:pPr>
      <w:r>
        <w:rPr>
          <w:b/>
        </w:rPr>
        <w:t>Completar el cuestionario psicométrico</w:t>
      </w:r>
      <w:r>
        <w:rPr>
          <w:rFonts w:ascii="Arial" w:hAnsi="Arial"/>
          <w:sz w:val="22"/>
        </w:rPr>
        <w:t xml:space="preserve"> significa que el candidato envió sus respuestas a los 20 reactivos. El flag </w:t>
      </w:r>
      <w:r>
        <w:rPr>
          <w:rFonts w:ascii="Courier New" w:hAnsi="Courier New"/>
          <w:sz w:val="18"/>
        </w:rPr>
        <w:t>psicometricoState.completed = true</w:t>
      </w:r>
      <w:r>
        <w:rPr>
          <w:rFonts w:ascii="Arial" w:hAnsi="Arial"/>
          <w:sz w:val="22"/>
        </w:rPr>
        <w:t xml:space="preserve"> habilita al candidato para postularse a cualquier vacante abierta, sin importar los puntajes obtenidos.</w:t>
      </w:r>
    </w:p>
    <w:p>
      <w:pPr>
        <w:jc w:val="both"/>
      </w:pPr>
      <w:r>
        <w:rPr>
          <w:b/>
        </w:rPr>
        <w:t>El resultado del cuestionario</w:t>
      </w:r>
      <w:r>
        <w:rPr>
          <w:rFonts w:ascii="Arial" w:hAnsi="Arial"/>
          <w:sz w:val="22"/>
        </w:rP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pPr>
        <w:jc w:val="both"/>
      </w:pPr>
      <w:r>
        <w:rPr>
          <w:rFonts w:ascii="Arial" w:hAnsi="Arial"/>
          <w:sz w:val="22"/>
        </w:rPr>
        <w:t>Esta distinción es la discrepancia D-01 documentada con detalle en la sección 5.12.</w:t>
      </w:r>
    </w:p>
    <w:p>
      <w:pPr>
        <w:pStyle w:val="Heading2"/>
      </w:pPr>
      <w:r>
        <w:t>5.12 Evolución técnica, compatibilidad y diferencias frente al diseño</w:t>
      </w:r>
    </w:p>
    <w:p>
      <w:pPr>
        <w:pStyle w:val="Heading3"/>
      </w:pPr>
      <w:r>
        <w:t>5.12.1 Discrepancia D-01: verificación por completitud, no por puntaje psicométrico</w:t>
      </w:r>
    </w:p>
    <w:p>
      <w:pPr>
        <w:jc w:val="both"/>
      </w:pPr>
      <w:r>
        <w:rPr>
          <w:b/>
        </w:rPr>
        <w:t>Descripción:</w:t>
      </w:r>
      <w:r>
        <w:rPr>
          <w:rFonts w:ascii="Arial" w:hAnsi="Arial"/>
          <w:sz w:val="22"/>
        </w:rP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rPr>
          <w:rFonts w:ascii="Arial" w:hAnsi="Arial"/>
          <w:sz w:val="22"/>
        </w:rPr>
        <w:t xml:space="preserve"> verifica exclusivamente que el cuestionario esté completado, sin evaluar los puntajes obtenidos.</w:t>
      </w:r>
    </w:p>
    <w:p>
      <w:pPr>
        <w:jc w:val="both"/>
      </w:pPr>
      <w:r>
        <w:rPr>
          <w:b/>
        </w:rPr>
        <w:t>Código verificado:</w:t>
      </w:r>
    </w:p>
    <w:p>
      <w:pPr>
        <w:pStyle w:val="CodeBlock"/>
        <w:shd w:val="clear" w:color="auto" w:fill="F2F2F2"/>
      </w:pPr>
      <w:r>
        <w:t>// app/api/vacancies/[id]/apply/route.ts</w:t>
        <w:br/>
        <w:t>const psicometricoState = await getPsicometricoAttemptState(supabase, userId);</w:t>
        <w:br/>
        <w:t>if (!psicometricoState.completed) {</w:t>
        <w:br/>
        <w:t xml:space="preserve">  return NextResponse.json({ error: "...", requiresPsychometric: true }, { status: 403 });</w:t>
        <w:br/>
        <w:t>}</w:t>
        <w:br/>
        <w:t>// No existe verificación de scores ni clasificaciones aquí</w:t>
      </w:r>
    </w:p>
    <w:p>
      <w:pPr>
        <w:jc w:val="both"/>
      </w:pPr>
      <w:r>
        <w:rPr>
          <w:b/>
        </w:rPr>
        <w:t>Justificación de implementación:</w:t>
      </w:r>
      <w:r>
        <w:rPr>
          <w:rFonts w:ascii="Arial" w:hAnsi="Arial"/>
          <w:sz w:val="22"/>
        </w:rPr>
        <w:t xml:space="preserve"> No existe en el sistema una regla de negocio formalizada que defina qué puntaje o combinación de clasificaciones constituye un bloqueo automático. Los umbrales (</w:t>
      </w:r>
      <w:r>
        <w:rPr>
          <w:rFonts w:ascii="Courier New" w:hAnsi="Courier New"/>
          <w:sz w:val="18"/>
        </w:rPr>
        <w:t>≥16</w:t>
      </w:r>
      <w:r>
        <w:rPr>
          <w:rFonts w:ascii="Arial" w:hAnsi="Arial"/>
          <w:sz w:val="22"/>
        </w:rPr>
        <w:t xml:space="preserve">, </w:t>
      </w:r>
      <w:r>
        <w:rPr>
          <w:rFonts w:ascii="Courier New" w:hAnsi="Courier New"/>
          <w:sz w:val="18"/>
        </w:rPr>
        <w:t>≥11</w:t>
      </w:r>
      <w:r>
        <w:rPr>
          <w:rFonts w:ascii="Arial" w:hAnsi="Arial"/>
          <w:sz w:val="22"/>
        </w:rPr>
        <w:t xml:space="preserve">, </w:t>
      </w:r>
      <w:r>
        <w:rPr>
          <w:rFonts w:ascii="Courier New" w:hAnsi="Courier New"/>
          <w:sz w:val="18"/>
        </w:rPr>
        <w:t>&lt;11</w:t>
      </w:r>
      <w:r>
        <w:rPr>
          <w:rFonts w:ascii="Arial" w:hAnsi="Arial"/>
          <w:sz w:val="22"/>
        </w:rP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pPr>
        <w:jc w:val="both"/>
      </w:pPr>
      <w:r>
        <w:rPr>
          <w:b/>
        </w:rPr>
        <w:t>Estado académico:</w:t>
      </w:r>
      <w:r>
        <w:rPr>
          <w:rFonts w:ascii="Arial" w:hAnsi="Arial"/>
          <w:sz w:val="22"/>
        </w:rPr>
        <w:t xml:space="preserve"> Documentada como diferencia de implementación, no como error. La funcionalidad de bloqueo automático por puntaje es trabajo futuro.</w:t>
      </w:r>
    </w:p>
    <w:p>
      <w:pPr>
        <w:pStyle w:val="Heading3"/>
      </w:pPr>
      <w:r>
        <w:t>5.12.2 Discrepancia D-02: tabla reviews como almacén primario de decisiones</w:t>
      </w:r>
    </w:p>
    <w:p>
      <w:pPr>
        <w:jc w:val="both"/>
      </w:pPr>
      <w:r>
        <w:rPr>
          <w:b/>
        </w:rPr>
        <w:t>Descripción:</w:t>
      </w:r>
      <w:r>
        <w:rPr>
          <w:rFonts w:ascii="Arial" w:hAnsi="Arial"/>
          <w:sz w:val="22"/>
        </w:rPr>
        <w:t xml:space="preserve"> El Trabajo A contemplaba que las decisiones del administrador se almacenarían en el campo </w:t>
      </w:r>
      <w:r>
        <w:rPr>
          <w:rFonts w:ascii="Courier New" w:hAnsi="Courier New"/>
          <w:sz w:val="18"/>
        </w:rPr>
        <w:t>decision</w:t>
      </w:r>
      <w:r>
        <w:rPr>
          <w:rFonts w:ascii="Arial" w:hAnsi="Arial"/>
          <w:sz w:val="22"/>
        </w:rPr>
        <w:t xml:space="preserve"> de la tabla </w:t>
      </w:r>
      <w:r>
        <w:rPr>
          <w:rFonts w:ascii="Courier New" w:hAnsi="Courier New"/>
          <w:sz w:val="18"/>
        </w:rPr>
        <w:t>attempts</w:t>
      </w:r>
      <w:r>
        <w:rPr>
          <w:rFonts w:ascii="Arial" w:hAnsi="Arial"/>
          <w:sz w:val="22"/>
        </w:rPr>
        <w:t xml:space="preserve">. En la implementación final, las decisiones se persisten en la tabla </w:t>
      </w:r>
      <w:r>
        <w:rPr>
          <w:rFonts w:ascii="Courier New" w:hAnsi="Courier New"/>
          <w:sz w:val="18"/>
        </w:rPr>
        <w:t>reviews</w:t>
      </w:r>
      <w:r>
        <w:rPr>
          <w:rFonts w:ascii="Arial" w:hAnsi="Arial"/>
          <w:sz w:val="22"/>
        </w:rPr>
        <w:t xml:space="preserve"> como almacén primario, con </w:t>
      </w:r>
      <w:r>
        <w:rPr>
          <w:rFonts w:ascii="Courier New" w:hAnsi="Courier New"/>
          <w:sz w:val="18"/>
        </w:rPr>
        <w:t>attempts.decision</w:t>
      </w:r>
      <w:r>
        <w:rPr>
          <w:rFonts w:ascii="Arial" w:hAnsi="Arial"/>
          <w:sz w:val="22"/>
        </w:rPr>
        <w:t xml:space="preserve"> y </w:t>
      </w:r>
      <w:r>
        <w:rPr>
          <w:rFonts w:ascii="Courier New" w:hAnsi="Courier New"/>
          <w:sz w:val="18"/>
        </w:rPr>
        <w:t>attempts.reviewer_notes</w:t>
      </w:r>
      <w:r>
        <w:rPr>
          <w:rFonts w:ascii="Arial" w:hAnsi="Arial"/>
          <w:sz w:val="22"/>
        </w:rPr>
        <w:t xml:space="preserve"> como fallback.</w:t>
      </w:r>
    </w:p>
    <w:p>
      <w:pPr>
        <w:jc w:val="both"/>
      </w:pPr>
      <w:r>
        <w:rPr>
          <w:b/>
        </w:rPr>
        <w:t>Código verificado:</w:t>
      </w:r>
    </w:p>
    <w:p>
      <w:pPr>
        <w:pStyle w:val="CodeBlock"/>
        <w:shd w:val="clear" w:color="auto" w:fill="F2F2F2"/>
      </w:pPr>
      <w:r>
        <w:t>// app/api/admin/attempts/[id]/route.ts — función persistDecisionAndNotes</w:t>
        <w:br/>
        <w:t>const reviewResult = await upsertReview(admin, id, notes, decision);</w:t>
        <w:br/>
        <w:t>// Si reviews existe y no produce error, se usa reviews como almacén definitivo</w:t>
        <w:br/>
        <w:t>// El fallback a attempts.decision ocurre solo ante error 42P01/PGRST205</w:t>
      </w:r>
    </w:p>
    <w:p>
      <w:pPr>
        <w:jc w:val="both"/>
      </w:pPr>
      <w:r>
        <w:rPr>
          <w:b/>
        </w:rPr>
        <w:t>Origen:</w:t>
      </w:r>
      <w:r>
        <w:rPr>
          <w:rFonts w:ascii="Arial" w:hAnsi="Arial"/>
          <w:sz w:val="22"/>
        </w:rPr>
        <w:t xml:space="preserve"> La tabla </w:t>
      </w:r>
      <w:r>
        <w:rPr>
          <w:rFonts w:ascii="Courier New" w:hAnsi="Courier New"/>
          <w:sz w:val="18"/>
        </w:rPr>
        <w:t>reviews</w:t>
      </w:r>
      <w:r>
        <w:rPr>
          <w:rFonts w:ascii="Arial" w:hAnsi="Arial"/>
          <w:sz w:val="22"/>
        </w:rPr>
        <w:t xml:space="preserve"> fue introducida en la iteración 6 del desarrollo (T-05) para permitir a los revisores registrar observaciones más detalladas. Al evolucionar el esquema, </w:t>
      </w:r>
      <w:r>
        <w:rPr>
          <w:rFonts w:ascii="Courier New" w:hAnsi="Courier New"/>
          <w:sz w:val="18"/>
        </w:rPr>
        <w:t>reviews</w:t>
      </w:r>
      <w:r>
        <w:rPr>
          <w:rFonts w:ascii="Arial" w:hAnsi="Arial"/>
          <w:sz w:val="22"/>
        </w:rPr>
        <w:t xml:space="preserve"> pasó a ser el almacén principal porque soporta múltiples revisiones sobre el mismo intento y tiene campos separados para observaciones. La columna </w:t>
      </w:r>
      <w:r>
        <w:rPr>
          <w:rFonts w:ascii="Courier New" w:hAnsi="Courier New"/>
          <w:sz w:val="18"/>
        </w:rPr>
        <w:t>attempts.decision</w:t>
      </w:r>
      <w:r>
        <w:rPr>
          <w:rFonts w:ascii="Arial" w:hAnsi="Arial"/>
          <w:sz w:val="22"/>
        </w:rPr>
        <w:t xml:space="preserve"> quedó como respaldo de compatibilidad para entornos donde la tabla </w:t>
      </w:r>
      <w:r>
        <w:rPr>
          <w:rFonts w:ascii="Courier New" w:hAnsi="Courier New"/>
          <w:sz w:val="18"/>
        </w:rPr>
        <w:t>reviews</w:t>
      </w:r>
      <w:r>
        <w:rPr>
          <w:rFonts w:ascii="Arial" w:hAnsi="Arial"/>
          <w:sz w:val="22"/>
        </w:rPr>
        <w:t xml:space="preserve"> no existe.</w:t>
      </w:r>
    </w:p>
    <w:p>
      <w:pPr>
        <w:jc w:val="both"/>
      </w:pPr>
      <w:r>
        <w:rPr>
          <w:b/>
        </w:rPr>
        <w:t>Estado académico:</w:t>
      </w:r>
      <w:r>
        <w:rPr>
          <w:rFonts w:ascii="Arial" w:hAnsi="Arial"/>
          <w:sz w:val="22"/>
        </w:rPr>
        <w:t xml:space="preserve"> Documentada. La lectura de decisiones también prioriza </w:t>
      </w:r>
      <w:r>
        <w:rPr>
          <w:rFonts w:ascii="Courier New" w:hAnsi="Courier New"/>
          <w:sz w:val="18"/>
        </w:rPr>
        <w:t>reviews</w:t>
      </w:r>
      <w:r>
        <w:rPr>
          <w:rFonts w:ascii="Arial" w:hAnsi="Arial"/>
          <w:sz w:val="22"/>
        </w:rPr>
        <w:t xml:space="preserve"> sobre </w:t>
      </w:r>
      <w:r>
        <w:rPr>
          <w:rFonts w:ascii="Courier New" w:hAnsi="Courier New"/>
          <w:sz w:val="18"/>
        </w:rPr>
        <w:t>attempts.decision</w:t>
      </w:r>
      <w:r>
        <w:rPr>
          <w:rFonts w:ascii="Arial" w:hAnsi="Arial"/>
          <w:sz w:val="22"/>
        </w:rPr>
        <w:t>.</w:t>
      </w:r>
    </w:p>
    <w:p>
      <w:pPr>
        <w:pStyle w:val="Heading3"/>
      </w:pPr>
      <w:r>
        <w:t>5.12.3 Discrepancia D-03: endpoint de estadísticas de vacante con alcance reducido</w:t>
      </w:r>
    </w:p>
    <w:p>
      <w:pPr>
        <w:jc w:val="both"/>
      </w:pPr>
      <w:r>
        <w:rPr>
          <w:b/>
        </w:rPr>
        <w:t>Descripción:</w:t>
      </w:r>
      <w:r>
        <w:rPr>
          <w:rFonts w:ascii="Arial" w:hAnsi="Arial"/>
          <w:sz w:val="22"/>
        </w:rPr>
        <w:t xml:space="preserve"> El endpoint </w:t>
      </w:r>
      <w:r>
        <w:rPr>
          <w:rFonts w:ascii="Courier New" w:hAnsi="Courier New"/>
          <w:sz w:val="18"/>
        </w:rPr>
        <w:t>GET /api/admin/vacancies/[id]/stats</w:t>
      </w:r>
      <w:r>
        <w:rPr>
          <w:rFonts w:ascii="Arial" w:hAnsi="Arial"/>
          <w:sz w:val="22"/>
        </w:rPr>
        <w:t xml:space="preserve"> existe y está protegido con </w:t>
      </w:r>
      <w:r>
        <w:rPr>
          <w:rFonts w:ascii="Courier New" w:hAnsi="Courier New"/>
          <w:sz w:val="18"/>
        </w:rPr>
        <w:t>requireAdmin()</w:t>
      </w:r>
      <w:r>
        <w:rPr>
          <w:rFonts w:ascii="Arial" w:hAnsi="Arial"/>
          <w:sz w:val="22"/>
        </w:rPr>
        <w:t xml:space="preserve">, pero solo devuelve dos métricas: </w:t>
      </w:r>
      <w:r>
        <w:rPr>
          <w:rFonts w:ascii="Courier New" w:hAnsi="Courier New"/>
          <w:sz w:val="18"/>
        </w:rPr>
        <w:t>applicationsCount</w:t>
      </w:r>
      <w:r>
        <w:rPr>
          <w:rFonts w:ascii="Arial" w:hAnsi="Arial"/>
          <w:sz w:val="22"/>
        </w:rPr>
        <w:t xml:space="preserve"> y </w:t>
      </w:r>
      <w:r>
        <w:rPr>
          <w:rFonts w:ascii="Courier New" w:hAnsi="Courier New"/>
          <w:sz w:val="18"/>
        </w:rPr>
        <w:t>attemptsCount</w:t>
      </w:r>
      <w:r>
        <w:rPr>
          <w:rFonts w:ascii="Arial" w:hAnsi="Arial"/>
          <w:sz w:val="22"/>
        </w:rPr>
        <w:t>. El panel administrativo no consume este endpoint en ninguna vista actual.</w:t>
      </w:r>
    </w:p>
    <w:p>
      <w:pPr>
        <w:jc w:val="both"/>
      </w:pPr>
      <w:r>
        <w:rPr>
          <w:b/>
        </w:rPr>
        <w:t>Código verificado:</w:t>
      </w:r>
    </w:p>
    <w:p>
      <w:pPr>
        <w:pStyle w:val="CodeBlock"/>
        <w:shd w:val="clear" w:color="auto" w:fill="F2F2F2"/>
      </w:pPr>
      <w:r>
        <w:t>// app/api/admin/vacancies/[id]/stats/route.ts</w:t>
        <w:br/>
        <w:t>return NextResponse.json({</w:t>
        <w:br/>
        <w:t xml:space="preserve">  data: { applicationsCount: applicationsCount ?? 0, attemptsCount: attemptsCount ?? 0 },</w:t>
        <w:br/>
        <w:t>});</w:t>
      </w:r>
    </w:p>
    <w:p>
      <w:pPr>
        <w:jc w:val="both"/>
      </w:pPr>
      <w:r>
        <w:rPr>
          <w:b/>
        </w:rPr>
        <w:t>Situación:</w:t>
      </w:r>
      <w:r>
        <w:rPr>
          <w:rFonts w:ascii="Arial" w:hAnsi="Arial"/>
          <w:sz w:val="22"/>
        </w:rP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pPr>
        <w:jc w:val="both"/>
      </w:pPr>
      <w:r>
        <w:rPr>
          <w:b/>
        </w:rPr>
        <w:t>Estado académico:</w:t>
      </w:r>
      <w:r>
        <w:rPr>
          <w:rFonts w:ascii="Arial" w:hAnsi="Arial"/>
          <w:sz w:val="22"/>
        </w:rPr>
        <w:t xml:space="preserve"> Documentada como funcionalidad parcial. La integración del endpoint con una vista estadística en el panel es trabajo futuro.</w:t>
      </w:r>
    </w:p>
    <w:p>
      <w:pPr>
        <w:pStyle w:val="Heading3"/>
      </w:pPr>
      <w:r>
        <w:t>5.12.4 Discrepancia D-04: rol reviewer definido en esquema pero no operativo</w:t>
      </w:r>
    </w:p>
    <w:p>
      <w:pPr>
        <w:jc w:val="both"/>
      </w:pPr>
      <w:r>
        <w:rPr>
          <w:b/>
        </w:rPr>
        <w:t>Descripción:</w:t>
      </w:r>
      <w:r>
        <w:rPr>
          <w:rFonts w:ascii="Arial" w:hAnsi="Arial"/>
          <w:sz w:val="22"/>
        </w:rPr>
        <w:t xml:space="preserve"> El esquema de la tabla </w:t>
      </w:r>
      <w:r>
        <w:rPr>
          <w:rFonts w:ascii="Courier New" w:hAnsi="Courier New"/>
          <w:sz w:val="18"/>
        </w:rPr>
        <w:t>profiles</w:t>
      </w:r>
      <w:r>
        <w:rPr>
          <w:rFonts w:ascii="Arial" w:hAnsi="Arial"/>
          <w:sz w:val="22"/>
        </w:rPr>
        <w:t xml:space="preserve"> incluye el valor </w:t>
      </w:r>
      <w:r>
        <w:rPr>
          <w:rFonts w:ascii="Courier New" w:hAnsi="Courier New"/>
          <w:sz w:val="18"/>
        </w:rPr>
        <w:t>reviewer</w:t>
      </w:r>
      <w:r>
        <w:rPr>
          <w:rFonts w:ascii="Arial" w:hAnsi="Arial"/>
          <w:sz w:val="22"/>
        </w:rPr>
        <w:t xml:space="preserve"> en la restricción </w:t>
      </w:r>
      <w:r>
        <w:rPr>
          <w:rFonts w:ascii="Courier New" w:hAnsi="Courier New"/>
          <w:sz w:val="18"/>
        </w:rPr>
        <w:t>CHECK (role in ('user', 'admin', 'reviewer'))</w:t>
      </w:r>
      <w:r>
        <w:rPr>
          <w:rFonts w:ascii="Arial" w:hAnsi="Arial"/>
          <w:sz w:val="22"/>
        </w:rPr>
        <w:t xml:space="preserve">, indicando la intención original de un tercer rol con permisos intermedios. Sin embargo, la tabla </w:t>
      </w:r>
      <w:r>
        <w:rPr>
          <w:rFonts w:ascii="Courier New" w:hAnsi="Courier New"/>
          <w:sz w:val="18"/>
        </w:rPr>
        <w:t>user_roles</w:t>
      </w:r>
      <w:r>
        <w:rPr>
          <w:rFonts w:ascii="Arial" w:hAnsi="Arial"/>
          <w:sz w:val="22"/>
        </w:rPr>
        <w:t xml:space="preserve"> no contempla este valor, no existen políticas de RLS que distingan al reviewer del usuario regular, y ninguna ruta verifica el rol </w:t>
      </w:r>
      <w:r>
        <w:rPr>
          <w:rFonts w:ascii="Courier New" w:hAnsi="Courier New"/>
          <w:sz w:val="18"/>
        </w:rPr>
        <w:t>reviewer</w:t>
      </w:r>
      <w:r>
        <w:rPr>
          <w:rFonts w:ascii="Arial" w:hAnsi="Arial"/>
          <w:sz w:val="22"/>
        </w:rPr>
        <w:t>.</w:t>
      </w:r>
    </w:p>
    <w:p>
      <w:pPr>
        <w:jc w:val="both"/>
      </w:pPr>
      <w:r>
        <w:rPr>
          <w:b/>
        </w:rPr>
        <w:t>Código verificado:</w:t>
      </w:r>
    </w:p>
    <w:p>
      <w:pPr>
        <w:pStyle w:val="CodeBlock"/>
        <w:shd w:val="clear" w:color="auto" w:fill="F2F2F2"/>
      </w:pPr>
      <w:r>
        <w:t>-- supabase/schema.sql</w:t>
        <w:br/>
        <w:t>constraint profiles_role_check check (role in ('user','admin','reviewer'))</w:t>
      </w:r>
    </w:p>
    <w:p>
      <w:pPr>
        <w:pStyle w:val="CodeBlock"/>
        <w:shd w:val="clear" w:color="auto" w:fill="F2F2F2"/>
      </w:pPr>
      <w:r>
        <w:t>// lib/auth.ts — resolveRole() acepta "admin" y "user"; cualquier otro valor (incl. "reviewer") retorna "user"</w:t>
        <w:br/>
        <w:t>export const resolveRole = (role: string | null | undefined): ProfileRole =&gt; {</w:t>
        <w:br/>
        <w:t xml:space="preserve">  if (role === "admin" || role === "user") {</w:t>
        <w:br/>
        <w:t xml:space="preserve">    return role;</w:t>
        <w:br/>
        <w:t xml:space="preserve">  }</w:t>
        <w:br/>
        <w:t xml:space="preserve">  return "user";</w:t>
        <w:br/>
        <w:t>};</w:t>
      </w:r>
    </w:p>
    <w:p>
      <w:pPr>
        <w:jc w:val="both"/>
      </w:pPr>
      <w:r>
        <w:rPr>
          <w:b/>
        </w:rPr>
        <w:t>Situación:</w:t>
      </w:r>
      <w:r>
        <w:rPr>
          <w:rFonts w:ascii="Arial" w:hAnsi="Arial"/>
          <w:sz w:val="22"/>
        </w:rPr>
        <w:t xml:space="preserve"> El rol </w:t>
      </w:r>
      <w:r>
        <w:rPr>
          <w:rFonts w:ascii="Courier New" w:hAnsi="Courier New"/>
          <w:sz w:val="18"/>
        </w:rPr>
        <w:t>reviewer</w:t>
      </w:r>
      <w:r>
        <w:rPr>
          <w:rFonts w:ascii="Arial" w:hAnsi="Arial"/>
          <w:sz w:val="22"/>
        </w:rPr>
        <w:t xml:space="preserve"> existe como restricción de datos pero no tiene implementación funcional. Un usuario cuyo campo </w:t>
      </w:r>
      <w:r>
        <w:rPr>
          <w:rFonts w:ascii="Courier New" w:hAnsi="Courier New"/>
          <w:sz w:val="18"/>
        </w:rPr>
        <w:t>profiles.role</w:t>
      </w:r>
      <w:r>
        <w:rPr>
          <w:rFonts w:ascii="Arial" w:hAnsi="Arial"/>
          <w:sz w:val="22"/>
        </w:rPr>
        <w:t xml:space="preserve"> sea </w:t>
      </w:r>
      <w:r>
        <w:rPr>
          <w:rFonts w:ascii="Courier New" w:hAnsi="Courier New"/>
          <w:sz w:val="18"/>
        </w:rPr>
        <w:t>reviewer</w:t>
      </w:r>
      <w:r>
        <w:rPr>
          <w:rFonts w:ascii="Arial" w:hAnsi="Arial"/>
          <w:sz w:val="22"/>
        </w:rPr>
        <w:t xml:space="preserve"> sería tratado por el sistema como </w:t>
      </w:r>
      <w:r>
        <w:rPr>
          <w:rFonts w:ascii="Courier New" w:hAnsi="Courier New"/>
          <w:sz w:val="18"/>
        </w:rPr>
        <w:t>user</w:t>
      </w:r>
      <w:r>
        <w:rPr>
          <w:rFonts w:ascii="Arial" w:hAnsi="Arial"/>
          <w:sz w:val="22"/>
        </w:rPr>
        <w:t xml:space="preserve"> al pasar por </w:t>
      </w:r>
      <w:r>
        <w:rPr>
          <w:rFonts w:ascii="Courier New" w:hAnsi="Courier New"/>
          <w:sz w:val="18"/>
        </w:rPr>
        <w:t>resolveRole()</w:t>
      </w:r>
      <w:r>
        <w:rPr>
          <w:rFonts w:ascii="Arial" w:hAnsi="Arial"/>
          <w:sz w:val="22"/>
        </w:rPr>
        <w:t>. La funcionalidad de revisión intermedia es trabajo futuro.</w:t>
      </w:r>
    </w:p>
    <w:p>
      <w:pPr>
        <w:jc w:val="both"/>
      </w:pPr>
      <w:r>
        <w:rPr>
          <w:b/>
        </w:rPr>
        <w:t>Estado académico:</w:t>
      </w:r>
      <w:r>
        <w:rPr>
          <w:rFonts w:ascii="Arial" w:hAnsi="Arial"/>
          <w:sz w:val="22"/>
        </w:rPr>
        <w:t xml:space="preserve"> Documentada. La distinción entre reviewer y admin estaba en el diseño del Trabajo A pero quedó fuera del alcance del MVP.</w:t>
      </w:r>
    </w:p>
    <w:p>
      <w:pPr>
        <w:pStyle w:val="Heading3"/>
      </w:pPr>
      <w:r>
        <w:t>5.12.5 Discrepancia D-05: lista de exclusión de candidatos sin implementación</w:t>
      </w:r>
    </w:p>
    <w:p>
      <w:pPr>
        <w:jc w:val="both"/>
      </w:pPr>
      <w:r>
        <w:rPr>
          <w:b/>
        </w:rPr>
        <w:t>Descripción:</w:t>
      </w:r>
      <w:r>
        <w:rPr>
          <w:rFonts w:ascii="Arial" w:hAnsi="Arial"/>
          <w:sz w:val="22"/>
        </w:rP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pPr>
        <w:jc w:val="both"/>
      </w:pPr>
      <w:r>
        <w:rPr>
          <w:b/>
        </w:rPr>
        <w:t>Situación:</w:t>
      </w:r>
      <w:r>
        <w:rPr>
          <w:rFonts w:ascii="Arial" w:hAnsi="Arial"/>
          <w:sz w:val="22"/>
        </w:rP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pPr>
        <w:jc w:val="both"/>
      </w:pPr>
      <w:r>
        <w:rPr>
          <w:b/>
        </w:rPr>
        <w:t>Nota sobre numeración de requisitos:</w:t>
      </w:r>
      <w:r>
        <w:rPr>
          <w:rFonts w:ascii="Arial" w:hAnsi="Arial"/>
          <w:sz w:val="22"/>
        </w:rP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pPr>
        <w:jc w:val="both"/>
      </w:pPr>
      <w:r>
        <w:rPr>
          <w:b/>
        </w:rPr>
        <w:t>Estado académico:</w:t>
      </w:r>
      <w:r>
        <w:rPr>
          <w:rFonts w:ascii="Arial" w:hAnsi="Arial"/>
          <w:sz w:val="22"/>
        </w:rPr>
        <w:t xml:space="preserve"> Documentada como funcionalidad fuera del alcance del MVP.</w:t>
      </w:r>
    </w:p>
    <w:p>
      <w:pPr>
        <w:pStyle w:val="Heading3"/>
      </w:pPr>
      <w:r>
        <w:t>5.12.6 Incidencias técnicas T-01 a T-05</w:t>
      </w:r>
    </w:p>
    <w:p>
      <w:pPr>
        <w:jc w:val="both"/>
      </w:pPr>
      <w:r>
        <w:rPr>
          <w:rFonts w:ascii="Arial" w:hAnsi="Arial"/>
          <w:sz w:val="22"/>
        </w:rPr>
        <w:t>Las siguientes incidencias técnicas se resolvieron durante el desarrollo y quedan documentadas como evidencia del proceso de maduración del sistema.</w:t>
      </w:r>
    </w:p>
    <w:p>
      <w:pPr>
        <w:pStyle w:val="Heading4"/>
      </w:pPr>
      <w:r>
        <w:t>T-01 — Parámetros asíncronos en Next.js App Router</w:t>
      </w:r>
    </w:p>
    <w:p>
      <w:pPr>
        <w:jc w:val="both"/>
      </w:pPr>
      <w:r>
        <w:rPr>
          <w:b/>
        </w:rPr>
        <w:t>Problema:</w:t>
      </w:r>
      <w:r>
        <w:rPr>
          <w:rFonts w:ascii="Arial" w:hAnsi="Arial"/>
          <w:sz w:val="22"/>
        </w:rPr>
        <w:t xml:space="preserve"> En Next.js 16, los parámetros dinámicos de rutas (</w:t>
      </w:r>
      <w:r>
        <w:rPr>
          <w:rFonts w:ascii="Courier New" w:hAnsi="Courier New"/>
          <w:sz w:val="18"/>
        </w:rPr>
        <w:t>params</w:t>
      </w:r>
      <w:r>
        <w:rPr>
          <w:rFonts w:ascii="Arial" w:hAnsi="Arial"/>
          <w:sz w:val="22"/>
        </w:rPr>
        <w:t xml:space="preserve">) son objetos Promise que deben resolverse con </w:t>
      </w:r>
      <w:r>
        <w:rPr>
          <w:rFonts w:ascii="Courier New" w:hAnsi="Courier New"/>
          <w:sz w:val="18"/>
        </w:rPr>
        <w:t>await</w:t>
      </w:r>
      <w:r>
        <w:rPr>
          <w:rFonts w:ascii="Arial" w:hAnsi="Arial"/>
          <w:sz w:val="22"/>
        </w:rPr>
        <w:t xml:space="preserve"> antes de acceder a sus propiedades. El código inicial accedía directamente a </w:t>
      </w:r>
      <w:r>
        <w:rPr>
          <w:rFonts w:ascii="Courier New" w:hAnsi="Courier New"/>
          <w:sz w:val="18"/>
        </w:rPr>
        <w:t>params.id</w:t>
      </w:r>
      <w:r>
        <w:rPr>
          <w:rFonts w:ascii="Arial" w:hAnsi="Arial"/>
          <w:sz w:val="22"/>
        </w:rPr>
        <w:t xml:space="preserve"> sin resolver la promesa, produciendo errores en tiempo de ejecución al intentar usar el valor como cadena.</w:t>
      </w:r>
    </w:p>
    <w:p>
      <w:pPr>
        <w:jc w:val="both"/>
      </w:pPr>
      <w:r>
        <w:rPr>
          <w:b/>
        </w:rPr>
        <w:t>Archivos afectados:</w:t>
      </w:r>
      <w:r>
        <w:rPr>
          <w:rFonts w:ascii="Arial" w:hAnsi="Arial"/>
          <w:sz w:val="22"/>
        </w:rPr>
        <w:t xml:space="preserve"> Todas las rutas dinámicas del sistema: </w:t>
      </w:r>
      <w:r>
        <w:rPr>
          <w:rFonts w:ascii="Courier New" w:hAnsi="Courier New"/>
          <w:sz w:val="18"/>
        </w:rPr>
        <w:t>app/evaluacion/[attemptId]/page.tsx</w:t>
      </w:r>
      <w:r>
        <w:rPr>
          <w:rFonts w:ascii="Arial" w:hAnsi="Arial"/>
          <w:sz w:val="22"/>
        </w:rPr>
        <w:t xml:space="preserve">, </w:t>
      </w:r>
      <w:r>
        <w:rPr>
          <w:rFonts w:ascii="Courier New" w:hAnsi="Courier New"/>
          <w:sz w:val="18"/>
        </w:rPr>
        <w:t>app/vacantes/[id]/page.tsx</w:t>
      </w:r>
      <w:r>
        <w:rPr>
          <w:rFonts w:ascii="Arial" w:hAnsi="Arial"/>
          <w:sz w:val="22"/>
        </w:rPr>
        <w:t xml:space="preserve">, </w:t>
      </w:r>
      <w:r>
        <w:rPr>
          <w:rFonts w:ascii="Courier New" w:hAnsi="Courier New"/>
          <w:sz w:val="18"/>
        </w:rPr>
        <w:t>app/modulos/[moduleId]/page.tsx</w:t>
      </w:r>
      <w:r>
        <w:rPr>
          <w:rFonts w:ascii="Arial" w:hAnsi="Arial"/>
          <w:sz w:val="22"/>
        </w:rPr>
        <w:t xml:space="preserve">, </w:t>
      </w:r>
      <w:r>
        <w:rPr>
          <w:rFonts w:ascii="Courier New" w:hAnsi="Courier New"/>
          <w:sz w:val="18"/>
        </w:rPr>
        <w:t>app/api/admin/attempts/[id]/route.ts</w:t>
      </w:r>
      <w:r>
        <w:rPr>
          <w:rFonts w:ascii="Arial" w:hAnsi="Arial"/>
          <w:sz w:val="22"/>
        </w:rPr>
        <w:t xml:space="preserve"> y demás Route Handlers con segmentos dinámicos.</w:t>
      </w:r>
    </w:p>
    <w:p>
      <w:pPr>
        <w:jc w:val="both"/>
      </w:pPr>
      <w:r>
        <w:rPr>
          <w:b/>
        </w:rPr>
        <w:t>Solución aplicada:</w:t>
      </w:r>
    </w:p>
    <w:p>
      <w:pPr>
        <w:pStyle w:val="CodeBlock"/>
        <w:shd w:val="clear" w:color="auto" w:fill="F2F2F2"/>
      </w:pPr>
      <w:r>
        <w:t>// Antes (incorrecto)</w:t>
        <w:br/>
        <w:t>const { attemptId } = params;</w:t>
        <w:br/>
        <w:t>// Después (correcto)</w:t>
        <w:br/>
        <w:t>const { attemptId } = await params;</w:t>
      </w:r>
    </w:p>
    <w:p>
      <w:pPr>
        <w:jc w:val="both"/>
      </w:pPr>
      <w:r>
        <w:rPr>
          <w:b/>
        </w:rPr>
        <w:t>Evidencia:</w:t>
      </w:r>
      <w:r>
        <w:rPr>
          <w:rFonts w:ascii="Arial" w:hAnsi="Arial"/>
          <w:sz w:val="22"/>
        </w:rPr>
        <w:t xml:space="preserve"> Commits </w:t>
      </w:r>
      <w:r>
        <w:rPr>
          <w:rFonts w:ascii="Courier New" w:hAnsi="Courier New"/>
          <w:sz w:val="18"/>
        </w:rPr>
        <w:t>c77284d</w:t>
      </w:r>
      <w:r>
        <w:rPr>
          <w:rFonts w:ascii="Arial" w:hAnsi="Arial"/>
          <w:sz w:val="22"/>
        </w:rPr>
        <w:t xml:space="preserve">, </w:t>
      </w:r>
      <w:r>
        <w:rPr>
          <w:rFonts w:ascii="Courier New" w:hAnsi="Courier New"/>
          <w:sz w:val="18"/>
        </w:rPr>
        <w:t>518e343</w:t>
      </w:r>
      <w:r>
        <w:rPr>
          <w:rFonts w:ascii="Arial" w:hAnsi="Arial"/>
          <w:sz w:val="22"/>
        </w:rPr>
        <w:t xml:space="preserve">, </w:t>
      </w:r>
      <w:r>
        <w:rPr>
          <w:rFonts w:ascii="Courier New" w:hAnsi="Courier New"/>
          <w:sz w:val="18"/>
        </w:rPr>
        <w:t>9563ccc</w:t>
      </w:r>
      <w:r>
        <w:rPr>
          <w:rFonts w:ascii="Arial" w:hAnsi="Arial"/>
          <w:sz w:val="22"/>
        </w:rPr>
        <w:t xml:space="preserve">, </w:t>
      </w:r>
      <w:r>
        <w:rPr>
          <w:rFonts w:ascii="Courier New" w:hAnsi="Courier New"/>
          <w:sz w:val="18"/>
        </w:rPr>
        <w:t>0905c1c</w:t>
      </w:r>
      <w:r>
        <w:rPr>
          <w:rFonts w:ascii="Arial" w:hAnsi="Arial"/>
          <w:sz w:val="22"/>
        </w:rPr>
        <w:t xml:space="preserve">, </w:t>
      </w:r>
      <w:r>
        <w:rPr>
          <w:rFonts w:ascii="Courier New" w:hAnsi="Courier New"/>
          <w:sz w:val="18"/>
        </w:rPr>
        <w:t>4075114</w:t>
      </w:r>
      <w:r>
        <w:rPr>
          <w:rFonts w:ascii="Arial" w:hAnsi="Arial"/>
          <w:sz w:val="22"/>
        </w:rPr>
        <w:t xml:space="preserve"> del 2026-02-18, cada uno corrigiendo una o varias rutas afectadas.</w:t>
      </w:r>
    </w:p>
    <w:p>
      <w:pPr>
        <w:jc w:val="both"/>
      </w:pPr>
      <w:r>
        <w:rPr>
          <w:b/>
        </w:rPr>
        <w:t>Importancia técnica:</w:t>
      </w:r>
      <w:r>
        <w:rPr>
          <w:rFonts w:ascii="Arial" w:hAnsi="Arial"/>
          <w:sz w:val="22"/>
        </w:rP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pPr>
        <w:pStyle w:val="Heading4"/>
      </w:pPr>
      <w:r>
        <w:t>T-02 — Circularidad en políticas RLS al verificar rol</w:t>
      </w:r>
    </w:p>
    <w:p>
      <w:pPr>
        <w:jc w:val="both"/>
      </w:pPr>
      <w:r>
        <w:rPr>
          <w:b/>
        </w:rPr>
        <w:t>Problema:</w:t>
      </w:r>
      <w:r>
        <w:rPr>
          <w:rFonts w:ascii="Arial" w:hAnsi="Arial"/>
          <w:sz w:val="22"/>
        </w:rPr>
        <w:t xml:space="preserve"> Las políticas de RLS de administrador evalúan </w:t>
      </w:r>
      <w:r>
        <w:rPr>
          <w:rFonts w:ascii="Courier New" w:hAnsi="Courier New"/>
          <w:sz w:val="18"/>
        </w:rPr>
        <w:t>get_my_role() = 'admin'</w:t>
      </w:r>
      <w:r>
        <w:rPr>
          <w:rFonts w:ascii="Arial" w:hAnsi="Arial"/>
          <w:sz w:val="22"/>
        </w:rPr>
        <w:t xml:space="preserve"> para decidir si permiten una operación. Sin embargo, </w:t>
      </w:r>
      <w:r>
        <w:rPr>
          <w:rFonts w:ascii="Courier New" w:hAnsi="Courier New"/>
          <w:sz w:val="18"/>
        </w:rPr>
        <w:t>get_my_role()</w:t>
      </w:r>
      <w:r>
        <w:rPr>
          <w:rFonts w:ascii="Arial" w:hAnsi="Arial"/>
          <w:sz w:val="22"/>
        </w:rPr>
        <w:t xml:space="preserve"> consulta la tabla </w:t>
      </w:r>
      <w:r>
        <w:rPr>
          <w:rFonts w:ascii="Courier New" w:hAnsi="Courier New"/>
          <w:sz w:val="18"/>
        </w:rPr>
        <w:t>user_roles</w:t>
      </w:r>
      <w:r>
        <w:rPr>
          <w:rFonts w:ascii="Arial" w:hAnsi="Arial"/>
          <w:sz w:val="22"/>
        </w:rPr>
        <w:t xml:space="preserve">. Si la política de </w:t>
      </w:r>
      <w:r>
        <w:rPr>
          <w:rFonts w:ascii="Courier New" w:hAnsi="Courier New"/>
          <w:sz w:val="18"/>
        </w:rPr>
        <w:t>user_roles</w:t>
      </w:r>
      <w:r>
        <w:rPr>
          <w:rFonts w:ascii="Arial" w:hAnsi="Arial"/>
          <w:sz w:val="22"/>
        </w:rPr>
        <w:t xml:space="preserve"> también requería rol admin para leerse, se generaba una circularidad: consultar el rol requería acceder a </w:t>
      </w:r>
      <w:r>
        <w:rPr>
          <w:rFonts w:ascii="Courier New" w:hAnsi="Courier New"/>
          <w:sz w:val="18"/>
        </w:rPr>
        <w:t>user_roles</w:t>
      </w:r>
      <w:r>
        <w:rPr>
          <w:rFonts w:ascii="Arial" w:hAnsi="Arial"/>
          <w:sz w:val="22"/>
        </w:rPr>
        <w:t xml:space="preserve">, pero acceder a </w:t>
      </w:r>
      <w:r>
        <w:rPr>
          <w:rFonts w:ascii="Courier New" w:hAnsi="Courier New"/>
          <w:sz w:val="18"/>
        </w:rPr>
        <w:t>user_roles</w:t>
      </w:r>
      <w:r>
        <w:rPr>
          <w:rFonts w:ascii="Arial" w:hAnsi="Arial"/>
          <w:sz w:val="22"/>
        </w:rPr>
        <w:t xml:space="preserve"> requería el rol.</w:t>
      </w:r>
    </w:p>
    <w:p>
      <w:pPr>
        <w:jc w:val="both"/>
      </w:pPr>
      <w:r>
        <w:rPr>
          <w:b/>
        </w:rPr>
        <w:t>Solución aplicada:</w:t>
      </w:r>
      <w:r>
        <w:rPr>
          <w:rFonts w:ascii="Arial" w:hAnsi="Arial"/>
          <w:sz w:val="22"/>
        </w:rPr>
        <w:t xml:space="preserve"> La función </w:t>
      </w:r>
      <w:r>
        <w:rPr>
          <w:rFonts w:ascii="Courier New" w:hAnsi="Courier New"/>
          <w:sz w:val="18"/>
        </w:rPr>
        <w:t>get_my_role()</w:t>
      </w:r>
      <w:r>
        <w:rPr>
          <w:rFonts w:ascii="Arial" w:hAnsi="Arial"/>
          <w:sz w:val="22"/>
        </w:rPr>
        <w:t xml:space="preserve"> se definió con </w:t>
      </w:r>
      <w:r>
        <w:rPr>
          <w:rFonts w:ascii="Courier New" w:hAnsi="Courier New"/>
          <w:sz w:val="18"/>
        </w:rPr>
        <w:t>SECURITY DEFINER</w:t>
      </w:r>
      <w:r>
        <w:rPr>
          <w:rFonts w:ascii="Arial" w:hAnsi="Arial"/>
          <w:sz w:val="22"/>
        </w:rP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rPr>
          <w:rFonts w:ascii="Arial" w:hAnsi="Arial"/>
          <w:sz w:val="22"/>
        </w:rPr>
        <w:t xml:space="preserve"> sin activar las políticas de RLS de esa tabla.</w:t>
      </w:r>
    </w:p>
    <w:p>
      <w:pPr>
        <w:jc w:val="both"/>
      </w:pPr>
      <w:r>
        <w:rPr>
          <w:b/>
        </w:rPr>
        <w:t>Evidencia:</w:t>
      </w:r>
      <w:r>
        <w:rPr>
          <w:rFonts w:ascii="Arial" w:hAnsi="Arial"/>
          <w:sz w:val="22"/>
        </w:rPr>
        <w:t xml:space="preserve"> Commit </w:t>
      </w:r>
      <w:r>
        <w:rPr>
          <w:rFonts w:ascii="Courier New" w:hAnsi="Courier New"/>
          <w:sz w:val="18"/>
        </w:rPr>
        <w:t>4d9f058</w:t>
      </w:r>
      <w:r>
        <w:rPr>
          <w:rFonts w:ascii="Arial" w:hAnsi="Arial"/>
          <w:sz w:val="22"/>
        </w:rPr>
        <w:t xml:space="preserve"> (introducción de </w:t>
      </w:r>
      <w:r>
        <w:rPr>
          <w:rFonts w:ascii="Courier New" w:hAnsi="Courier New"/>
          <w:sz w:val="18"/>
        </w:rPr>
        <w:t>user_roles</w:t>
      </w:r>
      <w:r>
        <w:rPr>
          <w:rFonts w:ascii="Arial" w:hAnsi="Arial"/>
          <w:sz w:val="22"/>
        </w:rPr>
        <w:t xml:space="preserve"> con SECURITY DEFINER) y commit </w:t>
      </w:r>
      <w:r>
        <w:rPr>
          <w:rFonts w:ascii="Courier New" w:hAnsi="Courier New"/>
          <w:sz w:val="18"/>
        </w:rPr>
        <w:t>ca422c8</w:t>
      </w:r>
      <w:r>
        <w:rPr>
          <w:rFonts w:ascii="Arial" w:hAnsi="Arial"/>
          <w:sz w:val="22"/>
        </w:rPr>
        <w:t xml:space="preserve"> (corrección del orden REVOKE/GRANT para que la función sea invocable por usuarios autenticados).</w:t>
      </w:r>
    </w:p>
    <w:p>
      <w:pPr>
        <w:jc w:val="both"/>
      </w:pPr>
      <w:r>
        <w:rPr>
          <w:b/>
        </w:rPr>
        <w:t>Importancia técnica:</w:t>
      </w:r>
      <w:r>
        <w:rPr>
          <w:rFonts w:ascii="Arial" w:hAnsi="Arial"/>
          <w:sz w:val="22"/>
        </w:rPr>
        <w:t xml:space="preserve"> Sin esta corrección, ningún usuario podría haber verificado su rol, bloqueando efectivamente todo el sistema de autorización.</w:t>
      </w:r>
    </w:p>
    <w:p>
      <w:pPr>
        <w:pStyle w:val="Heading4"/>
      </w:pPr>
      <w:r>
        <w:t>T-03 — Tipado de relaciones anidadas en el SDK de Supabase</w:t>
      </w:r>
    </w:p>
    <w:p>
      <w:pPr>
        <w:jc w:val="both"/>
      </w:pPr>
      <w:r>
        <w:rPr>
          <w:b/>
        </w:rPr>
        <w:t>Problema:</w:t>
      </w:r>
      <w:r>
        <w:rPr>
          <w:rFonts w:ascii="Arial" w:hAnsi="Arial"/>
          <w:sz w:val="22"/>
        </w:rPr>
        <w:t xml:space="preserve"> Al consultar un intento con su aplicación relacionada usando </w:t>
      </w:r>
      <w:r>
        <w:rPr>
          <w:rFonts w:ascii="Courier New" w:hAnsi="Courier New"/>
          <w:sz w:val="18"/>
        </w:rPr>
        <w:t>.select("..., application:applications!inner(user_id)")</w:t>
      </w:r>
      <w:r>
        <w:rPr>
          <w:rFonts w:ascii="Arial" w:hAnsi="Arial"/>
          <w:sz w:val="22"/>
        </w:rPr>
        <w:t xml:space="preserve">, el SDK de TypeScript tipaba el campo </w:t>
      </w:r>
      <w:r>
        <w:rPr>
          <w:rFonts w:ascii="Courier New" w:hAnsi="Courier New"/>
          <w:sz w:val="18"/>
        </w:rPr>
        <w:t>application</w:t>
      </w:r>
      <w:r>
        <w:rPr>
          <w:rFonts w:ascii="Arial" w:hAnsi="Arial"/>
          <w:sz w:val="22"/>
        </w:rPr>
        <w:t xml:space="preserve"> como </w:t>
      </w:r>
      <w:r>
        <w:rPr>
          <w:rFonts w:ascii="Courier New" w:hAnsi="Courier New"/>
          <w:sz w:val="18"/>
        </w:rPr>
        <w:t>{ user_id: string } | { user_id: string }[] | null</w:t>
      </w:r>
      <w:r>
        <w:rPr>
          <w:rFonts w:ascii="Arial" w:hAnsi="Arial"/>
          <w:sz w:val="22"/>
        </w:rPr>
        <w:t xml:space="preserve">, una unión de tipos que resultaba en errores de compilación al intentar acceder directamente a </w:t>
      </w:r>
      <w:r>
        <w:rPr>
          <w:rFonts w:ascii="Courier New" w:hAnsi="Courier New"/>
          <w:sz w:val="18"/>
        </w:rPr>
        <w:t>application.user_id</w:t>
      </w:r>
      <w:r>
        <w:rPr>
          <w:rFonts w:ascii="Arial" w:hAnsi="Arial"/>
          <w:sz w:val="22"/>
        </w:rPr>
        <w:t>.</w:t>
      </w:r>
    </w:p>
    <w:p>
      <w:pPr>
        <w:jc w:val="both"/>
      </w:pPr>
      <w:r>
        <w:rPr>
          <w:b/>
        </w:rPr>
        <w:t>Solución aplicada:</w:t>
      </w:r>
      <w:r>
        <w:rPr>
          <w:rFonts w:ascii="Arial" w:hAnsi="Arial"/>
          <w:sz w:val="22"/>
        </w:rPr>
        <w:t xml:space="preserve"> Se introdujo una verificación con </w:t>
      </w:r>
      <w:r>
        <w:rPr>
          <w:rFonts w:ascii="Courier New" w:hAnsi="Courier New"/>
          <w:sz w:val="18"/>
        </w:rPr>
        <w:t>Array.isArray()</w:t>
      </w:r>
      <w:r>
        <w:rPr>
          <w:rFonts w:ascii="Arial" w:hAnsi="Arial"/>
          <w:sz w:val="22"/>
        </w:rPr>
        <w:t xml:space="preserve"> para normalizar la unión antes de acceder a la propiedad:</w:t>
      </w:r>
    </w:p>
    <w:p>
      <w:pPr>
        <w:pStyle w:val="CodeBlock"/>
        <w:shd w:val="clear" w:color="auto" w:fill="F2F2F2"/>
      </w:pPr>
      <w:r>
        <w:t>// app/api/attempts/[attemptId]/submit/route.ts</w:t>
        <w:br/>
        <w:t>const application = Array.isArray(attempt.application)</w:t>
        <w:br/>
        <w:t xml:space="preserve">  ? attempt.application[0]</w:t>
        <w:br/>
        <w:t xml:space="preserve">  : attempt.application;</w:t>
      </w:r>
    </w:p>
    <w:p>
      <w:pPr>
        <w:jc w:val="both"/>
      </w:pPr>
      <w:r>
        <w:rPr>
          <w:rFonts w:ascii="Arial" w:hAnsi="Arial"/>
          <w:sz w:val="22"/>
        </w:rPr>
        <w:t xml:space="preserve">Se definió además el tipo explícito </w:t>
      </w:r>
      <w:r>
        <w:rPr>
          <w:rFonts w:ascii="Courier New" w:hAnsi="Courier New"/>
          <w:sz w:val="18"/>
        </w:rPr>
        <w:t>AttemptWithApplication</w:t>
      </w:r>
      <w:r>
        <w:rPr>
          <w:rFonts w:ascii="Arial" w:hAnsi="Arial"/>
          <w:sz w:val="22"/>
        </w:rPr>
        <w:t xml:space="preserve"> con la unión para que TypeScript aceptara la estructura sin errores.</w:t>
      </w:r>
    </w:p>
    <w:p>
      <w:pPr>
        <w:jc w:val="both"/>
      </w:pPr>
      <w:r>
        <w:rPr>
          <w:b/>
        </w:rPr>
        <w:t>Evidencia:</w:t>
      </w:r>
      <w:r>
        <w:rPr>
          <w:rFonts w:ascii="Arial" w:hAnsi="Arial"/>
          <w:sz w:val="22"/>
        </w:rPr>
        <w:t xml:space="preserve"> Commit </w:t>
      </w:r>
      <w:r>
        <w:rPr>
          <w:rFonts w:ascii="Courier New" w:hAnsi="Courier New"/>
          <w:sz w:val="18"/>
        </w:rPr>
        <w:t>4075114</w:t>
      </w:r>
      <w:r>
        <w:rPr>
          <w:rFonts w:ascii="Arial" w:hAnsi="Arial"/>
          <w:sz w:val="22"/>
        </w:rPr>
        <w:t>.</w:t>
      </w:r>
    </w:p>
    <w:p>
      <w:pPr>
        <w:jc w:val="both"/>
      </w:pPr>
      <w:r>
        <w:rPr>
          <w:b/>
        </w:rPr>
        <w:t>Importancia técnica:</w:t>
      </w:r>
      <w:r>
        <w:rPr>
          <w:rFonts w:ascii="Arial" w:hAnsi="Arial"/>
          <w:sz w:val="22"/>
        </w:rPr>
        <w:t xml:space="preserve"> Habilitó la compilación correcta de TypeScript para la producción, desbloqueando el despliegue de la versión estable.</w:t>
      </w:r>
    </w:p>
    <w:p>
      <w:pPr>
        <w:pStyle w:val="Heading4"/>
      </w:pPr>
      <w:r>
        <w:t>T-04 — Columna psychometric_summary ausente en producción</w:t>
      </w:r>
    </w:p>
    <w:p>
      <w:pPr>
        <w:jc w:val="both"/>
      </w:pPr>
      <w:r>
        <w:rPr>
          <w:b/>
        </w:rPr>
        <w:t>Problema:</w:t>
      </w:r>
      <w:r>
        <w:rPr>
          <w:rFonts w:ascii="Arial" w:hAnsi="Arial"/>
          <w:sz w:val="22"/>
        </w:rPr>
        <w:t xml:space="preserve"> Durante el desarrollo local, la columna </w:t>
      </w:r>
      <w:r>
        <w:rPr>
          <w:rFonts w:ascii="Courier New" w:hAnsi="Courier New"/>
          <w:sz w:val="18"/>
        </w:rPr>
        <w:t>psychometric_summary</w:t>
      </w:r>
      <w:r>
        <w:rPr>
          <w:rFonts w:ascii="Arial" w:hAnsi="Arial"/>
          <w:sz w:val="22"/>
        </w:rPr>
        <w:t xml:space="preserve"> se agregó a la tabla </w:t>
      </w:r>
      <w:r>
        <w:rPr>
          <w:rFonts w:ascii="Courier New" w:hAnsi="Courier New"/>
          <w:sz w:val="18"/>
        </w:rPr>
        <w:t>attempts</w:t>
      </w:r>
      <w:r>
        <w:rPr>
          <w:rFonts w:ascii="Arial" w:hAnsi="Arial"/>
          <w:sz w:val="22"/>
        </w:rP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rPr>
          <w:rFonts w:ascii="Arial" w:hAnsi="Arial"/>
          <w:sz w:val="22"/>
        </w:rPr>
        <w:t xml:space="preserve"> fallaba con el error </w:t>
      </w:r>
      <w:r>
        <w:rPr>
          <w:rFonts w:ascii="Courier New" w:hAnsi="Courier New"/>
          <w:sz w:val="18"/>
        </w:rPr>
        <w:t>column "psychometric_summary" does not exist</w:t>
      </w:r>
      <w:r>
        <w:rPr>
          <w:rFonts w:ascii="Arial" w:hAnsi="Arial"/>
          <w:sz w:val="22"/>
        </w:rPr>
        <w:t>.</w:t>
      </w:r>
    </w:p>
    <w:p>
      <w:pPr>
        <w:jc w:val="both"/>
      </w:pPr>
      <w:r>
        <w:rPr>
          <w:b/>
        </w:rPr>
        <w:t>Solución aplicada:</w:t>
      </w:r>
      <w:r>
        <w:rPr>
          <w:rFonts w:ascii="Arial" w:hAnsi="Arial"/>
          <w:sz w:val="22"/>
        </w:rPr>
        <w:t xml:space="preserve"> Se implementó la función </w:t>
      </w:r>
      <w:r>
        <w:rPr>
          <w:rFonts w:ascii="Courier New" w:hAnsi="Courier New"/>
          <w:sz w:val="18"/>
        </w:rPr>
        <w:t>isMissingColumnError()</w:t>
      </w:r>
      <w:r>
        <w:rPr>
          <w:rFonts w:ascii="Arial" w:hAnsi="Arial"/>
          <w:sz w:val="22"/>
        </w:rPr>
        <w:t xml:space="preserve"> que detecta el mensaje de error por contenido de cadena. Cuando se detecta el error, el sistema aplica un flujo alternativo: actualiza </w:t>
      </w:r>
      <w:r>
        <w:rPr>
          <w:rFonts w:ascii="Courier New" w:hAnsi="Courier New"/>
          <w:sz w:val="18"/>
        </w:rPr>
        <w:t>attempts</w:t>
      </w:r>
      <w:r>
        <w:rPr>
          <w:rFonts w:ascii="Arial" w:hAnsi="Arial"/>
          <w:sz w:val="22"/>
        </w:rPr>
        <w:t xml:space="preserve"> sin el campo </w:t>
      </w:r>
      <w:r>
        <w:rPr>
          <w:rFonts w:ascii="Courier New" w:hAnsi="Courier New"/>
          <w:sz w:val="18"/>
        </w:rPr>
        <w:t>psychometric_summary</w:t>
      </w:r>
      <w:r>
        <w:rPr>
          <w:rFonts w:ascii="Arial" w:hAnsi="Arial"/>
          <w:sz w:val="22"/>
        </w:rPr>
        <w:t xml:space="preserve"> y almacena el resumen en la tabla </w:t>
      </w:r>
      <w:r>
        <w:rPr>
          <w:rFonts w:ascii="Courier New" w:hAnsi="Courier New"/>
          <w:sz w:val="18"/>
        </w:rPr>
        <w:t>reviews.rubric</w:t>
      </w:r>
      <w:r>
        <w:rPr>
          <w:rFonts w:ascii="Arial" w:hAnsi="Arial"/>
          <w:sz w:val="22"/>
        </w:rPr>
        <w:t>:</w:t>
      </w:r>
    </w:p>
    <w:p>
      <w:pPr>
        <w:pStyle w:val="CodeBlock"/>
        <w:shd w:val="clear" w:color="auto" w:fill="F2F2F2"/>
      </w:pPr>
      <w:r>
        <w:t>// app/api/attempts/[attemptId]/submit/route.ts</w:t>
        <w:br/>
        <w:t>if (updateError &amp;&amp; isMissingColumnError(updateError.message)) {</w:t>
        <w:br/>
        <w:t xml:space="preserve">  await supabase.from("attempts").update(baseUpdate).eq("id", attemptId);</w:t>
        <w:br/>
        <w:t xml:space="preserve">  await supabase.from("reviews").insert({ attempt_id: attemptId, rubric: summaryPayload, comments: "Resumen psicométrico automático" });</w:t>
        <w:br/>
        <w:t>}</w:t>
      </w:r>
    </w:p>
    <w:p>
      <w:pPr>
        <w:jc w:val="both"/>
      </w:pPr>
      <w:r>
        <w:rPr>
          <w:rFonts w:ascii="Arial" w:hAnsi="Arial"/>
          <w:sz w:val="22"/>
        </w:rPr>
        <w:t xml:space="preserve">Este fallback es también el origen de la discrepancia D-02: el código de submit descubrió que </w:t>
      </w:r>
      <w:r>
        <w:rPr>
          <w:rFonts w:ascii="Courier New" w:hAnsi="Courier New"/>
          <w:sz w:val="18"/>
        </w:rPr>
        <w:t>reviews</w:t>
      </w:r>
      <w:r>
        <w:rPr>
          <w:rFonts w:ascii="Arial" w:hAnsi="Arial"/>
          <w:sz w:val="22"/>
        </w:rPr>
        <w:t xml:space="preserve"> podía funcionar como almacén alternativo, lo que llevó a formalizarla como almacén primario en las iteraciones posteriores.</w:t>
      </w:r>
    </w:p>
    <w:p>
      <w:pPr>
        <w:jc w:val="both"/>
      </w:pPr>
      <w:r>
        <w:rPr>
          <w:b/>
        </w:rPr>
        <w:t>Evidencia:</w:t>
      </w:r>
      <w:r>
        <w:rPr>
          <w:rFonts w:ascii="Arial" w:hAnsi="Arial"/>
          <w:sz w:val="22"/>
        </w:rPr>
        <w:t xml:space="preserve"> Commit </w:t>
      </w:r>
      <w:r>
        <w:rPr>
          <w:rFonts w:ascii="Courier New" w:hAnsi="Courier New"/>
          <w:sz w:val="18"/>
        </w:rPr>
        <w:t>d7c0824</w:t>
      </w:r>
      <w:r>
        <w:rPr>
          <w:rFonts w:ascii="Arial" w:hAnsi="Arial"/>
          <w:sz w:val="22"/>
        </w:rPr>
        <w:t xml:space="preserve"> (incluye la migración </w:t>
      </w:r>
      <w:r>
        <w:rPr>
          <w:rFonts w:ascii="Courier New" w:hAnsi="Courier New"/>
          <w:sz w:val="18"/>
        </w:rPr>
        <w:t>migration_attempts_psychometric_summary.sql</w:t>
      </w:r>
      <w:r>
        <w:rPr>
          <w:rFonts w:ascii="Arial" w:hAnsi="Arial"/>
          <w:sz w:val="22"/>
        </w:rPr>
        <w:t xml:space="preserve"> y el fallback en submit).</w:t>
      </w:r>
    </w:p>
    <w:p>
      <w:pPr>
        <w:jc w:val="both"/>
      </w:pPr>
      <w:r>
        <w:rPr>
          <w:b/>
        </w:rPr>
        <w:t>Importancia técnica:</w:t>
      </w:r>
      <w:r>
        <w:rPr>
          <w:rFonts w:ascii="Arial" w:hAnsi="Arial"/>
          <w:sz w:val="22"/>
        </w:rPr>
        <w:t xml:space="preserve"> Permitió que el sistema siguiera funcionando en producción durante el período entre el desarrollo de la funcionalidad y la aplicación de la migración.</w:t>
      </w:r>
    </w:p>
    <w:p>
      <w:pPr>
        <w:pStyle w:val="Heading4"/>
      </w:pPr>
      <w:r>
        <w:t>T-05 — Enumerado de decisiones sin tipo centralizado</w:t>
      </w:r>
    </w:p>
    <w:p>
      <w:pPr>
        <w:jc w:val="both"/>
      </w:pPr>
      <w:r>
        <w:rPr>
          <w:b/>
        </w:rPr>
        <w:t>Problema:</w:t>
      </w:r>
      <w:r>
        <w:rPr>
          <w:rFonts w:ascii="Arial" w:hAnsi="Arial"/>
          <w:sz w:val="22"/>
        </w:rPr>
        <w:t xml:space="preserve"> Los valores de decisión (</w:t>
      </w:r>
      <w:r>
        <w:rPr>
          <w:rFonts w:ascii="Courier New" w:hAnsi="Courier New"/>
          <w:sz w:val="18"/>
        </w:rPr>
        <w:t>"APPROVED"</w:t>
      </w:r>
      <w:r>
        <w:rPr>
          <w:rFonts w:ascii="Arial" w:hAnsi="Arial"/>
          <w:sz w:val="22"/>
        </w:rPr>
        <w:t xml:space="preserve">, </w:t>
      </w:r>
      <w:r>
        <w:rPr>
          <w:rFonts w:ascii="Courier New" w:hAnsi="Courier New"/>
          <w:sz w:val="18"/>
        </w:rPr>
        <w:t>"REJECTED"</w:t>
      </w:r>
      <w:r>
        <w:rPr>
          <w:rFonts w:ascii="Arial" w:hAnsi="Arial"/>
          <w:sz w:val="22"/>
        </w:rPr>
        <w:t>) se usaban como literales de cadena dispersos en múltiples archivos del área administrativa. Cualquier error tipográfico producía comportamientos silenciosos en lugar de errores de compilación.</w:t>
      </w:r>
    </w:p>
    <w:p>
      <w:pPr>
        <w:jc w:val="both"/>
      </w:pPr>
      <w:r>
        <w:rPr>
          <w:b/>
        </w:rPr>
        <w:t>Solución aplicada:</w:t>
      </w:r>
      <w:r>
        <w:rPr>
          <w:rFonts w:ascii="Arial" w:hAnsi="Arial"/>
          <w:sz w:val="22"/>
        </w:rPr>
        <w:t xml:space="preserve"> Se creó </w:t>
      </w:r>
      <w:r>
        <w:rPr>
          <w:rFonts w:ascii="Courier New" w:hAnsi="Courier New"/>
          <w:sz w:val="18"/>
        </w:rPr>
        <w:t>lib/reviewDecision.ts</w:t>
      </w:r>
      <w:r>
        <w:rPr>
          <w:rFonts w:ascii="Arial" w:hAnsi="Arial"/>
          <w:sz w:val="22"/>
        </w:rPr>
        <w:t xml:space="preserve"> con un tipo unión y una función de guardia de tipo:</w:t>
      </w:r>
    </w:p>
    <w:p>
      <w:pPr>
        <w:pStyle w:val="CodeBlock"/>
        <w:shd w:val="clear" w:color="auto" w:fill="F2F2F2"/>
      </w:pPr>
      <w:r>
        <w:t>// lib/reviewDecision.ts</w:t>
        <w:br/>
        <w:t>export type ReviewDecision = "APPROVED" | "REJECTED";</w:t>
        <w:br/>
        <w:t>export const isReviewDecision = (value: unknown): value is ReviewDecision =&gt;</w:t>
        <w:br/>
        <w:t xml:space="preserve">  value === "APPROVED" || value === "REJECTED";</w:t>
      </w:r>
    </w:p>
    <w:p>
      <w:pPr>
        <w:jc w:val="both"/>
      </w:pPr>
      <w:r>
        <w:rPr>
          <w:rFonts w:ascii="Arial" w:hAnsi="Arial"/>
          <w:sz w:val="22"/>
        </w:rPr>
        <w:t xml:space="preserve">Los endpoints que reciben una decisión como entrada usan </w:t>
      </w:r>
      <w:r>
        <w:rPr>
          <w:rFonts w:ascii="Courier New" w:hAnsi="Courier New"/>
          <w:sz w:val="18"/>
        </w:rPr>
        <w:t>isReviewDecision()</w:t>
      </w:r>
      <w:r>
        <w:rPr>
          <w:rFonts w:ascii="Arial" w:hAnsi="Arial"/>
          <w:sz w:val="22"/>
        </w:rPr>
        <w:t xml:space="preserve"> para validar y estrechar el tipo antes de persistir el valor.</w:t>
      </w:r>
    </w:p>
    <w:p>
      <w:pPr>
        <w:jc w:val="both"/>
      </w:pPr>
      <w:r>
        <w:rPr>
          <w:b/>
        </w:rPr>
        <w:t>Evidencia:</w:t>
      </w:r>
      <w:r>
        <w:rPr>
          <w:rFonts w:ascii="Arial" w:hAnsi="Arial"/>
          <w:sz w:val="22"/>
        </w:rPr>
        <w:t xml:space="preserve"> Commit </w:t>
      </w:r>
      <w:r>
        <w:rPr>
          <w:rFonts w:ascii="Courier New" w:hAnsi="Courier New"/>
          <w:sz w:val="18"/>
        </w:rPr>
        <w:t>0b84137</w:t>
      </w:r>
      <w:r>
        <w:rPr>
          <w:rFonts w:ascii="Arial" w:hAnsi="Arial"/>
          <w:sz w:val="22"/>
        </w:rPr>
        <w:t>.</w:t>
      </w:r>
    </w:p>
    <w:p>
      <w:pPr>
        <w:jc w:val="both"/>
      </w:pPr>
      <w:r>
        <w:rPr>
          <w:b/>
        </w:rPr>
        <w:t>Importancia técnica:</w:t>
      </w:r>
      <w:r>
        <w:rPr>
          <w:rFonts w:ascii="Arial" w:hAnsi="Arial"/>
          <w:sz w:val="22"/>
        </w:rPr>
        <w:t xml:space="preserve"> Eliminó una fuente de errores silenciosos en la lógica de revisión y mejoró la mantenibilidad del código al centralizar la definición del enumerado.</w:t>
      </w:r>
    </w:p>
    <w:p>
      <w:pPr>
        <w:pStyle w:val="Heading2"/>
      </w:pPr>
      <w:r>
        <w:t>5.13 Conclusiones del desarrollo</w:t>
      </w:r>
    </w:p>
    <w:p>
      <w:pPr>
        <w:jc w:val="center"/>
      </w:pPr>
      <w:r>
        <w:drawing>
          <wp:inline xmlns:a="http://schemas.openxmlformats.org/drawingml/2006/main" xmlns:pic="http://schemas.openxmlformats.org/drawingml/2006/picture">
            <wp:extent cx="5040000" cy="3150000"/>
            <wp:docPr id="46" name="Picture 46"/>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5.22. Discrepancia D-01: el guard verifica el campo completed, no el score numérico del resultado psicométrico. Fuente: captura de pantalla propia, 2026.</w:t>
      </w:r>
    </w:p>
    <w:p>
      <w:pPr>
        <w:pStyle w:val="Heading3"/>
      </w:pPr>
      <w:r>
        <w:t>5.13.1 Integración de módulos en una solución funcional</w:t>
      </w:r>
    </w:p>
    <w:p>
      <w:pPr>
        <w:jc w:val="center"/>
      </w:pPr>
      <w:r>
        <w:drawing>
          <wp:inline xmlns:a="http://schemas.openxmlformats.org/drawingml/2006/main" xmlns:pic="http://schemas.openxmlformats.org/drawingml/2006/picture">
            <wp:extent cx="5040000" cy="3150000"/>
            <wp:docPr id="47" name="Picture 47"/>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5.22. Discrepancia D-01: el guard verifica el campo completed, no el score numérico del resultado psicométrico. Fuente: captura de pantalla propia, 2026.</w:t>
      </w:r>
    </w:p>
    <w:p>
      <w:pPr>
        <w:jc w:val="both"/>
      </w:pPr>
      <w:r>
        <w:rPr>
          <w:rFonts w:ascii="Arial" w:hAnsi="Arial"/>
          <w:sz w:val="22"/>
        </w:rP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 y la separación de datos entre usuarios.</w:t>
      </w:r>
    </w:p>
    <w:p>
      <w:pPr>
        <w:jc w:val="both"/>
      </w:pPr>
      <w:r>
        <w:rPr>
          <w:rFonts w:ascii="Arial" w:hAnsi="Arial"/>
          <w:sz w:val="22"/>
        </w:rP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pPr>
        <w:pStyle w:val="Heading3"/>
      </w:pPr>
      <w:r>
        <w:t>5.13.2 Cobertura de requisitos funcionales</w:t>
      </w:r>
    </w:p>
    <w:p>
      <w:pPr>
        <w:jc w:val="center"/>
      </w:pPr>
      <w:r>
        <w:drawing>
          <wp:inline xmlns:a="http://schemas.openxmlformats.org/drawingml/2006/main" xmlns:pic="http://schemas.openxmlformats.org/drawingml/2006/picture">
            <wp:extent cx="5040000" cy="3150000"/>
            <wp:docPr id="48" name="Picture 48"/>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5.22. Discrepancia D-01: el guard verifica el campo completed, no el score numérico del resultado psicométrico. Fuente: captura de pantalla propia, 2026.</w:t>
      </w:r>
    </w:p>
    <w:p>
      <w:pPr>
        <w:jc w:val="both"/>
      </w:pPr>
      <w:r>
        <w:rPr>
          <w:rFonts w:ascii="Arial" w:hAnsi="Arial"/>
          <w:sz w:val="22"/>
        </w:rPr>
        <w:t>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cubre la totalidad del diseño del Trabajo A.</w:t>
      </w:r>
    </w:p>
    <w:p>
      <w:pPr>
        <w:jc w:val="both"/>
      </w:pPr>
      <w:r>
        <w:rPr>
          <w:rFonts w:ascii="Arial" w:hAnsi="Arial"/>
          <w:sz w:val="22"/>
        </w:rP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pPr>
        <w:jc w:val="both"/>
      </w:pPr>
      <w:r>
        <w:rPr>
          <w:rFonts w:ascii="Arial" w:hAnsi="Arial"/>
          <w:sz w:val="22"/>
        </w:rP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pPr>
        <w:pStyle w:val="Heading3"/>
      </w:pPr>
      <w:r>
        <w:t>5.13.3 Decisiones de implementación con impacto en el diseño</w:t>
      </w:r>
    </w:p>
    <w:p>
      <w:pPr>
        <w:jc w:val="center"/>
      </w:pPr>
      <w:r>
        <w:drawing>
          <wp:inline xmlns:a="http://schemas.openxmlformats.org/drawingml/2006/main" xmlns:pic="http://schemas.openxmlformats.org/drawingml/2006/picture">
            <wp:extent cx="5040000" cy="3150000"/>
            <wp:docPr id="49" name="Picture 49"/>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5.22. Discrepancia D-01: el guard verifica el campo completed, no el score numérico del resultado psicométrico. Fuente: captura de pantalla propia, 2026.</w:t>
      </w:r>
    </w:p>
    <w:p>
      <w:pPr>
        <w:jc w:val="both"/>
      </w:pPr>
      <w:r>
        <w:rPr>
          <w:rFonts w:ascii="Arial" w:hAnsi="Arial"/>
          <w:sz w:val="22"/>
        </w:rPr>
        <w:t>Tres decisiones de implementación modificaron el diseño original de forma justificada:</w:t>
      </w:r>
    </w:p>
    <w:p>
      <w:pPr>
        <w:pStyle w:val="ListNumber"/>
      </w:pPr>
      <w:r>
        <w:rPr>
          <w:b/>
        </w:rPr>
        <w:t>Hash de CURP en lugar de CURP en claro:</w:t>
      </w:r>
      <w:r>
        <w:rPr>
          <w:rFonts w:ascii="Arial" w:hAnsi="Arial"/>
          <w:sz w:val="22"/>
        </w:rPr>
        <w:t xml:space="preserve"> Mejora de seguridad que hace irreversible el almacenamiento del dato personal más sensible del sistema.</w:t>
      </w:r>
    </w:p>
    <w:p>
      <w:pPr>
        <w:pStyle w:val="ListNumber"/>
      </w:pPr>
      <w:r>
        <w:rPr>
          <w:b/>
        </w:rPr>
        <w:t>Tabla `reviews` como almacén primario de decisiones:</w:t>
      </w:r>
      <w:r>
        <w:rPr>
          <w:rFonts w:ascii="Arial" w:hAnsi="Arial"/>
          <w:sz w:val="22"/>
        </w:rPr>
        <w:t xml:space="preserve"> Evolución que permite múltiples observaciones sobre el mismo intento y mantiene trazabilidad del revisor.</w:t>
      </w:r>
    </w:p>
    <w:p>
      <w:pPr>
        <w:pStyle w:val="ListNumber"/>
      </w:pPr>
      <w:r>
        <w:rPr>
          <w:b/>
        </w:rPr>
        <w:t>Bloqueo por completitud en lugar de puntaje psicométrico:</w:t>
      </w:r>
      <w:r>
        <w:rPr>
          <w:rFonts w:ascii="Arial" w:hAnsi="Arial"/>
          <w:sz w:val="22"/>
        </w:rPr>
        <w:t xml:space="preserve"> Decisión funcional pendiente de formalización de umbral institucional.</w:t>
      </w:r>
    </w:p>
    <w:p>
      <w:pPr>
        <w:pStyle w:val="Heading3"/>
      </w:pPr>
      <w:r>
        <w:t>5.13.4 Transición al Capítulo VI</w:t>
      </w:r>
    </w:p>
    <w:p>
      <w:pPr>
        <w:jc w:val="center"/>
      </w:pPr>
      <w:r>
        <w:drawing>
          <wp:inline xmlns:a="http://schemas.openxmlformats.org/drawingml/2006/main" xmlns:pic="http://schemas.openxmlformats.org/drawingml/2006/picture">
            <wp:extent cx="5040000" cy="3150000"/>
            <wp:docPr id="50" name="Picture 50"/>
            <wp:cNvGraphicFramePr>
              <a:graphicFrameLocks noChangeAspect="1"/>
            </wp:cNvGraphicFramePr>
            <a:graphic>
              <a:graphicData uri="http://schemas.openxmlformats.org/drawingml/2006/picture">
                <pic:pic>
                  <pic:nvPicPr>
                    <pic:cNvPr id="0" name="EV-5A-12-detalle-vacante.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5.22. Discrepancia D-01: el guard verifica el campo completed, no el score numérico del resultado psicométrico. Fuente: captura de pantalla propia, 2026.</w:t>
      </w:r>
    </w:p>
    <w:p>
      <w:pPr>
        <w:jc w:val="both"/>
      </w:pPr>
      <w:r>
        <w:rPr>
          <w:rFonts w:ascii="Arial" w:hAnsi="Arial"/>
          <w:sz w:val="22"/>
        </w:rP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rPr>
          <w:rFonts w:ascii="Arial" w:hAnsi="Arial"/>
          <w:sz w:val="22"/>
        </w:rPr>
        <w:t xml:space="preserve"> (D-02), que el endpoint de estadísticas devuelve dos métricas (D-03), y que el rol reviewer no produce acceso diferenciado (D-04).</w:t>
      </w:r>
    </w:p>
    <w:p>
      <w:pPr>
        <w:jc w:val="both"/>
      </w:pPr>
      <w:r>
        <w:rPr>
          <w:rFonts w:ascii="Arial" w:hAnsi="Arial"/>
          <w:sz w:val="22"/>
        </w:rPr>
        <w:t xml:space="preserve">Las capturas de pantalla necesarias para ilustrar los flujos documentados en este capítulo se relacionan en </w:t>
      </w:r>
      <w:r>
        <w:rPr>
          <w:rFonts w:ascii="Courier New" w:hAnsi="Courier New"/>
          <w:sz w:val="18"/>
        </w:rPr>
        <w:t>docs/titulacion/evidencias/05a-capturas-pendientes.md</w:t>
      </w:r>
      <w:r>
        <w:rPr>
          <w:rFonts w:ascii="Arial" w:hAnsi="Arial"/>
          <w:sz w:val="22"/>
        </w:rPr>
        <w:t xml:space="preserve"> y </w:t>
      </w:r>
      <w:r>
        <w:rPr>
          <w:rFonts w:ascii="Courier New" w:hAnsi="Courier New"/>
          <w:sz w:val="18"/>
        </w:rPr>
        <w:t>docs/titulacion/evidencias/05b-capturas-pendientes.md</w:t>
      </w:r>
      <w:r>
        <w:rPr>
          <w:rFonts w:ascii="Arial" w:hAnsi="Arial"/>
          <w:sz w:val="22"/>
        </w:rPr>
        <w:t>. Las pruebas funcionales del Capítulo VI son el contexto apropiado para obtener y documentar esas evidencias visuales.</w:t>
      </w:r>
    </w:p>
    <w:p>
      <w:r>
        <w:br w:type="page"/>
      </w:r>
    </w:p>
    <w:p>
      <w:pPr>
        <w:pStyle w:val="Heading1"/>
      </w:pPr>
      <w:r>
        <w:t>Capítulo VI. Pruebas y resultados del sistema</w:t>
      </w:r>
    </w:p>
    <w:p>
      <w:pPr>
        <w:pStyle w:val="Heading2"/>
      </w:pPr>
      <w:r>
        <w:t>6.1 Introducción</w:t>
      </w:r>
    </w:p>
    <w:p>
      <w:pPr>
        <w:jc w:val="both"/>
      </w:pPr>
      <w:r>
        <w:rPr>
          <w:rFonts w:ascii="Arial" w:hAnsi="Arial"/>
          <w:sz w:val="22"/>
        </w:rP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pPr>
        <w:jc w:val="both"/>
      </w:pPr>
      <w:r>
        <w:rPr>
          <w:rFonts w:ascii="Arial" w:hAnsi="Arial"/>
          <w:sz w:val="22"/>
        </w:rPr>
        <w:t xml:space="preserve">Las pruebas que se describen en este capítulo son de carácter </w:t>
      </w:r>
      <w:r>
        <w:rPr>
          <w:b/>
        </w:rPr>
        <w:t>funcional end-to-end</w:t>
      </w:r>
      <w:r>
        <w:rPr>
          <w:rFonts w:ascii="Arial" w:hAnsi="Arial"/>
          <w:sz w:val="22"/>
        </w:rP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pPr>
        <w:jc w:val="both"/>
      </w:pPr>
      <w:r>
        <w:rPr>
          <w:rFonts w:ascii="Arial" w:hAnsi="Arial"/>
          <w:sz w:val="22"/>
        </w:rPr>
        <w:t>La estrategia de pruebas adoptada responde a las características del proyecto:</w:t>
      </w:r>
    </w:p>
    <w:p>
      <w:pPr>
        <w:pStyle w:val="ListBullet"/>
        <w:ind w:left="567"/>
      </w:pPr>
      <w:r>
        <w:rPr>
          <w:rFonts w:ascii="Arial" w:hAnsi="Arial"/>
          <w:sz w:val="22"/>
        </w:rPr>
        <w:t>El sistema es un MVP sin cobertura de pruebas automatizadas en su código fuente. No existen suites de prueba unitarias ni de integración preexistentes.</w:t>
      </w:r>
    </w:p>
    <w:p>
      <w:pPr>
        <w:pStyle w:val="ListBullet"/>
        <w:ind w:left="567"/>
      </w:pPr>
      <w:r>
        <w:rPr>
          <w:rFonts w:ascii="Arial" w:hAnsi="Arial"/>
          <w:sz w:val="22"/>
        </w:rPr>
        <w:t>Las pruebas se diseñan para ser reproducibles: cualquier persona con acceso al entorno local o de producción puede repetirlas siguiendo el procedimiento documentado en la sección 6.4.</w:t>
      </w:r>
    </w:p>
    <w:p>
      <w:pPr>
        <w:pStyle w:val="ListBullet"/>
        <w:ind w:left="567"/>
      </w:pPr>
      <w:r>
        <w:rPr>
          <w:rFonts w:ascii="Arial" w:hAnsi="Arial"/>
          <w:sz w:val="22"/>
        </w:rPr>
        <w:t>Los resultados se registran con el estado real observado. No se declara aprobado ningún caso que no haya sido ejecutado con evidencia verificable.</w:t>
      </w:r>
    </w:p>
    <w:p>
      <w:pPr>
        <w:pStyle w:val="ListBullet"/>
        <w:ind w:left="567"/>
      </w:pPr>
      <w:r>
        <w:rPr>
          <w:rFonts w:ascii="Arial" w:hAnsi="Arial"/>
          <w:sz w:val="22"/>
        </w:rPr>
        <w:t>Los resultados pendientes de ejecución se indican como BLOQUEADO o NO EJECUTADO, con la justificación correspondiente.</w:t>
      </w:r>
    </w:p>
    <w:p>
      <w:pPr>
        <w:jc w:val="both"/>
      </w:pPr>
      <w:r>
        <w:rPr>
          <w:rFonts w:ascii="Arial" w:hAnsi="Arial"/>
          <w:sz w:val="22"/>
        </w:rPr>
        <w:t>La base para el diseño de los casos de prueba es la matriz de trazabilidad elaborada durante el Capítulo V (</w:t>
      </w:r>
      <w:r>
        <w:rPr>
          <w:rFonts w:ascii="Courier New" w:hAnsi="Courier New"/>
          <w:sz w:val="18"/>
        </w:rPr>
        <w:t>docs/titulacion/05-matriz-integral-trazabilidad.md</w:t>
      </w:r>
      <w:r>
        <w:rPr>
          <w:rFonts w:ascii="Arial" w:hAnsi="Arial"/>
          <w:sz w:val="22"/>
        </w:rPr>
        <w:t>) y el plan preliminar desarrollado en el Corte 5C (</w:t>
      </w:r>
      <w:r>
        <w:rPr>
          <w:rFonts w:ascii="Courier New" w:hAnsi="Courier New"/>
          <w:sz w:val="18"/>
        </w:rPr>
        <w:t>docs/titulacion/06-plan-pruebas.md</w:t>
      </w:r>
      <w:r>
        <w:rPr>
          <w:rFonts w:ascii="Arial" w:hAnsi="Arial"/>
          <w:sz w:val="22"/>
        </w:rPr>
        <w:t>).</w:t>
      </w:r>
    </w:p>
    <w:p>
      <w:pPr>
        <w:pStyle w:val="Heading2"/>
      </w:pPr>
      <w:r>
        <w:t>6.2 Metodología y estrategia de pruebas</w:t>
      </w:r>
    </w:p>
    <w:p>
      <w:pPr>
        <w:pStyle w:val="Heading3"/>
      </w:pPr>
      <w:r>
        <w:t>6.2.1 Tipo de pruebas</w:t>
      </w:r>
    </w:p>
    <w:p>
      <w:pPr>
        <w:jc w:val="both"/>
      </w:pPr>
      <w:r>
        <w:rPr>
          <w:rFonts w:ascii="Arial" w:hAnsi="Arial"/>
          <w:sz w:val="22"/>
        </w:rPr>
        <w:t>Las pruebas realizadas en este capítulo pertenecen a las siguientes categorías: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Tipo</w:t>
            </w:r>
          </w:p>
        </w:tc>
        <w:tc>
          <w:tcPr>
            <w:tcW w:type="dxa" w:w="3041"/>
          </w:tcPr>
          <w:p>
            <w:pPr>
              <w:spacing w:before="40" w:after="40"/>
            </w:pPr>
            <w:r>
              <w:rPr>
                <w:b/>
                <w:sz w:val="20"/>
              </w:rPr>
              <w:t>Descripción</w:t>
            </w:r>
          </w:p>
        </w:tc>
        <w:tc>
          <w:tcPr>
            <w:tcW w:type="dxa" w:w="3041"/>
          </w:tcPr>
          <w:p>
            <w:pPr>
              <w:spacing w:before="40" w:after="40"/>
            </w:pPr>
            <w:r>
              <w:rPr>
                <w:b/>
                <w:sz w:val="20"/>
              </w:rPr>
              <w:t>Herramienta</w:t>
            </w:r>
          </w:p>
        </w:tc>
      </w:tr>
      <w:tr>
        <w:tc>
          <w:tcPr>
            <w:tcW w:type="dxa" w:w="3041"/>
          </w:tcPr>
          <w:p>
            <w:pPr>
              <w:spacing w:before="40" w:after="40"/>
            </w:pPr>
            <w:r>
              <w:rPr>
                <w:rFonts w:ascii="Arial" w:hAnsi="Arial"/>
                <w:sz w:val="20"/>
              </w:rPr>
              <w:t>Inspección estática</w:t>
            </w:r>
          </w:p>
        </w:tc>
        <w:tc>
          <w:tcPr>
            <w:tcW w:type="dxa" w:w="3041"/>
          </w:tcPr>
          <w:p>
            <w:pPr>
              <w:spacing w:before="40" w:after="40"/>
            </w:pPr>
            <w:r>
              <w:rPr>
                <w:rFonts w:ascii="Arial" w:hAnsi="Arial"/>
                <w:sz w:val="20"/>
              </w:rPr>
              <w:t>Verificación de compilación, tipos y linting sin ejecución</w:t>
            </w:r>
          </w:p>
        </w:tc>
        <w:tc>
          <w:tcPr>
            <w:tcW w:type="dxa" w:w="3041"/>
          </w:tcPr>
          <w:p>
            <w:pPr>
              <w:spacing w:before="40" w:after="40"/>
            </w:pPr>
            <w:r>
              <w:rPr>
                <w:rFonts w:ascii="Courier New" w:hAnsi="Courier New"/>
                <w:sz w:val="20"/>
              </w:rPr>
              <w:t>tsc --noEmit</w:t>
            </w:r>
            <w:r>
              <w:rPr>
                <w:rFonts w:ascii="Arial" w:hAnsi="Arial"/>
                <w:sz w:val="20"/>
              </w:rPr>
              <w:t xml:space="preserve">, </w:t>
            </w:r>
            <w:r>
              <w:rPr>
                <w:rFonts w:ascii="Courier New" w:hAnsi="Courier New"/>
                <w:sz w:val="20"/>
              </w:rPr>
              <w:t>eslint</w:t>
            </w:r>
          </w:p>
        </w:tc>
      </w:tr>
      <w:tr>
        <w:tc>
          <w:tcPr>
            <w:tcW w:type="dxa" w:w="3041"/>
          </w:tcPr>
          <w:p>
            <w:pPr>
              <w:spacing w:before="40" w:after="40"/>
            </w:pPr>
            <w:r>
              <w:rPr>
                <w:rFonts w:ascii="Arial" w:hAnsi="Arial"/>
                <w:sz w:val="20"/>
              </w:rPr>
              <w:t>Prueba funcional manual</w:t>
            </w:r>
          </w:p>
        </w:tc>
        <w:tc>
          <w:tcPr>
            <w:tcW w:type="dxa" w:w="3041"/>
          </w:tcPr>
          <w:p>
            <w:pPr>
              <w:spacing w:before="40" w:after="40"/>
            </w:pPr>
            <w:r>
              <w:rPr>
                <w:rFonts w:ascii="Arial" w:hAnsi="Arial"/>
                <w:sz w:val="20"/>
              </w:rPr>
              <w:t>Verificación del comportamiento del sistema desde el navegador o mediante herramientas de petición HTTP</w:t>
            </w:r>
          </w:p>
        </w:tc>
        <w:tc>
          <w:tcPr>
            <w:tcW w:type="dxa" w:w="3041"/>
          </w:tcPr>
          <w:p>
            <w:pPr>
              <w:spacing w:before="40" w:after="40"/>
            </w:pPr>
            <w:r>
              <w:rPr>
                <w:rFonts w:ascii="Arial" w:hAnsi="Arial"/>
                <w:sz w:val="20"/>
              </w:rPr>
              <w:t>Navegador, herramientas de desarrollo (DevTools)</w:t>
            </w:r>
          </w:p>
        </w:tc>
      </w:tr>
      <w:tr>
        <w:tc>
          <w:tcPr>
            <w:tcW w:type="dxa" w:w="3041"/>
          </w:tcPr>
          <w:p>
            <w:pPr>
              <w:spacing w:before="40" w:after="40"/>
            </w:pPr>
            <w:r>
              <w:rPr>
                <w:rFonts w:ascii="Arial" w:hAnsi="Arial"/>
                <w:sz w:val="20"/>
              </w:rPr>
              <w:t>Prueba de seguridad manual</w:t>
            </w:r>
          </w:p>
        </w:tc>
        <w:tc>
          <w:tcPr>
            <w:tcW w:type="dxa" w:w="3041"/>
          </w:tcPr>
          <w:p>
            <w:pPr>
              <w:spacing w:before="40" w:after="40"/>
            </w:pPr>
            <w:r>
              <w:rPr>
                <w:rFonts w:ascii="Arial" w:hAnsi="Arial"/>
                <w:sz w:val="20"/>
              </w:rPr>
              <w:t>Verificación de control de acceso y autorización desde el navegador</w:t>
            </w:r>
          </w:p>
        </w:tc>
        <w:tc>
          <w:tcPr>
            <w:tcW w:type="dxa" w:w="3041"/>
          </w:tcPr>
          <w:p>
            <w:pPr>
              <w:spacing w:before="40" w:after="40"/>
            </w:pPr>
            <w:r>
              <w:rPr>
                <w:rFonts w:ascii="Arial" w:hAnsi="Arial"/>
                <w:sz w:val="20"/>
              </w:rPr>
              <w:t>Navegador, DevTools, herramientas HTTP</w:t>
            </w:r>
          </w:p>
        </w:tc>
      </w:tr>
      <w:tr>
        <w:tc>
          <w:tcPr>
            <w:tcW w:type="dxa" w:w="3041"/>
          </w:tcPr>
          <w:p>
            <w:pPr>
              <w:spacing w:before="40" w:after="40"/>
            </w:pPr>
            <w:r>
              <w:rPr>
                <w:rFonts w:ascii="Arial" w:hAnsi="Arial"/>
                <w:sz w:val="20"/>
              </w:rPr>
              <w:t>Inspección de base de datos</w:t>
            </w:r>
          </w:p>
        </w:tc>
        <w:tc>
          <w:tcPr>
            <w:tcW w:type="dxa" w:w="3041"/>
          </w:tcPr>
          <w:p>
            <w:pPr>
              <w:spacing w:before="40" w:after="40"/>
            </w:pPr>
            <w:r>
              <w:rPr>
                <w:rFonts w:ascii="Arial" w:hAnsi="Arial"/>
                <w:sz w:val="20"/>
              </w:rPr>
              <w:t>Verificación de persistencia de datos a través del Dashboard de Supabase</w:t>
            </w:r>
          </w:p>
        </w:tc>
        <w:tc>
          <w:tcPr>
            <w:tcW w:type="dxa" w:w="3041"/>
          </w:tcPr>
          <w:p>
            <w:pPr>
              <w:spacing w:before="40" w:after="40"/>
            </w:pPr>
            <w:r>
              <w:rPr>
                <w:rFonts w:ascii="Arial" w:hAnsi="Arial"/>
                <w:sz w:val="20"/>
              </w:rPr>
              <w:t>Supabase Dashboard</w:t>
            </w:r>
          </w:p>
        </w:tc>
      </w:tr>
    </w:tbl>
    <w:p/>
    <w:p>
      <w:pPr>
        <w:jc w:val="both"/>
      </w:pPr>
      <w:r>
        <w:rPr>
          <w:rFonts w:ascii="Arial" w:hAnsi="Arial"/>
          <w:sz w:val="22"/>
        </w:rPr>
        <w:t>No se utilizan herramientas de automatización de pruebas en esta fase. La automatización es trabajo futuro documentado en las conclusiones del Capítulo VII.</w:t>
      </w:r>
    </w:p>
    <w:p>
      <w:pPr>
        <w:pStyle w:val="Heading3"/>
      </w:pPr>
      <w:r>
        <w:t>6.2.2 Criterios generales de aceptación</w:t>
      </w:r>
    </w:p>
    <w:p>
      <w:pPr>
        <w:jc w:val="both"/>
      </w:pPr>
      <w:r>
        <w:rPr>
          <w:rFonts w:ascii="Arial" w:hAnsi="Arial"/>
          <w:sz w:val="22"/>
        </w:rPr>
        <w:t xml:space="preserve">Un caso de prueba se considera </w:t>
      </w:r>
      <w:r>
        <w:rPr>
          <w:b/>
        </w:rPr>
        <w:t>PASA</w:t>
      </w:r>
      <w:r>
        <w:rPr>
          <w:rFonts w:ascii="Arial" w:hAnsi="Arial"/>
          <w:sz w:val="22"/>
        </w:rPr>
        <w:t xml:space="preserve"> cuando:</w:t>
      </w:r>
    </w:p>
    <w:p>
      <w:pPr>
        <w:pStyle w:val="ListNumber"/>
      </w:pPr>
      <w:r>
        <w:rPr>
          <w:rFonts w:ascii="Arial" w:hAnsi="Arial"/>
          <w:sz w:val="22"/>
        </w:rPr>
        <w:t>Todos los pasos del procedimiento se ejecutaron en el entorno documentado.</w:t>
      </w:r>
    </w:p>
    <w:p>
      <w:pPr>
        <w:pStyle w:val="ListNumber"/>
      </w:pPr>
      <w:r>
        <w:rPr>
          <w:rFonts w:ascii="Arial" w:hAnsi="Arial"/>
          <w:sz w:val="22"/>
        </w:rPr>
        <w:t>El resultado observado coincide con el resultado esperado.</w:t>
      </w:r>
    </w:p>
    <w:p>
      <w:pPr>
        <w:pStyle w:val="ListNumber"/>
      </w:pPr>
      <w:r>
        <w:rPr>
          <w:rFonts w:ascii="Arial" w:hAnsi="Arial"/>
          <w:sz w:val="22"/>
        </w:rPr>
        <w:t>Se obtuvo la evidencia requerida (captura de pantalla o registro en base de datos).</w:t>
      </w:r>
    </w:p>
    <w:p>
      <w:pPr>
        <w:jc w:val="both"/>
      </w:pPr>
      <w:r>
        <w:rPr>
          <w:rFonts w:ascii="Arial" w:hAnsi="Arial"/>
          <w:sz w:val="22"/>
        </w:rPr>
        <w:t xml:space="preserve">Un caso de prueba se considera </w:t>
      </w:r>
      <w:r>
        <w:rPr>
          <w:b/>
        </w:rPr>
        <w:t>FALLA</w:t>
      </w:r>
      <w:r>
        <w:rPr>
          <w:rFonts w:ascii="Arial" w:hAnsi="Arial"/>
          <w:sz w:val="22"/>
        </w:rPr>
        <w:t xml:space="preserve"> cuando el resultado observado difiere del esperado, independientemente de si la diferencia fue anticipada como discrepancia o no.</w:t>
      </w:r>
    </w:p>
    <w:p>
      <w:pPr>
        <w:jc w:val="both"/>
      </w:pPr>
      <w:r>
        <w:rPr>
          <w:rFonts w:ascii="Arial" w:hAnsi="Arial"/>
          <w:sz w:val="22"/>
        </w:rPr>
        <w:t xml:space="preserve">Un caso de prueba se considera </w:t>
      </w:r>
      <w:r>
        <w:rPr>
          <w:b/>
        </w:rPr>
        <w:t>BLOQUEADO</w:t>
      </w:r>
      <w:r>
        <w:rPr>
          <w:rFonts w:ascii="Arial" w:hAnsi="Arial"/>
          <w:sz w:val="22"/>
        </w:rPr>
        <w:t xml:space="preserve"> cuando no puede ejecutarse por razones externas al sistema mismo (entorno no disponible, datos de prueba faltantes, credenciales no configuradas).</w:t>
      </w:r>
    </w:p>
    <w:p>
      <w:pPr>
        <w:jc w:val="both"/>
      </w:pPr>
      <w:r>
        <w:rPr>
          <w:rFonts w:ascii="Arial" w:hAnsi="Arial"/>
          <w:sz w:val="22"/>
        </w:rPr>
        <w:t xml:space="preserve">Un caso de prueba se considera </w:t>
      </w:r>
      <w:r>
        <w:rPr>
          <w:b/>
        </w:rPr>
        <w:t>NO EJECUTADO</w:t>
      </w:r>
      <w:r>
        <w:rPr>
          <w:rFonts w:ascii="Arial" w:hAnsi="Arial"/>
          <w:sz w:val="22"/>
        </w:rPr>
        <w:t xml:space="preserve"> cuando su ejecución no fue posible en el corte actual por limitaciones de tiempo o de alcance del corte, sin que exista un bloqueo técnico.</w:t>
      </w:r>
    </w:p>
    <w:p>
      <w:pPr>
        <w:pStyle w:val="Heading3"/>
      </w:pPr>
      <w:r>
        <w:t>6.2.3 Verificaciones estáticas completadas en el Corte 6A</w:t>
      </w:r>
    </w:p>
    <w:p>
      <w:pPr>
        <w:jc w:val="both"/>
      </w:pPr>
      <w:r>
        <w:rPr>
          <w:rFonts w:ascii="Arial" w:hAnsi="Arial"/>
          <w:sz w:val="22"/>
        </w:rPr>
        <w:t>Antes de ejecutar las pruebas funcionales, se realizaron las siguientes verificaciones sobre el código fuente: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Verificación</w:t>
            </w:r>
          </w:p>
        </w:tc>
        <w:tc>
          <w:tcPr>
            <w:tcW w:type="dxa" w:w="2280"/>
          </w:tcPr>
          <w:p>
            <w:pPr>
              <w:spacing w:before="40" w:after="40"/>
            </w:pPr>
            <w:r>
              <w:rPr>
                <w:b/>
                <w:sz w:val="20"/>
              </w:rPr>
              <w:t>Comando</w:t>
            </w:r>
          </w:p>
        </w:tc>
        <w:tc>
          <w:tcPr>
            <w:tcW w:type="dxa" w:w="2280"/>
          </w:tcPr>
          <w:p>
            <w:pPr>
              <w:spacing w:before="40" w:after="40"/>
            </w:pPr>
            <w:r>
              <w:rPr>
                <w:b/>
                <w:sz w:val="20"/>
              </w:rPr>
              <w:t>Resultado</w:t>
            </w:r>
          </w:p>
        </w:tc>
        <w:tc>
          <w:tcPr>
            <w:tcW w:type="dxa" w:w="2280"/>
          </w:tcPr>
          <w:p>
            <w:pPr>
              <w:spacing w:before="40" w:after="40"/>
            </w:pPr>
            <w:r>
              <w:rPr>
                <w:b/>
                <w:sz w:val="20"/>
              </w:rPr>
              <w:t>Fecha</w:t>
            </w:r>
          </w:p>
        </w:tc>
      </w:tr>
      <w:tr>
        <w:tc>
          <w:tcPr>
            <w:tcW w:type="dxa" w:w="2280"/>
          </w:tcPr>
          <w:p>
            <w:pPr>
              <w:spacing w:before="40" w:after="40"/>
            </w:pPr>
            <w:r>
              <w:rPr>
                <w:rFonts w:ascii="Arial" w:hAnsi="Arial"/>
                <w:sz w:val="20"/>
              </w:rPr>
              <w:t>Verificación de tipos TypeScript</w:t>
            </w:r>
          </w:p>
        </w:tc>
        <w:tc>
          <w:tcPr>
            <w:tcW w:type="dxa" w:w="2280"/>
          </w:tcPr>
          <w:p>
            <w:pPr>
              <w:spacing w:before="40" w:after="40"/>
            </w:pPr>
            <w:r>
              <w:rPr>
                <w:rFonts w:ascii="Courier New" w:hAnsi="Courier New"/>
                <w:sz w:val="20"/>
              </w:rPr>
              <w:t>npx tsc --noEmit</w:t>
            </w:r>
          </w:p>
        </w:tc>
        <w:tc>
          <w:tcPr>
            <w:tcW w:type="dxa" w:w="2280"/>
          </w:tcPr>
          <w:p>
            <w:pPr>
              <w:spacing w:before="40" w:after="40"/>
            </w:pPr>
            <w:r>
              <w:rPr>
                <w:b/>
                <w:sz w:val="20"/>
              </w:rPr>
              <w:t>PASA</w:t>
            </w:r>
            <w:r>
              <w:rPr>
                <w:rFonts w:ascii="Arial" w:hAnsi="Arial"/>
                <w:sz w:val="20"/>
              </w:rPr>
              <w:t xml:space="preserve"> — Sin errores de tipo</w:t>
            </w:r>
          </w:p>
        </w:tc>
        <w:tc>
          <w:tcPr>
            <w:tcW w:type="dxa" w:w="2280"/>
          </w:tcPr>
          <w:p>
            <w:pPr>
              <w:spacing w:before="40" w:after="40"/>
            </w:pPr>
            <w:r>
              <w:rPr>
                <w:rFonts w:ascii="Arial" w:hAnsi="Arial"/>
                <w:sz w:val="20"/>
              </w:rPr>
              <w:t>2026-10-22</w:t>
            </w:r>
          </w:p>
        </w:tc>
      </w:tr>
      <w:tr>
        <w:tc>
          <w:tcPr>
            <w:tcW w:type="dxa" w:w="2280"/>
          </w:tcPr>
          <w:p>
            <w:pPr>
              <w:spacing w:before="40" w:after="40"/>
            </w:pPr>
            <w:r>
              <w:rPr>
                <w:rFonts w:ascii="Arial" w:hAnsi="Arial"/>
                <w:sz w:val="20"/>
              </w:rPr>
              <w:t>Análisis estático ESLint</w:t>
            </w:r>
          </w:p>
        </w:tc>
        <w:tc>
          <w:tcPr>
            <w:tcW w:type="dxa" w:w="2280"/>
          </w:tcPr>
          <w:p>
            <w:pPr>
              <w:spacing w:before="40" w:after="40"/>
            </w:pPr>
            <w:r>
              <w:rPr>
                <w:rFonts w:ascii="Courier New" w:hAnsi="Courier New"/>
                <w:sz w:val="20"/>
              </w:rPr>
              <w:t>npx eslint . --max-warnings=0</w:t>
            </w:r>
          </w:p>
        </w:tc>
        <w:tc>
          <w:tcPr>
            <w:tcW w:type="dxa" w:w="2280"/>
          </w:tcPr>
          <w:p>
            <w:pPr>
              <w:spacing w:before="40" w:after="40"/>
            </w:pPr>
            <w:r>
              <w:rPr>
                <w:b/>
                <w:sz w:val="20"/>
              </w:rPr>
              <w:t>ADVERTENCIA</w:t>
            </w:r>
            <w:r>
              <w:rPr>
                <w:rFonts w:ascii="Arial" w:hAnsi="Arial"/>
                <w:sz w:val="20"/>
              </w:rPr>
              <w:t xml:space="preserve"> — 1 aviso: </w:t>
            </w:r>
            <w:r>
              <w:rPr>
                <w:rFonts w:ascii="Courier New" w:hAnsi="Courier New"/>
                <w:sz w:val="20"/>
              </w:rPr>
              <w:t>LayoutDashboard</w:t>
            </w:r>
            <w:r>
              <w:rPr>
                <w:rFonts w:ascii="Arial" w:hAnsi="Arial"/>
                <w:sz w:val="20"/>
              </w:rPr>
              <w:t xml:space="preserve"> importado pero no utilizado en </w:t>
            </w:r>
            <w:r>
              <w:rPr>
                <w:rFonts w:ascii="Courier New" w:hAnsi="Courier New"/>
                <w:sz w:val="20"/>
              </w:rPr>
              <w:t>app/admin/page.tsx</w:t>
            </w:r>
          </w:p>
        </w:tc>
        <w:tc>
          <w:tcPr>
            <w:tcW w:type="dxa" w:w="2280"/>
          </w:tcPr>
          <w:p>
            <w:pPr>
              <w:spacing w:before="40" w:after="40"/>
            </w:pPr>
            <w:r>
              <w:rPr>
                <w:rFonts w:ascii="Arial" w:hAnsi="Arial"/>
                <w:sz w:val="20"/>
              </w:rPr>
              <w:t>2026-10-22</w:t>
            </w:r>
          </w:p>
        </w:tc>
      </w:tr>
    </w:tbl>
    <w:p/>
    <w:p>
      <w:pPr>
        <w:jc w:val="both"/>
      </w:pPr>
      <w:r>
        <w:rPr>
          <w:b/>
        </w:rPr>
        <w:t>Interpretación:</w:t>
      </w:r>
      <w:r>
        <w:rPr>
          <w:rFonts w:ascii="Arial" w:hAnsi="Arial"/>
          <w:sz w:val="22"/>
        </w:rP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pPr>
        <w:pStyle w:val="Heading3"/>
      </w:pPr>
      <w:r>
        <w:t>6.2.4 Limitaciones del entorno de prueba en el Corte 6A</w:t>
      </w:r>
    </w:p>
    <w:p>
      <w:pPr>
        <w:jc w:val="both"/>
      </w:pPr>
      <w:r>
        <w:rPr>
          <w:rFonts w:ascii="Arial" w:hAnsi="Arial"/>
          <w:sz w:val="22"/>
        </w:rPr>
        <w:t>Las pruebas funcionales (CP-01 a CP-22) requieren las siguientes condiciones que no están completamente satisfechas en el entorno de ejecución del Corte 6A:</w:t>
      </w:r>
    </w:p>
    <w:p>
      <w:pPr>
        <w:pStyle w:val="ListNumber"/>
      </w:pPr>
      <w:r>
        <w:rPr>
          <w:b/>
        </w:rPr>
        <w:t>Servidor local activo:</w:t>
      </w:r>
      <w:r>
        <w:rPr>
          <w:rFonts w:ascii="Arial" w:hAnsi="Arial"/>
          <w:sz w:val="22"/>
        </w:rPr>
        <w:t xml:space="preserve"> El servidor de desarrollo de Next.js debe estar corriendo (</w:t>
      </w:r>
      <w:r>
        <w:rPr>
          <w:rFonts w:ascii="Courier New" w:hAnsi="Courier New"/>
          <w:sz w:val="18"/>
        </w:rPr>
        <w:t>npm run dev</w:t>
      </w:r>
      <w:r>
        <w:rPr>
          <w:rFonts w:ascii="Arial" w:hAnsi="Arial"/>
          <w:sz w:val="22"/>
        </w:rPr>
        <w:t xml:space="preserve"> en </w:t>
      </w:r>
      <w:r>
        <w:rPr>
          <w:rFonts w:ascii="Courier New" w:hAnsi="Courier New"/>
          <w:sz w:val="18"/>
        </w:rPr>
        <w:t>my-app/</w:t>
      </w:r>
      <w:r>
        <w:rPr>
          <w:rFonts w:ascii="Arial" w:hAnsi="Arial"/>
          <w:sz w:val="22"/>
        </w:rPr>
        <w:t xml:space="preserve">) y la aplicación debe ser accesible en </w:t>
      </w:r>
      <w:r>
        <w:rPr>
          <w:rFonts w:ascii="Courier New" w:hAnsi="Courier New"/>
          <w:sz w:val="18"/>
        </w:rPr>
        <w:t>http://localhost:3000</w:t>
      </w:r>
      <w:r>
        <w:rPr>
          <w:rFonts w:ascii="Arial" w:hAnsi="Arial"/>
          <w:sz w:val="22"/>
        </w:rPr>
        <w:t>.</w:t>
      </w:r>
    </w:p>
    <w:p>
      <w:pPr>
        <w:pStyle w:val="ListNumber"/>
      </w:pPr>
      <w:r>
        <w:rPr>
          <w:b/>
        </w:rPr>
        <w:t>Conexión a Supabase:</w:t>
      </w:r>
      <w:r>
        <w:rPr>
          <w:rFonts w:ascii="Arial" w:hAnsi="Arial"/>
          <w:sz w:val="22"/>
        </w:rPr>
        <w:t xml:space="preserve"> Las variables de entorno del archivo </w:t>
      </w:r>
      <w:r>
        <w:rPr>
          <w:rFonts w:ascii="Courier New" w:hAnsi="Courier New"/>
          <w:sz w:val="18"/>
        </w:rPr>
        <w:t>.env.local</w:t>
      </w:r>
      <w:r>
        <w:rPr>
          <w:rFonts w:ascii="Arial" w:hAnsi="Arial"/>
          <w:sz w:val="22"/>
        </w:rPr>
        <w:t xml:space="preserve"> deben estar configuradas con credenciales válidas de un proyecto Supabase activo.</w:t>
      </w:r>
    </w:p>
    <w:p>
      <w:pPr>
        <w:pStyle w:val="ListNumber"/>
      </w:pPr>
      <w:r>
        <w:rPr>
          <w:b/>
        </w:rPr>
        <w:t>Datos de prueba:</w:t>
      </w:r>
      <w:r>
        <w:rPr>
          <w:rFonts w:ascii="Arial" w:hAnsi="Arial"/>
          <w:sz w:val="22"/>
        </w:rPr>
        <w:t xml:space="preserve"> Deben existir al menos: un módulo, una vacante con estado </w:t>
      </w:r>
      <w:r>
        <w:rPr>
          <w:rFonts w:ascii="Courier New" w:hAnsi="Courier New"/>
          <w:sz w:val="18"/>
        </w:rPr>
        <w:t>open</w:t>
      </w:r>
      <w:r>
        <w:rPr>
          <w:rFonts w:ascii="Arial" w:hAnsi="Arial"/>
          <w:sz w:val="22"/>
        </w:rPr>
        <w:t xml:space="preserve">, una vacante con estado </w:t>
      </w:r>
      <w:r>
        <w:rPr>
          <w:rFonts w:ascii="Courier New" w:hAnsi="Courier New"/>
          <w:sz w:val="18"/>
        </w:rPr>
        <w:t>draft</w:t>
      </w:r>
      <w:r>
        <w:rPr>
          <w:rFonts w:ascii="Arial" w:hAnsi="Arial"/>
          <w:sz w:val="22"/>
        </w:rPr>
        <w:t xml:space="preserve">, y el cuestionario psicométrico con sus 20 reactivos (UUID </w:t>
      </w:r>
      <w:r>
        <w:rPr>
          <w:rFonts w:ascii="Courier New" w:hAnsi="Courier New"/>
          <w:sz w:val="18"/>
        </w:rPr>
        <w:t>f2000000-0000-0000-0000-000000000001</w:t>
      </w:r>
      <w:r>
        <w:rPr>
          <w:rFonts w:ascii="Arial" w:hAnsi="Arial"/>
          <w:sz w:val="22"/>
        </w:rPr>
        <w:t>).</w:t>
      </w:r>
    </w:p>
    <w:p>
      <w:pPr>
        <w:pStyle w:val="ListNumber"/>
      </w:pPr>
      <w:r>
        <w:rPr>
          <w:b/>
        </w:rPr>
        <w:t>Cuentas de prueba:</w:t>
      </w:r>
      <w:r>
        <w:rPr>
          <w:rFonts w:ascii="Arial" w:hAnsi="Arial"/>
          <w:sz w:val="22"/>
        </w:rPr>
        <w:t xml:space="preserve"> Una cuenta de candidato sin psicométrico completado, una con psicométrico completado, y una cuenta de administrador (</w:t>
      </w:r>
      <w:r>
        <w:rPr>
          <w:rFonts w:ascii="Courier New" w:hAnsi="Courier New"/>
          <w:sz w:val="18"/>
        </w:rPr>
        <w:t>user_roles.role = 'admin'</w:t>
      </w:r>
      <w:r>
        <w:rPr>
          <w:rFonts w:ascii="Arial" w:hAnsi="Arial"/>
          <w:sz w:val="22"/>
        </w:rPr>
        <w:t>).</w:t>
      </w:r>
    </w:p>
    <w:p>
      <w:pPr>
        <w:jc w:val="both"/>
      </w:pPr>
      <w:r>
        <w:rPr>
          <w:rFonts w:ascii="Arial" w:hAnsi="Arial"/>
          <w:sz w:val="22"/>
        </w:rPr>
        <w:t xml:space="preserve">Dado que el entorno de ejecución no puede iniciarse automáticamente durante la elaboración de este documento, los 22 casos funcionales se clasifican en el Corte 6A como </w:t>
      </w:r>
      <w:r>
        <w:rPr>
          <w:b/>
        </w:rPr>
        <w:t>BLOQUEADO</w:t>
      </w:r>
      <w:r>
        <w:rPr>
          <w:rFonts w:ascii="Arial" w:hAnsi="Arial"/>
          <w:sz w:val="22"/>
        </w:rPr>
        <w:t>. Su ejecución real se realizará en el Corte 6B con el sistema activo.</w:t>
      </w:r>
    </w:p>
    <w:p>
      <w:pPr>
        <w:pStyle w:val="Heading2"/>
      </w:pPr>
      <w:r>
        <w:t>6.3 Descripción del entorno de pruebas</w:t>
      </w:r>
    </w:p>
    <w:p>
      <w:pPr>
        <w:pStyle w:val="Heading3"/>
      </w:pPr>
      <w:r>
        <w:t>6.3.1 Entorno local</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Componente</w:t>
            </w:r>
          </w:p>
        </w:tc>
        <w:tc>
          <w:tcPr>
            <w:tcW w:type="dxa" w:w="4561"/>
          </w:tcPr>
          <w:p>
            <w:pPr>
              <w:spacing w:before="40" w:after="40"/>
            </w:pPr>
            <w:r>
              <w:rPr>
                <w:b/>
                <w:sz w:val="20"/>
              </w:rPr>
              <w:t>Versión / Detalle</w:t>
            </w:r>
          </w:p>
        </w:tc>
      </w:tr>
      <w:tr>
        <w:tc>
          <w:tcPr>
            <w:tcW w:type="dxa" w:w="4561"/>
          </w:tcPr>
          <w:p>
            <w:pPr>
              <w:spacing w:before="40" w:after="40"/>
            </w:pPr>
            <w:r>
              <w:rPr>
                <w:rFonts w:ascii="Arial" w:hAnsi="Arial"/>
                <w:sz w:val="20"/>
              </w:rPr>
              <w:t>Sistema operativo</w:t>
            </w:r>
          </w:p>
        </w:tc>
        <w:tc>
          <w:tcPr>
            <w:tcW w:type="dxa" w:w="4561"/>
          </w:tcPr>
          <w:p>
            <w:pPr>
              <w:spacing w:before="40" w:after="40"/>
            </w:pPr>
            <w:r>
              <w:rPr>
                <w:rFonts w:ascii="Arial" w:hAnsi="Arial"/>
                <w:sz w:val="20"/>
              </w:rPr>
              <w:t>Windows 11 Home Single Language 10.0.26200</w:t>
            </w:r>
          </w:p>
        </w:tc>
      </w:tr>
      <w:tr>
        <w:tc>
          <w:tcPr>
            <w:tcW w:type="dxa" w:w="4561"/>
          </w:tcPr>
          <w:p>
            <w:pPr>
              <w:spacing w:before="40" w:after="40"/>
            </w:pPr>
            <w:r>
              <w:rPr>
                <w:rFonts w:ascii="Arial" w:hAnsi="Arial"/>
                <w:sz w:val="20"/>
              </w:rPr>
              <w:t>Motor de ejecución</w:t>
            </w:r>
          </w:p>
        </w:tc>
        <w:tc>
          <w:tcPr>
            <w:tcW w:type="dxa" w:w="4561"/>
          </w:tcPr>
          <w:p>
            <w:pPr>
              <w:spacing w:before="40" w:after="40"/>
            </w:pPr>
            <w:r>
              <w:rPr>
                <w:rFonts w:ascii="Arial" w:hAnsi="Arial"/>
                <w:sz w:val="20"/>
              </w:rPr>
              <w:t>Node.js 22.22.2</w:t>
            </w:r>
          </w:p>
        </w:tc>
      </w:tr>
      <w:tr>
        <w:tc>
          <w:tcPr>
            <w:tcW w:type="dxa" w:w="4561"/>
          </w:tcPr>
          <w:p>
            <w:pPr>
              <w:spacing w:before="40" w:after="40"/>
            </w:pPr>
            <w:r>
              <w:rPr>
                <w:rFonts w:ascii="Arial" w:hAnsi="Arial"/>
                <w:sz w:val="20"/>
              </w:rPr>
              <w:t>Gestor de paquetes</w:t>
            </w:r>
          </w:p>
        </w:tc>
        <w:tc>
          <w:tcPr>
            <w:tcW w:type="dxa" w:w="4561"/>
          </w:tcPr>
          <w:p>
            <w:pPr>
              <w:spacing w:before="40" w:after="40"/>
            </w:pPr>
            <w:r>
              <w:rPr>
                <w:rFonts w:ascii="Arial" w:hAnsi="Arial"/>
                <w:sz w:val="20"/>
              </w:rPr>
              <w:t>npm 10.9.7</w:t>
            </w:r>
          </w:p>
        </w:tc>
      </w:tr>
      <w:tr>
        <w:tc>
          <w:tcPr>
            <w:tcW w:type="dxa" w:w="4561"/>
          </w:tcPr>
          <w:p>
            <w:pPr>
              <w:spacing w:before="40" w:after="40"/>
            </w:pPr>
            <w:r>
              <w:rPr>
                <w:rFonts w:ascii="Arial" w:hAnsi="Arial"/>
                <w:sz w:val="20"/>
              </w:rPr>
              <w:t>Framework de aplicación</w:t>
            </w:r>
          </w:p>
        </w:tc>
        <w:tc>
          <w:tcPr>
            <w:tcW w:type="dxa" w:w="4561"/>
          </w:tcPr>
          <w:p>
            <w:pPr>
              <w:spacing w:before="40" w:after="40"/>
            </w:pPr>
            <w:r>
              <w:rPr>
                <w:rFonts w:ascii="Arial" w:hAnsi="Arial"/>
                <w:sz w:val="20"/>
              </w:rPr>
              <w:t>Next.js 16.1.1 (App Router)</w:t>
            </w:r>
          </w:p>
        </w:tc>
      </w:tr>
      <w:tr>
        <w:tc>
          <w:tcPr>
            <w:tcW w:type="dxa" w:w="4561"/>
          </w:tcPr>
          <w:p>
            <w:pPr>
              <w:spacing w:before="40" w:after="40"/>
            </w:pPr>
            <w:r>
              <w:rPr>
                <w:rFonts w:ascii="Arial" w:hAnsi="Arial"/>
                <w:sz w:val="20"/>
              </w:rPr>
              <w:t>Lenguaje</w:t>
            </w:r>
          </w:p>
        </w:tc>
        <w:tc>
          <w:tcPr>
            <w:tcW w:type="dxa" w:w="4561"/>
          </w:tcPr>
          <w:p>
            <w:pPr>
              <w:spacing w:before="40" w:after="40"/>
            </w:pPr>
            <w:r>
              <w:rPr>
                <w:rFonts w:ascii="Arial" w:hAnsi="Arial"/>
                <w:sz w:val="20"/>
              </w:rPr>
              <w:t>TypeScript 5</w:t>
            </w:r>
          </w:p>
        </w:tc>
      </w:tr>
      <w:tr>
        <w:tc>
          <w:tcPr>
            <w:tcW w:type="dxa" w:w="4561"/>
          </w:tcPr>
          <w:p>
            <w:pPr>
              <w:spacing w:before="40" w:after="40"/>
            </w:pPr>
            <w:r>
              <w:rPr>
                <w:rFonts w:ascii="Arial" w:hAnsi="Arial"/>
                <w:sz w:val="20"/>
              </w:rPr>
              <w:t>Base de datos</w:t>
            </w:r>
          </w:p>
        </w:tc>
        <w:tc>
          <w:tcPr>
            <w:tcW w:type="dxa" w:w="4561"/>
          </w:tcPr>
          <w:p>
            <w:pPr>
              <w:spacing w:before="40" w:after="40"/>
            </w:pPr>
            <w:r>
              <w:rPr>
                <w:rFonts w:ascii="Arial" w:hAnsi="Arial"/>
                <w:sz w:val="20"/>
              </w:rPr>
              <w:t xml:space="preserve">PostgreSQL 16 (Supabase, proyecto UcesCap — </w:t>
            </w:r>
            <w:r>
              <w:rPr>
                <w:rFonts w:ascii="Courier New" w:hAnsi="Courier New"/>
                <w:sz w:val="20"/>
              </w:rPr>
              <w:t>uilqwyrslwrkeubaayoi</w:t>
            </w:r>
            <w:r>
              <w:rPr>
                <w:rFonts w:ascii="Arial" w:hAnsi="Arial"/>
                <w:sz w:val="20"/>
              </w:rPr>
              <w:t>)</w:t>
            </w:r>
          </w:p>
        </w:tc>
      </w:tr>
      <w:tr>
        <w:tc>
          <w:tcPr>
            <w:tcW w:type="dxa" w:w="4561"/>
          </w:tcPr>
          <w:p>
            <w:pPr>
              <w:spacing w:before="40" w:after="40"/>
            </w:pPr>
            <w:r>
              <w:rPr>
                <w:rFonts w:ascii="Arial" w:hAnsi="Arial"/>
                <w:sz w:val="20"/>
              </w:rPr>
              <w:t>ORM / cliente de BD</w:t>
            </w:r>
          </w:p>
        </w:tc>
        <w:tc>
          <w:tcPr>
            <w:tcW w:type="dxa" w:w="4561"/>
          </w:tcPr>
          <w:p>
            <w:pPr>
              <w:spacing w:before="40" w:after="40"/>
            </w:pPr>
            <w:r>
              <w:rPr>
                <w:rFonts w:ascii="Courier New" w:hAnsi="Courier New"/>
                <w:sz w:val="20"/>
              </w:rPr>
              <w:t>@supabase/supabase-js</w:t>
            </w:r>
            <w:r>
              <w:rPr>
                <w:rFonts w:ascii="Arial" w:hAnsi="Arial"/>
                <w:sz w:val="20"/>
              </w:rPr>
              <w:t xml:space="preserve"> 2.89.0</w:t>
            </w:r>
          </w:p>
        </w:tc>
      </w:tr>
      <w:tr>
        <w:tc>
          <w:tcPr>
            <w:tcW w:type="dxa" w:w="4561"/>
          </w:tcPr>
          <w:p>
            <w:pPr>
              <w:spacing w:before="40" w:after="40"/>
            </w:pPr>
            <w:r>
              <w:rPr>
                <w:rFonts w:ascii="Arial" w:hAnsi="Arial"/>
                <w:sz w:val="20"/>
              </w:rPr>
              <w:t>Puerto local</w:t>
            </w:r>
          </w:p>
        </w:tc>
        <w:tc>
          <w:tcPr>
            <w:tcW w:type="dxa" w:w="4561"/>
          </w:tcPr>
          <w:p>
            <w:pPr>
              <w:spacing w:before="40" w:after="40"/>
            </w:pPr>
            <w:r>
              <w:rPr>
                <w:rFonts w:ascii="Courier New" w:hAnsi="Courier New"/>
                <w:sz w:val="20"/>
              </w:rPr>
              <w:t>http://localhost:3000</w:t>
            </w:r>
            <w:r>
              <w:rPr>
                <w:rFonts w:ascii="Arial" w:hAnsi="Arial"/>
                <w:sz w:val="20"/>
              </w:rPr>
              <w:t xml:space="preserve"> (desarrollo)</w:t>
            </w:r>
          </w:p>
        </w:tc>
      </w:tr>
      <w:tr>
        <w:tc>
          <w:tcPr>
            <w:tcW w:type="dxa" w:w="4561"/>
          </w:tcPr>
          <w:p>
            <w:pPr>
              <w:spacing w:before="40" w:after="40"/>
            </w:pPr>
            <w:r>
              <w:rPr>
                <w:rFonts w:ascii="Arial" w:hAnsi="Arial"/>
                <w:sz w:val="20"/>
              </w:rPr>
              <w:t>Comando de inicio</w:t>
            </w:r>
          </w:p>
        </w:tc>
        <w:tc>
          <w:tcPr>
            <w:tcW w:type="dxa" w:w="4561"/>
          </w:tcPr>
          <w:p>
            <w:pPr>
              <w:spacing w:before="40" w:after="40"/>
            </w:pPr>
            <w:r>
              <w:rPr>
                <w:rFonts w:ascii="Courier New" w:hAnsi="Courier New"/>
                <w:sz w:val="20"/>
              </w:rPr>
              <w:t>npm run dev</w:t>
            </w:r>
            <w:r>
              <w:rPr>
                <w:rFonts w:ascii="Arial" w:hAnsi="Arial"/>
                <w:sz w:val="20"/>
              </w:rPr>
              <w:t xml:space="preserve"> desde </w:t>
            </w:r>
            <w:r>
              <w:rPr>
                <w:rFonts w:ascii="Courier New" w:hAnsi="Courier New"/>
                <w:sz w:val="20"/>
              </w:rPr>
              <w:t>my-app/</w:t>
            </w:r>
          </w:p>
        </w:tc>
      </w:tr>
    </w:tbl>
    <w:p/>
    <w:p>
      <w:pPr>
        <w:pStyle w:val="Heading3"/>
      </w:pPr>
      <w:r>
        <w:t>6.3.2 Entorno de producción</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Componente</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Plataforma de despliegue</w:t>
            </w:r>
          </w:p>
        </w:tc>
        <w:tc>
          <w:tcPr>
            <w:tcW w:type="dxa" w:w="4561"/>
          </w:tcPr>
          <w:p>
            <w:pPr>
              <w:spacing w:before="40" w:after="40"/>
            </w:pPr>
            <w:r>
              <w:rPr>
                <w:rFonts w:ascii="Arial" w:hAnsi="Arial"/>
                <w:sz w:val="20"/>
              </w:rPr>
              <w:t>Vercel</w:t>
            </w:r>
          </w:p>
        </w:tc>
      </w:tr>
      <w:tr>
        <w:tc>
          <w:tcPr>
            <w:tcW w:type="dxa" w:w="4561"/>
          </w:tcPr>
          <w:p>
            <w:pPr>
              <w:spacing w:before="40" w:after="40"/>
            </w:pPr>
            <w:r>
              <w:rPr>
                <w:rFonts w:ascii="Arial" w:hAnsi="Arial"/>
                <w:sz w:val="20"/>
              </w:rPr>
              <w:t>Base de datos</w:t>
            </w:r>
          </w:p>
        </w:tc>
        <w:tc>
          <w:tcPr>
            <w:tcW w:type="dxa" w:w="4561"/>
          </w:tcPr>
          <w:p>
            <w:pPr>
              <w:spacing w:before="40" w:after="40"/>
            </w:pPr>
            <w:r>
              <w:rPr>
                <w:rFonts w:ascii="Arial" w:hAnsi="Arial"/>
                <w:sz w:val="20"/>
              </w:rPr>
              <w:t xml:space="preserve">Supabase (mismo proyecto que desarrollo, </w:t>
            </w:r>
            <w:r>
              <w:rPr>
                <w:rFonts w:ascii="Courier New" w:hAnsi="Courier New"/>
                <w:sz w:val="20"/>
              </w:rPr>
              <w:t>uilqwyrslwrkeubaayoi</w:t>
            </w:r>
            <w:r>
              <w:rPr>
                <w:rFonts w:ascii="Arial" w:hAnsi="Arial"/>
                <w:sz w:val="20"/>
              </w:rPr>
              <w:t>)</w:t>
            </w:r>
          </w:p>
        </w:tc>
      </w:tr>
      <w:tr>
        <w:tc>
          <w:tcPr>
            <w:tcW w:type="dxa" w:w="4561"/>
          </w:tcPr>
          <w:p>
            <w:pPr>
              <w:spacing w:before="40" w:after="40"/>
            </w:pPr>
            <w:r>
              <w:rPr>
                <w:rFonts w:ascii="Arial" w:hAnsi="Arial"/>
                <w:sz w:val="20"/>
              </w:rPr>
              <w:t>Variables de entorno</w:t>
            </w:r>
          </w:p>
        </w:tc>
        <w:tc>
          <w:tcPr>
            <w:tcW w:type="dxa" w:w="4561"/>
          </w:tcPr>
          <w:p>
            <w:pPr>
              <w:spacing w:before="40" w:after="40"/>
            </w:pPr>
            <w:r>
              <w:rPr>
                <w:rFonts w:ascii="Arial" w:hAnsi="Arial"/>
                <w:sz w:val="20"/>
              </w:rPr>
              <w:t>Configuradas en el panel de Vercel</w:t>
            </w:r>
          </w:p>
        </w:tc>
      </w:tr>
    </w:tbl>
    <w:p/>
    <w:p>
      <w:pPr>
        <w:jc w:val="both"/>
      </w:pPr>
      <w:r>
        <w:rPr>
          <w:rFonts w:ascii="Arial" w:hAnsi="Arial"/>
          <w:sz w:val="22"/>
        </w:rPr>
        <w:t>Las pruebas de aceptación final deben realizarse sobre el entorno de producción para verificar el comportamiento del sistema desplegado. Las pruebas exploratorias y de regresión se realizan en el entorno local.</w:t>
      </w:r>
    </w:p>
    <w:p>
      <w:pPr>
        <w:pStyle w:val="Heading3"/>
      </w:pPr>
      <w:r>
        <w:t>6.3.3 Roles necesarios para las pruebas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Rol de prueba</w:t>
            </w:r>
          </w:p>
        </w:tc>
        <w:tc>
          <w:tcPr>
            <w:tcW w:type="dxa" w:w="3041"/>
          </w:tcPr>
          <w:p>
            <w:pPr>
              <w:spacing w:before="40" w:after="40"/>
            </w:pPr>
            <w:r>
              <w:rPr>
                <w:b/>
                <w:sz w:val="20"/>
              </w:rPr>
              <w:t>Descripción</w:t>
            </w:r>
          </w:p>
        </w:tc>
        <w:tc>
          <w:tcPr>
            <w:tcW w:type="dxa" w:w="3041"/>
          </w:tcPr>
          <w:p>
            <w:pPr>
              <w:spacing w:before="40" w:after="40"/>
            </w:pPr>
            <w:r>
              <w:rPr>
                <w:b/>
                <w:sz w:val="20"/>
              </w:rPr>
              <w:t>Método de creación</w:t>
            </w:r>
          </w:p>
        </w:tc>
      </w:tr>
      <w:tr>
        <w:tc>
          <w:tcPr>
            <w:tcW w:type="dxa" w:w="3041"/>
          </w:tcPr>
          <w:p>
            <w:pPr>
              <w:spacing w:before="40" w:after="40"/>
            </w:pPr>
            <w:r>
              <w:rPr>
                <w:rFonts w:ascii="Courier New" w:hAnsi="Courier New"/>
                <w:sz w:val="20"/>
              </w:rPr>
              <w:t>candidato-prueba</w:t>
            </w:r>
          </w:p>
        </w:tc>
        <w:tc>
          <w:tcPr>
            <w:tcW w:type="dxa" w:w="3041"/>
          </w:tcPr>
          <w:p>
            <w:pPr>
              <w:spacing w:before="40" w:after="40"/>
            </w:pPr>
            <w:r>
              <w:rPr>
                <w:rFonts w:ascii="Arial" w:hAnsi="Arial"/>
                <w:sz w:val="20"/>
              </w:rPr>
              <w:t>Usuario registrado sin psicométrico completado</w:t>
            </w:r>
          </w:p>
        </w:tc>
        <w:tc>
          <w:tcPr>
            <w:tcW w:type="dxa" w:w="3041"/>
          </w:tcPr>
          <w:p>
            <w:pPr>
              <w:spacing w:before="40" w:after="40"/>
            </w:pPr>
            <w:r>
              <w:rPr>
                <w:rFonts w:ascii="Arial" w:hAnsi="Arial"/>
                <w:sz w:val="20"/>
              </w:rPr>
              <w:t xml:space="preserve">Registro en </w:t>
            </w:r>
            <w:r>
              <w:rPr>
                <w:rFonts w:ascii="Courier New" w:hAnsi="Courier New"/>
                <w:sz w:val="20"/>
              </w:rPr>
              <w:t>/register</w:t>
            </w:r>
            <w:r>
              <w:rPr>
                <w:rFonts w:ascii="Arial" w:hAnsi="Arial"/>
                <w:sz w:val="20"/>
              </w:rPr>
              <w:t xml:space="preserve"> con CURP ficticia válida, ej. </w:t>
            </w:r>
            <w:r>
              <w:rPr>
                <w:rFonts w:ascii="Courier New" w:hAnsi="Courier New"/>
                <w:sz w:val="20"/>
              </w:rPr>
              <w:t>GOMC900101HDFRRL09</w:t>
            </w:r>
          </w:p>
        </w:tc>
      </w:tr>
      <w:tr>
        <w:tc>
          <w:tcPr>
            <w:tcW w:type="dxa" w:w="3041"/>
          </w:tcPr>
          <w:p>
            <w:pPr>
              <w:spacing w:before="40" w:after="40"/>
            </w:pPr>
            <w:r>
              <w:rPr>
                <w:rFonts w:ascii="Courier New" w:hAnsi="Courier New"/>
                <w:sz w:val="20"/>
              </w:rPr>
              <w:t>candidato-psi</w:t>
            </w:r>
          </w:p>
        </w:tc>
        <w:tc>
          <w:tcPr>
            <w:tcW w:type="dxa" w:w="3041"/>
          </w:tcPr>
          <w:p>
            <w:pPr>
              <w:spacing w:before="40" w:after="40"/>
            </w:pPr>
            <w:r>
              <w:rPr>
                <w:rFonts w:ascii="Arial" w:hAnsi="Arial"/>
                <w:sz w:val="20"/>
              </w:rPr>
              <w:t>Candidato con cuestionario psicométrico completado</w:t>
            </w:r>
          </w:p>
        </w:tc>
        <w:tc>
          <w:tcPr>
            <w:tcW w:type="dxa" w:w="3041"/>
          </w:tcPr>
          <w:p>
            <w:pPr>
              <w:spacing w:before="40" w:after="40"/>
            </w:pPr>
            <w:r>
              <w:rPr>
                <w:rFonts w:ascii="Courier New" w:hAnsi="Courier New"/>
                <w:sz w:val="20"/>
              </w:rPr>
              <w:t>candidato-prueba</w:t>
            </w:r>
            <w:r>
              <w:rPr>
                <w:rFonts w:ascii="Arial" w:hAnsi="Arial"/>
                <w:sz w:val="20"/>
              </w:rPr>
              <w:t xml:space="preserve"> + completar evaluación en </w:t>
            </w:r>
            <w:r>
              <w:rPr>
                <w:rFonts w:ascii="Courier New" w:hAnsi="Courier New"/>
                <w:sz w:val="20"/>
              </w:rPr>
              <w:t>/psicometrico</w:t>
            </w:r>
          </w:p>
        </w:tc>
      </w:tr>
      <w:tr>
        <w:tc>
          <w:tcPr>
            <w:tcW w:type="dxa" w:w="3041"/>
          </w:tcPr>
          <w:p>
            <w:pPr>
              <w:spacing w:before="40" w:after="40"/>
            </w:pPr>
            <w:r>
              <w:rPr>
                <w:rFonts w:ascii="Courier New" w:hAnsi="Courier New"/>
                <w:sz w:val="20"/>
              </w:rPr>
              <w:t>admin-prueba</w:t>
            </w:r>
          </w:p>
        </w:tc>
        <w:tc>
          <w:tcPr>
            <w:tcW w:type="dxa" w:w="3041"/>
          </w:tcPr>
          <w:p>
            <w:pPr>
              <w:spacing w:before="40" w:after="40"/>
            </w:pPr>
            <w:r>
              <w:rPr>
                <w:rFonts w:ascii="Arial" w:hAnsi="Arial"/>
                <w:sz w:val="20"/>
              </w:rPr>
              <w:t>Usuario con acceso al panel administrativo</w:t>
            </w:r>
          </w:p>
        </w:tc>
        <w:tc>
          <w:tcPr>
            <w:tcW w:type="dxa" w:w="3041"/>
          </w:tcPr>
          <w:p>
            <w:pPr>
              <w:spacing w:before="40" w:after="40"/>
            </w:pPr>
            <w:r>
              <w:rPr>
                <w:rFonts w:ascii="Arial" w:hAnsi="Arial"/>
                <w:sz w:val="20"/>
              </w:rPr>
              <w:t xml:space="preserve">Insertar en Supabase Dashboard: </w:t>
            </w:r>
            <w:r>
              <w:rPr>
                <w:rFonts w:ascii="Courier New" w:hAnsi="Courier New"/>
                <w:sz w:val="20"/>
              </w:rPr>
              <w:t>INSERT INTO user_roles (user_id, role) VALUES ('[uuid del usuario]', 'admin')</w:t>
            </w:r>
          </w:p>
        </w:tc>
      </w:tr>
    </w:tbl>
    <w:p/>
    <w:p>
      <w:pPr>
        <w:jc w:val="both"/>
      </w:pPr>
      <w:r>
        <w:rPr>
          <w:b/>
        </w:rPr>
        <w:t>Restricción de privacidad:</w:t>
      </w:r>
      <w:r>
        <w:rPr>
          <w:rFonts w:ascii="Arial" w:hAnsi="Arial"/>
          <w:sz w:val="22"/>
        </w:rPr>
        <w:t xml:space="preserve"> Todas las pruebas deben realizarse con datos ficticios. No utilizar CURPs, correos electrónicos ni nombres de personas reales.</w:t>
      </w:r>
    </w:p>
    <w:p>
      <w:pPr>
        <w:pStyle w:val="Heading3"/>
      </w:pPr>
      <w:r>
        <w:t>6.3.4 Datos de prueba mínimos requeridos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Dato</w:t>
            </w:r>
          </w:p>
        </w:tc>
        <w:tc>
          <w:tcPr>
            <w:tcW w:type="dxa" w:w="3041"/>
          </w:tcPr>
          <w:p>
            <w:pPr>
              <w:spacing w:before="40" w:after="40"/>
            </w:pPr>
            <w:r>
              <w:rPr>
                <w:b/>
                <w:sz w:val="20"/>
              </w:rPr>
              <w:t>Descripción</w:t>
            </w:r>
          </w:p>
        </w:tc>
        <w:tc>
          <w:tcPr>
            <w:tcW w:type="dxa" w:w="3041"/>
          </w:tcPr>
          <w:p>
            <w:pPr>
              <w:spacing w:before="40" w:after="40"/>
            </w:pPr>
            <w:r>
              <w:rPr>
                <w:b/>
                <w:sz w:val="20"/>
              </w:rPr>
              <w:t>Cómo crearlo</w:t>
            </w:r>
          </w:p>
        </w:tc>
      </w:tr>
      <w:tr>
        <w:tc>
          <w:tcPr>
            <w:tcW w:type="dxa" w:w="3041"/>
          </w:tcPr>
          <w:p>
            <w:pPr>
              <w:spacing w:before="40" w:after="40"/>
            </w:pPr>
            <w:r>
              <w:rPr>
                <w:rFonts w:ascii="Arial" w:hAnsi="Arial"/>
                <w:sz w:val="20"/>
              </w:rPr>
              <w:t>Módulo de prueba</w:t>
            </w:r>
          </w:p>
        </w:tc>
        <w:tc>
          <w:tcPr>
            <w:tcW w:type="dxa" w:w="3041"/>
          </w:tcPr>
          <w:p>
            <w:pPr>
              <w:spacing w:before="40" w:after="40"/>
            </w:pPr>
            <w:r>
              <w:rPr>
                <w:rFonts w:ascii="Arial" w:hAnsi="Arial"/>
                <w:sz w:val="20"/>
              </w:rPr>
              <w:t>Al menos 1 módulo con nombre visible</w:t>
            </w:r>
          </w:p>
        </w:tc>
        <w:tc>
          <w:tcPr>
            <w:tcW w:type="dxa" w:w="3041"/>
          </w:tcPr>
          <w:p>
            <w:pPr>
              <w:spacing w:before="40" w:after="40"/>
            </w:pPr>
            <w:r>
              <w:rPr>
                <w:rFonts w:ascii="Arial" w:hAnsi="Arial"/>
                <w:sz w:val="20"/>
              </w:rPr>
              <w:t>Panel admin → Módulos → Crear</w:t>
            </w:r>
          </w:p>
        </w:tc>
      </w:tr>
      <w:tr>
        <w:tc>
          <w:tcPr>
            <w:tcW w:type="dxa" w:w="3041"/>
          </w:tcPr>
          <w:p>
            <w:pPr>
              <w:spacing w:before="40" w:after="40"/>
            </w:pPr>
            <w:r>
              <w:rPr>
                <w:rFonts w:ascii="Arial" w:hAnsi="Arial"/>
                <w:sz w:val="20"/>
              </w:rPr>
              <w:t>Vacante abierta</w:t>
            </w:r>
          </w:p>
        </w:tc>
        <w:tc>
          <w:tcPr>
            <w:tcW w:type="dxa" w:w="3041"/>
          </w:tcPr>
          <w:p>
            <w:pPr>
              <w:spacing w:before="40" w:after="40"/>
            </w:pPr>
            <w:r>
              <w:rPr>
                <w:rFonts w:ascii="Arial" w:hAnsi="Arial"/>
                <w:sz w:val="20"/>
              </w:rPr>
              <w:t xml:space="preserve">1 vacante con </w:t>
            </w:r>
            <w:r>
              <w:rPr>
                <w:rFonts w:ascii="Courier New" w:hAnsi="Courier New"/>
                <w:sz w:val="20"/>
              </w:rPr>
              <w:t>status = 'open'</w:t>
            </w:r>
            <w:r>
              <w:rPr>
                <w:rFonts w:ascii="Arial" w:hAnsi="Arial"/>
                <w:sz w:val="20"/>
              </w:rPr>
              <w:t>, módulo asignado</w:t>
            </w:r>
          </w:p>
        </w:tc>
        <w:tc>
          <w:tcPr>
            <w:tcW w:type="dxa" w:w="3041"/>
          </w:tcPr>
          <w:p>
            <w:pPr>
              <w:spacing w:before="40" w:after="40"/>
            </w:pPr>
            <w:r>
              <w:rPr>
                <w:rFonts w:ascii="Arial" w:hAnsi="Arial"/>
                <w:sz w:val="20"/>
              </w:rPr>
              <w:t>Panel admin → Vacantes → Crear</w:t>
            </w:r>
          </w:p>
        </w:tc>
      </w:tr>
      <w:tr>
        <w:tc>
          <w:tcPr>
            <w:tcW w:type="dxa" w:w="3041"/>
          </w:tcPr>
          <w:p>
            <w:pPr>
              <w:spacing w:before="40" w:after="40"/>
            </w:pPr>
            <w:r>
              <w:rPr>
                <w:rFonts w:ascii="Arial" w:hAnsi="Arial"/>
                <w:sz w:val="20"/>
              </w:rPr>
              <w:t>Vacante en borrador</w:t>
            </w:r>
          </w:p>
        </w:tc>
        <w:tc>
          <w:tcPr>
            <w:tcW w:type="dxa" w:w="3041"/>
          </w:tcPr>
          <w:p>
            <w:pPr>
              <w:spacing w:before="40" w:after="40"/>
            </w:pPr>
            <w:r>
              <w:rPr>
                <w:rFonts w:ascii="Arial" w:hAnsi="Arial"/>
                <w:sz w:val="20"/>
              </w:rPr>
              <w:t xml:space="preserve">1 vacante con </w:t>
            </w:r>
            <w:r>
              <w:rPr>
                <w:rFonts w:ascii="Courier New" w:hAnsi="Courier New"/>
                <w:sz w:val="20"/>
              </w:rPr>
              <w:t>status = 'draft'</w:t>
            </w:r>
          </w:p>
        </w:tc>
        <w:tc>
          <w:tcPr>
            <w:tcW w:type="dxa" w:w="3041"/>
          </w:tcPr>
          <w:p>
            <w:pPr>
              <w:spacing w:before="40" w:after="40"/>
            </w:pPr>
            <w:r>
              <w:rPr>
                <w:rFonts w:ascii="Arial" w:hAnsi="Arial"/>
                <w:sz w:val="20"/>
              </w:rPr>
              <w:t>Panel admin → Vacantes → Crear → Cambiar estado</w:t>
            </w:r>
          </w:p>
        </w:tc>
      </w:tr>
      <w:tr>
        <w:tc>
          <w:tcPr>
            <w:tcW w:type="dxa" w:w="3041"/>
          </w:tcPr>
          <w:p>
            <w:pPr>
              <w:spacing w:before="40" w:after="40"/>
            </w:pPr>
            <w:r>
              <w:rPr>
                <w:rFonts w:ascii="Arial" w:hAnsi="Arial"/>
                <w:sz w:val="20"/>
              </w:rPr>
              <w:t>CURP de prueba no registrada</w:t>
            </w:r>
          </w:p>
        </w:tc>
        <w:tc>
          <w:tcPr>
            <w:tcW w:type="dxa" w:w="3041"/>
          </w:tcPr>
          <w:p>
            <w:pPr>
              <w:spacing w:before="40" w:after="40"/>
            </w:pPr>
            <w:r>
              <w:rPr>
                <w:rFonts w:ascii="Arial" w:hAnsi="Arial"/>
                <w:sz w:val="20"/>
              </w:rPr>
              <w:t>CURP ficticia con formato válido</w:t>
            </w:r>
          </w:p>
        </w:tc>
        <w:tc>
          <w:tcPr>
            <w:tcW w:type="dxa" w:w="3041"/>
          </w:tcPr>
          <w:p>
            <w:pPr>
              <w:spacing w:before="40" w:after="40"/>
            </w:pPr>
            <w:r>
              <w:rPr>
                <w:rFonts w:ascii="Courier New" w:hAnsi="Courier New"/>
                <w:sz w:val="20"/>
              </w:rPr>
              <w:t>GOMC900101HDFRRL09</w:t>
            </w:r>
            <w:r>
              <w:rPr>
                <w:rFonts w:ascii="Arial" w:hAnsi="Arial"/>
                <w:sz w:val="20"/>
              </w:rPr>
              <w:t xml:space="preserve"> (ejemplo)</w:t>
            </w:r>
          </w:p>
        </w:tc>
      </w:tr>
      <w:tr>
        <w:tc>
          <w:tcPr>
            <w:tcW w:type="dxa" w:w="3041"/>
          </w:tcPr>
          <w:p>
            <w:pPr>
              <w:spacing w:before="40" w:after="40"/>
            </w:pPr>
            <w:r>
              <w:rPr>
                <w:rFonts w:ascii="Arial" w:hAnsi="Arial"/>
                <w:sz w:val="20"/>
              </w:rPr>
              <w:t>CURP de prueba ya registrada</w:t>
            </w:r>
          </w:p>
        </w:tc>
        <w:tc>
          <w:tcPr>
            <w:tcW w:type="dxa" w:w="3041"/>
          </w:tcPr>
          <w:p>
            <w:pPr>
              <w:spacing w:before="40" w:after="40"/>
            </w:pPr>
            <w:r>
              <w:rPr>
                <w:rFonts w:ascii="Arial" w:hAnsi="Arial"/>
                <w:sz w:val="20"/>
              </w:rPr>
              <w:t>Misma CURP que se usó en el primer registro</w:t>
            </w:r>
          </w:p>
        </w:tc>
        <w:tc>
          <w:tcPr>
            <w:tcW w:type="dxa" w:w="3041"/>
          </w:tcPr>
          <w:p>
            <w:pPr>
              <w:spacing w:before="40" w:after="40"/>
            </w:pPr>
            <w:r>
              <w:rPr>
                <w:rFonts w:ascii="Arial" w:hAnsi="Arial"/>
                <w:sz w:val="20"/>
              </w:rPr>
              <w:t>Resultado del primer registro exitoso</w:t>
            </w:r>
          </w:p>
        </w:tc>
      </w:tr>
    </w:tbl>
    <w:p/>
    <w:p>
      <w:pPr>
        <w:pStyle w:val="Heading3"/>
      </w:pPr>
      <w:r>
        <w:t>6.3.5 Herramientas de apoyo para las pruebas</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Herramienta</w:t>
            </w:r>
          </w:p>
        </w:tc>
        <w:tc>
          <w:tcPr>
            <w:tcW w:type="dxa" w:w="4561"/>
          </w:tcPr>
          <w:p>
            <w:pPr>
              <w:spacing w:before="40" w:after="40"/>
            </w:pPr>
            <w:r>
              <w:rPr>
                <w:b/>
                <w:sz w:val="20"/>
              </w:rPr>
              <w:t>Uso</w:t>
            </w:r>
          </w:p>
        </w:tc>
      </w:tr>
      <w:tr>
        <w:tc>
          <w:tcPr>
            <w:tcW w:type="dxa" w:w="4561"/>
          </w:tcPr>
          <w:p>
            <w:pPr>
              <w:spacing w:before="40" w:after="40"/>
            </w:pPr>
            <w:r>
              <w:rPr>
                <w:rFonts w:ascii="Arial" w:hAnsi="Arial"/>
                <w:sz w:val="20"/>
              </w:rPr>
              <w:t>DevTools del navegador (Network)</w:t>
            </w:r>
          </w:p>
        </w:tc>
        <w:tc>
          <w:tcPr>
            <w:tcW w:type="dxa" w:w="4561"/>
          </w:tcPr>
          <w:p>
            <w:pPr>
              <w:spacing w:before="40" w:after="40"/>
            </w:pPr>
            <w:r>
              <w:rPr>
                <w:rFonts w:ascii="Arial" w:hAnsi="Arial"/>
                <w:sz w:val="20"/>
              </w:rPr>
              <w:t>Inspeccionar encabezados HTTP, tokens Bearer, respuestas de API</w:t>
            </w:r>
          </w:p>
        </w:tc>
      </w:tr>
      <w:tr>
        <w:tc>
          <w:tcPr>
            <w:tcW w:type="dxa" w:w="4561"/>
          </w:tcPr>
          <w:p>
            <w:pPr>
              <w:spacing w:before="40" w:after="40"/>
            </w:pPr>
            <w:r>
              <w:rPr>
                <w:rFonts w:ascii="Arial" w:hAnsi="Arial"/>
                <w:sz w:val="20"/>
              </w:rPr>
              <w:t>Supabase Dashboard</w:t>
            </w:r>
          </w:p>
        </w:tc>
        <w:tc>
          <w:tcPr>
            <w:tcW w:type="dxa" w:w="4561"/>
          </w:tcPr>
          <w:p>
            <w:pPr>
              <w:spacing w:before="40" w:after="40"/>
            </w:pPr>
            <w:r>
              <w:rPr>
                <w:rFonts w:ascii="Arial" w:hAnsi="Arial"/>
                <w:sz w:val="20"/>
              </w:rPr>
              <w:t xml:space="preserve">Verificar persistencia de datos, tabla </w:t>
            </w:r>
            <w:r>
              <w:rPr>
                <w:rFonts w:ascii="Courier New" w:hAnsi="Courier New"/>
                <w:sz w:val="20"/>
              </w:rPr>
              <w:t>curp_hashes</w:t>
            </w:r>
            <w:r>
              <w:rPr>
                <w:rFonts w:ascii="Arial" w:hAnsi="Arial"/>
                <w:sz w:val="20"/>
              </w:rPr>
              <w:t xml:space="preserve">, tabla </w:t>
            </w:r>
            <w:r>
              <w:rPr>
                <w:rFonts w:ascii="Courier New" w:hAnsi="Courier New"/>
                <w:sz w:val="20"/>
              </w:rPr>
              <w:t>reviews</w:t>
            </w:r>
          </w:p>
        </w:tc>
      </w:tr>
      <w:tr>
        <w:tc>
          <w:tcPr>
            <w:tcW w:type="dxa" w:w="4561"/>
          </w:tcPr>
          <w:p>
            <w:pPr>
              <w:spacing w:before="40" w:after="40"/>
            </w:pPr>
            <w:r>
              <w:rPr>
                <w:rFonts w:ascii="Arial" w:hAnsi="Arial"/>
                <w:sz w:val="20"/>
              </w:rPr>
              <w:t>Supabase Dashboard → Storage</w:t>
            </w:r>
          </w:p>
        </w:tc>
        <w:tc>
          <w:tcPr>
            <w:tcW w:type="dxa" w:w="4561"/>
          </w:tcPr>
          <w:p>
            <w:pPr>
              <w:spacing w:before="40" w:after="40"/>
            </w:pPr>
            <w:r>
              <w:rPr>
                <w:rFonts w:ascii="Arial" w:hAnsi="Arial"/>
                <w:sz w:val="20"/>
              </w:rPr>
              <w:t xml:space="preserve">Verificar que las evidencias se suben al bucket </w:t>
            </w:r>
            <w:r>
              <w:rPr>
                <w:rFonts w:ascii="Courier New" w:hAnsi="Courier New"/>
                <w:sz w:val="20"/>
              </w:rPr>
              <w:t>evidences</w:t>
            </w:r>
          </w:p>
        </w:tc>
      </w:tr>
      <w:tr>
        <w:tc>
          <w:tcPr>
            <w:tcW w:type="dxa" w:w="4561"/>
          </w:tcPr>
          <w:p>
            <w:pPr>
              <w:spacing w:before="40" w:after="40"/>
            </w:pPr>
            <w:r>
              <w:rPr>
                <w:rFonts w:ascii="Arial" w:hAnsi="Arial"/>
                <w:sz w:val="20"/>
              </w:rPr>
              <w:t>Supabase Dashboard → Authentication</w:t>
            </w:r>
          </w:p>
        </w:tc>
        <w:tc>
          <w:tcPr>
            <w:tcW w:type="dxa" w:w="4561"/>
          </w:tcPr>
          <w:p>
            <w:pPr>
              <w:spacing w:before="40" w:after="40"/>
            </w:pPr>
            <w:r>
              <w:rPr>
                <w:rFonts w:ascii="Arial" w:hAnsi="Arial"/>
                <w:sz w:val="20"/>
              </w:rPr>
              <w:t xml:space="preserve">Verificar creación de usuarios en </w:t>
            </w:r>
            <w:r>
              <w:rPr>
                <w:rFonts w:ascii="Courier New" w:hAnsi="Courier New"/>
                <w:sz w:val="20"/>
              </w:rPr>
              <w:t>auth.users</w:t>
            </w:r>
          </w:p>
        </w:tc>
      </w:tr>
    </w:tbl>
    <w:p/>
    <w:p>
      <w:pPr>
        <w:pStyle w:val="Heading2"/>
      </w:pPr>
      <w:r>
        <w:t>6.4 Diseño y clasificación de casos de prueba</w:t>
      </w:r>
    </w:p>
    <w:p>
      <w:pPr>
        <w:pStyle w:val="Heading3"/>
      </w:pPr>
      <w:r>
        <w:t>6.4.1 Resumen de casos de prueba</w:t>
      </w:r>
    </w:p>
    <w:p>
      <w:pPr>
        <w:jc w:val="both"/>
      </w:pPr>
      <w:r>
        <w:rPr>
          <w:rFonts w:ascii="Arial" w:hAnsi="Arial"/>
          <w:sz w:val="22"/>
        </w:rPr>
        <w:t>Los 22 casos de prueba se organizan en cinco grupos funcionales: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Grupo</w:t>
            </w:r>
          </w:p>
        </w:tc>
        <w:tc>
          <w:tcPr>
            <w:tcW w:type="dxa" w:w="2280"/>
          </w:tcPr>
          <w:p>
            <w:pPr>
              <w:spacing w:before="40" w:after="40"/>
            </w:pPr>
            <w:r>
              <w:rPr>
                <w:b/>
                <w:sz w:val="20"/>
              </w:rPr>
              <w:t>Casos</w:t>
            </w:r>
          </w:p>
        </w:tc>
        <w:tc>
          <w:tcPr>
            <w:tcW w:type="dxa" w:w="2280"/>
          </w:tcPr>
          <w:p>
            <w:pPr>
              <w:spacing w:before="40" w:after="40"/>
            </w:pPr>
            <w:r>
              <w:rPr>
                <w:b/>
                <w:sz w:val="20"/>
              </w:rPr>
              <w:t>RF cubiertos</w:t>
            </w:r>
          </w:p>
        </w:tc>
        <w:tc>
          <w:tcPr>
            <w:tcW w:type="dxa" w:w="2280"/>
          </w:tcPr>
          <w:p>
            <w:pPr>
              <w:spacing w:before="40" w:after="40"/>
            </w:pPr>
            <w:r>
              <w:rPr>
                <w:b/>
                <w:sz w:val="20"/>
              </w:rPr>
              <w:t>Descripción</w:t>
            </w:r>
          </w:p>
        </w:tc>
      </w:tr>
      <w:tr>
        <w:tc>
          <w:tcPr>
            <w:tcW w:type="dxa" w:w="2280"/>
          </w:tcPr>
          <w:p>
            <w:pPr>
              <w:spacing w:before="40" w:after="40"/>
            </w:pPr>
            <w:r>
              <w:rPr>
                <w:rFonts w:ascii="Arial" w:hAnsi="Arial"/>
                <w:sz w:val="20"/>
              </w:rPr>
              <w:t>A — Registro y autenticación</w:t>
            </w:r>
          </w:p>
        </w:tc>
        <w:tc>
          <w:tcPr>
            <w:tcW w:type="dxa" w:w="2280"/>
          </w:tcPr>
          <w:p>
            <w:pPr>
              <w:spacing w:before="40" w:after="40"/>
            </w:pPr>
            <w:r>
              <w:rPr>
                <w:rFonts w:ascii="Arial" w:hAnsi="Arial"/>
                <w:sz w:val="20"/>
              </w:rPr>
              <w:t>CP-01, CP-02a, CP-02b, CP-03</w:t>
            </w:r>
          </w:p>
        </w:tc>
        <w:tc>
          <w:tcPr>
            <w:tcW w:type="dxa" w:w="2280"/>
          </w:tcPr>
          <w:p>
            <w:pPr>
              <w:spacing w:before="40" w:after="40"/>
            </w:pPr>
            <w:r>
              <w:rPr>
                <w:rFonts w:ascii="Arial" w:hAnsi="Arial"/>
                <w:sz w:val="20"/>
              </w:rPr>
              <w:t>RF-01, RF-02</w:t>
            </w:r>
          </w:p>
        </w:tc>
        <w:tc>
          <w:tcPr>
            <w:tcW w:type="dxa" w:w="2280"/>
          </w:tcPr>
          <w:p>
            <w:pPr>
              <w:spacing w:before="40" w:after="40"/>
            </w:pPr>
            <w:r>
              <w:rPr>
                <w:rFonts w:ascii="Arial" w:hAnsi="Arial"/>
                <w:sz w:val="20"/>
              </w:rPr>
              <w:t>Registro de candidato (CP-02a: CURP duplicada; CP-02b: inicio de sesión exitoso), protección de rutas admin</w:t>
            </w:r>
          </w:p>
        </w:tc>
      </w:tr>
      <w:tr>
        <w:tc>
          <w:tcPr>
            <w:tcW w:type="dxa" w:w="2280"/>
          </w:tcPr>
          <w:p>
            <w:pPr>
              <w:spacing w:before="40" w:after="40"/>
            </w:pPr>
            <w:r>
              <w:rPr>
                <w:rFonts w:ascii="Arial" w:hAnsi="Arial"/>
                <w:sz w:val="20"/>
              </w:rPr>
              <w:t>B — Panel y catálogo</w:t>
            </w:r>
          </w:p>
        </w:tc>
        <w:tc>
          <w:tcPr>
            <w:tcW w:type="dxa" w:w="2280"/>
          </w:tcPr>
          <w:p>
            <w:pPr>
              <w:spacing w:before="40" w:after="40"/>
            </w:pPr>
            <w:r>
              <w:rPr>
                <w:rFonts w:ascii="Arial" w:hAnsi="Arial"/>
                <w:sz w:val="20"/>
              </w:rPr>
              <w:t>CP-04, CP-05, CP-06</w:t>
            </w:r>
          </w:p>
        </w:tc>
        <w:tc>
          <w:tcPr>
            <w:tcW w:type="dxa" w:w="2280"/>
          </w:tcPr>
          <w:p>
            <w:pPr>
              <w:spacing w:before="40" w:after="40"/>
            </w:pPr>
            <w:r>
              <w:rPr>
                <w:rFonts w:ascii="Arial" w:hAnsi="Arial"/>
                <w:sz w:val="20"/>
              </w:rPr>
              <w:t>RF-03, RF-04, RF-05</w:t>
            </w:r>
          </w:p>
        </w:tc>
        <w:tc>
          <w:tcPr>
            <w:tcW w:type="dxa" w:w="2280"/>
          </w:tcPr>
          <w:p>
            <w:pPr>
              <w:spacing w:before="40" w:after="40"/>
            </w:pPr>
            <w:r>
              <w:rPr>
                <w:rFonts w:ascii="Arial" w:hAnsi="Arial"/>
                <w:sz w:val="20"/>
              </w:rPr>
              <w:t>Panel del candidato, vacantes disponibles, detalle de vacante</w:t>
            </w:r>
          </w:p>
        </w:tc>
      </w:tr>
      <w:tr>
        <w:tc>
          <w:tcPr>
            <w:tcW w:type="dxa" w:w="2280"/>
          </w:tcPr>
          <w:p>
            <w:pPr>
              <w:spacing w:before="40" w:after="40"/>
            </w:pPr>
            <w:r>
              <w:rPr>
                <w:rFonts w:ascii="Arial" w:hAnsi="Arial"/>
                <w:sz w:val="20"/>
              </w:rPr>
              <w:t>C — Evaluación psicométrica</w:t>
            </w:r>
          </w:p>
        </w:tc>
        <w:tc>
          <w:tcPr>
            <w:tcW w:type="dxa" w:w="2280"/>
          </w:tcPr>
          <w:p>
            <w:pPr>
              <w:spacing w:before="40" w:after="40"/>
            </w:pPr>
            <w:r>
              <w:rPr>
                <w:rFonts w:ascii="Arial" w:hAnsi="Arial"/>
                <w:sz w:val="20"/>
              </w:rPr>
              <w:t>CP-07, CP-08, CP-14</w:t>
            </w:r>
          </w:p>
        </w:tc>
        <w:tc>
          <w:tcPr>
            <w:tcW w:type="dxa" w:w="2280"/>
          </w:tcPr>
          <w:p>
            <w:pPr>
              <w:spacing w:before="40" w:after="40"/>
            </w:pPr>
            <w:r>
              <w:rPr>
                <w:rFonts w:ascii="Arial" w:hAnsi="Arial"/>
                <w:sz w:val="20"/>
              </w:rPr>
              <w:t>RF-06, RF-07, RF-09, RF-11</w:t>
            </w:r>
          </w:p>
        </w:tc>
        <w:tc>
          <w:tcPr>
            <w:tcW w:type="dxa" w:w="2280"/>
          </w:tcPr>
          <w:p>
            <w:pPr>
              <w:spacing w:before="40" w:after="40"/>
            </w:pPr>
            <w:r>
              <w:rPr>
                <w:rFonts w:ascii="Arial" w:hAnsi="Arial"/>
                <w:sz w:val="20"/>
              </w:rPr>
              <w:t>Prerequisito de postulación, verificación D-01, flujo completo</w:t>
            </w:r>
          </w:p>
        </w:tc>
      </w:tr>
      <w:tr>
        <w:tc>
          <w:tcPr>
            <w:tcW w:type="dxa" w:w="2280"/>
          </w:tcPr>
          <w:p>
            <w:pPr>
              <w:spacing w:before="40" w:after="40"/>
            </w:pPr>
            <w:r>
              <w:rPr>
                <w:rFonts w:ascii="Arial" w:hAnsi="Arial"/>
                <w:sz w:val="20"/>
              </w:rPr>
              <w:t>D — Postulación y evaluación</w:t>
            </w:r>
          </w:p>
        </w:tc>
        <w:tc>
          <w:tcPr>
            <w:tcW w:type="dxa" w:w="2280"/>
          </w:tcPr>
          <w:p>
            <w:pPr>
              <w:spacing w:before="40" w:after="40"/>
            </w:pPr>
            <w:r>
              <w:rPr>
                <w:rFonts w:ascii="Arial" w:hAnsi="Arial"/>
                <w:sz w:val="20"/>
              </w:rPr>
              <w:t>CP-09, CP-10, CP-11, CP-12, CP-13</w:t>
            </w:r>
          </w:p>
        </w:tc>
        <w:tc>
          <w:tcPr>
            <w:tcW w:type="dxa" w:w="2280"/>
          </w:tcPr>
          <w:p>
            <w:pPr>
              <w:spacing w:before="40" w:after="40"/>
            </w:pPr>
            <w:r>
              <w:rPr>
                <w:rFonts w:ascii="Arial" w:hAnsi="Arial"/>
                <w:sz w:val="20"/>
              </w:rPr>
              <w:t>RF-08, RF-09, RF-10, RF-12</w:t>
            </w:r>
          </w:p>
        </w:tc>
        <w:tc>
          <w:tcPr>
            <w:tcW w:type="dxa" w:w="2280"/>
          </w:tcPr>
          <w:p>
            <w:pPr>
              <w:spacing w:before="40" w:after="40"/>
            </w:pPr>
            <w:r>
              <w:rPr>
                <w:rFonts w:ascii="Arial" w:hAnsi="Arial"/>
                <w:sz w:val="20"/>
              </w:rPr>
              <w:t>Postulación, evaluación con timer, evidencias, resultado</w:t>
            </w:r>
          </w:p>
        </w:tc>
      </w:tr>
      <w:tr>
        <w:tc>
          <w:tcPr>
            <w:tcW w:type="dxa" w:w="2280"/>
          </w:tcPr>
          <w:p>
            <w:pPr>
              <w:spacing w:before="40" w:after="40"/>
            </w:pPr>
            <w:r>
              <w:rPr>
                <w:rFonts w:ascii="Arial" w:hAnsi="Arial"/>
                <w:sz w:val="20"/>
              </w:rPr>
              <w:t>E — Panel administrativo</w:t>
            </w:r>
          </w:p>
        </w:tc>
        <w:tc>
          <w:tcPr>
            <w:tcW w:type="dxa" w:w="2280"/>
          </w:tcPr>
          <w:p>
            <w:pPr>
              <w:spacing w:before="40" w:after="40"/>
            </w:pPr>
            <w:r>
              <w:rPr>
                <w:rFonts w:ascii="Arial" w:hAnsi="Arial"/>
                <w:sz w:val="20"/>
              </w:rPr>
              <w:t>CP-15, CP-16, CP-17, CP-18, CP-19, CP-20, CP-21, CP-22</w:t>
            </w:r>
          </w:p>
        </w:tc>
        <w:tc>
          <w:tcPr>
            <w:tcW w:type="dxa" w:w="2280"/>
          </w:tcPr>
          <w:p>
            <w:pPr>
              <w:spacing w:before="40" w:after="40"/>
            </w:pPr>
            <w:r>
              <w:rPr>
                <w:rFonts w:ascii="Arial" w:hAnsi="Arial"/>
                <w:sz w:val="20"/>
              </w:rPr>
              <w:t>RF-13 a RF-18, §5.10</w:t>
            </w:r>
          </w:p>
        </w:tc>
        <w:tc>
          <w:tcPr>
            <w:tcW w:type="dxa" w:w="2280"/>
          </w:tcPr>
          <w:p>
            <w:pPr>
              <w:spacing w:before="40" w:after="40"/>
            </w:pPr>
            <w:r>
              <w:rPr>
                <w:rFonts w:ascii="Arial" w:hAnsi="Arial"/>
                <w:sz w:val="20"/>
              </w:rPr>
              <w:t>Gestión, revisión, decisiones, seguridad</w:t>
            </w:r>
          </w:p>
        </w:tc>
      </w:tr>
    </w:tbl>
    <w:p/>
    <w:p>
      <w:pPr>
        <w:jc w:val="both"/>
      </w:pPr>
      <w:r>
        <w:rPr>
          <w:b/>
        </w:rPr>
        <w:t>Total:</w:t>
      </w:r>
      <w:r>
        <w:rPr>
          <w:rFonts w:ascii="Arial" w:hAnsi="Arial"/>
          <w:sz w:val="22"/>
        </w:rPr>
        <w:t xml:space="preserve"> 22 casos de prueba — 10 de alta prioridad, 10 de media prioridad, 2 de baja prioridad.</w:t>
      </w:r>
    </w:p>
    <w:p>
      <w:pPr>
        <w:jc w:val="both"/>
      </w:pPr>
      <w:r>
        <w:rPr>
          <w:rFonts w:ascii="Arial" w:hAnsi="Arial"/>
          <w:sz w:val="22"/>
        </w:rPr>
        <w:t xml:space="preserve">La descripción detallada de cada caso se encuentra en </w:t>
      </w:r>
      <w:r>
        <w:rPr>
          <w:rFonts w:ascii="Courier New" w:hAnsi="Courier New"/>
          <w:sz w:val="18"/>
        </w:rPr>
        <w:t>docs/titulacion/06a-matriz-casos-prueba.md</w:t>
      </w:r>
      <w:r>
        <w:rPr>
          <w:rFonts w:ascii="Arial" w:hAnsi="Arial"/>
          <w:sz w:val="22"/>
        </w:rPr>
        <w:t>.</w:t>
      </w:r>
    </w:p>
    <w:p>
      <w:pPr>
        <w:pStyle w:val="Heading3"/>
      </w:pPr>
      <w:r>
        <w:t>6.4.2 Prioridad de ejecución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Prioridad</w:t>
            </w:r>
          </w:p>
        </w:tc>
        <w:tc>
          <w:tcPr>
            <w:tcW w:type="dxa" w:w="3041"/>
          </w:tcPr>
          <w:p>
            <w:pPr>
              <w:spacing w:before="40" w:after="40"/>
            </w:pPr>
            <w:r>
              <w:rPr>
                <w:b/>
                <w:sz w:val="20"/>
              </w:rPr>
              <w:t>Casos</w:t>
            </w:r>
          </w:p>
        </w:tc>
        <w:tc>
          <w:tcPr>
            <w:tcW w:type="dxa" w:w="3041"/>
          </w:tcPr>
          <w:p>
            <w:pPr>
              <w:spacing w:before="40" w:after="40"/>
            </w:pPr>
            <w:r>
              <w:rPr>
                <w:b/>
                <w:sz w:val="20"/>
              </w:rPr>
              <w:t>Razón</w:t>
            </w:r>
          </w:p>
        </w:tc>
      </w:tr>
      <w:tr>
        <w:tc>
          <w:tcPr>
            <w:tcW w:type="dxa" w:w="3041"/>
          </w:tcPr>
          <w:p>
            <w:pPr>
              <w:spacing w:before="40" w:after="40"/>
            </w:pPr>
            <w:r>
              <w:rPr>
                <w:b/>
                <w:sz w:val="20"/>
              </w:rPr>
              <w:t>Alta</w:t>
            </w:r>
          </w:p>
        </w:tc>
        <w:tc>
          <w:tcPr>
            <w:tcW w:type="dxa" w:w="3041"/>
          </w:tcPr>
          <w:p>
            <w:pPr>
              <w:spacing w:before="40" w:after="40"/>
            </w:pPr>
            <w:r>
              <w:rPr>
                <w:rFonts w:ascii="Arial" w:hAnsi="Arial"/>
                <w:sz w:val="20"/>
              </w:rPr>
              <w:t>CP-01, CP-02, CP-03, CP-07, CP-08, CP-10, CP-12, CP-14, CP-19, CP-20</w:t>
            </w:r>
          </w:p>
        </w:tc>
        <w:tc>
          <w:tcPr>
            <w:tcW w:type="dxa" w:w="3041"/>
          </w:tcPr>
          <w:p>
            <w:pPr>
              <w:spacing w:before="40" w:after="40"/>
            </w:pPr>
            <w:r>
              <w:rPr>
                <w:rFonts w:ascii="Arial" w:hAnsi="Arial"/>
                <w:sz w:val="20"/>
              </w:rPr>
              <w:t>Cubren flujos críticos y discrepancias D-01 y D-02</w:t>
            </w:r>
          </w:p>
        </w:tc>
      </w:tr>
      <w:tr>
        <w:tc>
          <w:tcPr>
            <w:tcW w:type="dxa" w:w="3041"/>
          </w:tcPr>
          <w:p>
            <w:pPr>
              <w:spacing w:before="40" w:after="40"/>
            </w:pPr>
            <w:r>
              <w:rPr>
                <w:b/>
                <w:sz w:val="20"/>
              </w:rPr>
              <w:t>Media</w:t>
            </w:r>
          </w:p>
        </w:tc>
        <w:tc>
          <w:tcPr>
            <w:tcW w:type="dxa" w:w="3041"/>
          </w:tcPr>
          <w:p>
            <w:pPr>
              <w:spacing w:before="40" w:after="40"/>
            </w:pPr>
            <w:r>
              <w:rPr>
                <w:rFonts w:ascii="Arial" w:hAnsi="Arial"/>
                <w:sz w:val="20"/>
              </w:rPr>
              <w:t>CP-04, CP-05, CP-06, CP-09, CP-11, CP-13, CP-15, CP-16, CP-17, CP-18</w:t>
            </w:r>
          </w:p>
        </w:tc>
        <w:tc>
          <w:tcPr>
            <w:tcW w:type="dxa" w:w="3041"/>
          </w:tcPr>
          <w:p>
            <w:pPr>
              <w:spacing w:before="40" w:after="40"/>
            </w:pPr>
            <w:r>
              <w:rPr>
                <w:rFonts w:ascii="Arial" w:hAnsi="Arial"/>
                <w:sz w:val="20"/>
              </w:rPr>
              <w:t>Flujos secundarios y gestión administrativa</w:t>
            </w:r>
          </w:p>
        </w:tc>
      </w:tr>
      <w:tr>
        <w:tc>
          <w:tcPr>
            <w:tcW w:type="dxa" w:w="3041"/>
          </w:tcPr>
          <w:p>
            <w:pPr>
              <w:spacing w:before="40" w:after="40"/>
            </w:pPr>
            <w:r>
              <w:rPr>
                <w:b/>
                <w:sz w:val="20"/>
              </w:rPr>
              <w:t>Baja</w:t>
            </w:r>
          </w:p>
        </w:tc>
        <w:tc>
          <w:tcPr>
            <w:tcW w:type="dxa" w:w="3041"/>
          </w:tcPr>
          <w:p>
            <w:pPr>
              <w:spacing w:before="40" w:after="40"/>
            </w:pPr>
            <w:r>
              <w:rPr>
                <w:rFonts w:ascii="Arial" w:hAnsi="Arial"/>
                <w:sz w:val="20"/>
              </w:rPr>
              <w:t>CP-21, CP-22</w:t>
            </w:r>
          </w:p>
        </w:tc>
        <w:tc>
          <w:tcPr>
            <w:tcW w:type="dxa" w:w="3041"/>
          </w:tcPr>
          <w:p>
            <w:pPr>
              <w:spacing w:before="40" w:after="40"/>
            </w:pPr>
            <w:r>
              <w:rPr>
                <w:rFonts w:ascii="Arial" w:hAnsi="Arial"/>
                <w:sz w:val="20"/>
              </w:rPr>
              <w:t>Funcionalidad accesoria (evidencias desde admin, DevTools)</w:t>
            </w:r>
          </w:p>
        </w:tc>
      </w:tr>
    </w:tbl>
    <w:p/>
    <w:p>
      <w:pPr>
        <w:pStyle w:val="Heading3"/>
      </w:pPr>
      <w:r>
        <w:t>6.4.3 Casos para verificación empírica de discrepancias</w:t>
      </w:r>
    </w:p>
    <w:p>
      <w:pPr>
        <w:jc w:val="both"/>
      </w:pPr>
      <w:r>
        <w:rPr>
          <w:rFonts w:ascii="Arial" w:hAnsi="Arial"/>
          <w:sz w:val="22"/>
        </w:rPr>
        <w:t>Los siguientes casos están específicamente diseñados para confirmar empíricamente las discrepancias documentadas en el Capítulo V:</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Caso</w:t>
            </w:r>
          </w:p>
        </w:tc>
        <w:tc>
          <w:tcPr>
            <w:tcW w:type="dxa" w:w="3041"/>
          </w:tcPr>
          <w:p>
            <w:pPr>
              <w:spacing w:before="40" w:after="40"/>
            </w:pPr>
            <w:r>
              <w:rPr>
                <w:b/>
                <w:sz w:val="20"/>
              </w:rPr>
              <w:t>Discrepancia</w:t>
            </w:r>
          </w:p>
        </w:tc>
        <w:tc>
          <w:tcPr>
            <w:tcW w:type="dxa" w:w="3041"/>
          </w:tcPr>
          <w:p>
            <w:pPr>
              <w:spacing w:before="40" w:after="40"/>
            </w:pPr>
            <w:r>
              <w:rPr>
                <w:b/>
                <w:sz w:val="20"/>
              </w:rPr>
              <w:t>Objetivo de verificación</w:t>
            </w:r>
          </w:p>
        </w:tc>
      </w:tr>
      <w:tr>
        <w:tc>
          <w:tcPr>
            <w:tcW w:type="dxa" w:w="3041"/>
          </w:tcPr>
          <w:p>
            <w:pPr>
              <w:spacing w:before="40" w:after="40"/>
            </w:pPr>
            <w:r>
              <w:rPr>
                <w:rFonts w:ascii="Arial" w:hAnsi="Arial"/>
                <w:sz w:val="20"/>
              </w:rPr>
              <w:t>CP-08</w:t>
            </w:r>
          </w:p>
        </w:tc>
        <w:tc>
          <w:tcPr>
            <w:tcW w:type="dxa" w:w="3041"/>
          </w:tcPr>
          <w:p>
            <w:pPr>
              <w:spacing w:before="40" w:after="40"/>
            </w:pPr>
            <w:r>
              <w:rPr>
                <w:rFonts w:ascii="Arial" w:hAnsi="Arial"/>
                <w:sz w:val="20"/>
              </w:rPr>
              <w:t>D-01</w:t>
            </w:r>
          </w:p>
        </w:tc>
        <w:tc>
          <w:tcPr>
            <w:tcW w:type="dxa" w:w="3041"/>
          </w:tcPr>
          <w:p>
            <w:pPr>
              <w:spacing w:before="40" w:after="40"/>
            </w:pPr>
            <w:r>
              <w:rPr>
                <w:rFonts w:ascii="Arial" w:hAnsi="Arial"/>
                <w:sz w:val="20"/>
              </w:rPr>
              <w:t>Confirmar que un candidato con clasificación "Riesgo" en algún rasgo puede postularse sin bloqueo</w:t>
            </w:r>
          </w:p>
        </w:tc>
      </w:tr>
      <w:tr>
        <w:tc>
          <w:tcPr>
            <w:tcW w:type="dxa" w:w="3041"/>
          </w:tcPr>
          <w:p>
            <w:pPr>
              <w:spacing w:before="40" w:after="40"/>
            </w:pPr>
            <w:r>
              <w:rPr>
                <w:rFonts w:ascii="Arial" w:hAnsi="Arial"/>
                <w:sz w:val="20"/>
              </w:rPr>
              <w:t>CP-20</w:t>
            </w:r>
          </w:p>
        </w:tc>
        <w:tc>
          <w:tcPr>
            <w:tcW w:type="dxa" w:w="3041"/>
          </w:tcPr>
          <w:p>
            <w:pPr>
              <w:spacing w:before="40" w:after="40"/>
            </w:pPr>
            <w:r>
              <w:rPr>
                <w:rFonts w:ascii="Arial" w:hAnsi="Arial"/>
                <w:sz w:val="20"/>
              </w:rPr>
              <w:t>D-02</w:t>
            </w:r>
          </w:p>
        </w:tc>
        <w:tc>
          <w:tcPr>
            <w:tcW w:type="dxa" w:w="3041"/>
          </w:tcPr>
          <w:p>
            <w:pPr>
              <w:spacing w:before="40" w:after="40"/>
            </w:pPr>
            <w:r>
              <w:rPr>
                <w:rFonts w:ascii="Arial" w:hAnsi="Arial"/>
                <w:sz w:val="20"/>
              </w:rPr>
              <w:t xml:space="preserve">Confirmar que la decisión APPROVED se almacena en </w:t>
            </w:r>
            <w:r>
              <w:rPr>
                <w:rFonts w:ascii="Courier New" w:hAnsi="Courier New"/>
                <w:sz w:val="20"/>
              </w:rPr>
              <w:t>reviews</w:t>
            </w:r>
            <w:r>
              <w:rPr>
                <w:rFonts w:ascii="Arial" w:hAnsi="Arial"/>
                <w:sz w:val="20"/>
              </w:rPr>
              <w:t xml:space="preserve">, no solo en </w:t>
            </w:r>
            <w:r>
              <w:rPr>
                <w:rFonts w:ascii="Courier New" w:hAnsi="Courier New"/>
                <w:sz w:val="20"/>
              </w:rPr>
              <w:t>attempts.decision</w:t>
            </w:r>
          </w:p>
        </w:tc>
      </w:tr>
      <w:tr>
        <w:tc>
          <w:tcPr>
            <w:tcW w:type="dxa" w:w="3041"/>
          </w:tcPr>
          <w:p>
            <w:pPr>
              <w:spacing w:before="40" w:after="40"/>
            </w:pPr>
            <w:r>
              <w:rPr>
                <w:rFonts w:ascii="Arial" w:hAnsi="Arial"/>
                <w:sz w:val="20"/>
              </w:rPr>
              <w:t>CP-18</w:t>
            </w:r>
          </w:p>
        </w:tc>
        <w:tc>
          <w:tcPr>
            <w:tcW w:type="dxa" w:w="3041"/>
          </w:tcPr>
          <w:p>
            <w:pPr>
              <w:spacing w:before="40" w:after="40"/>
            </w:pPr>
            <w:r>
              <w:rPr>
                <w:rFonts w:ascii="Arial" w:hAnsi="Arial"/>
                <w:sz w:val="20"/>
              </w:rPr>
              <w:t>D-03</w:t>
            </w:r>
          </w:p>
        </w:tc>
        <w:tc>
          <w:tcPr>
            <w:tcW w:type="dxa" w:w="3041"/>
          </w:tcPr>
          <w:p>
            <w:pPr>
              <w:spacing w:before="40" w:after="40"/>
            </w:pPr>
            <w:r>
              <w:rPr>
                <w:rFonts w:ascii="Arial" w:hAnsi="Arial"/>
                <w:sz w:val="20"/>
              </w:rPr>
              <w:t xml:space="preserve">Confirmar comportamiento del endpoint </w:t>
            </w:r>
            <w:r>
              <w:rPr>
                <w:rFonts w:ascii="Courier New" w:hAnsi="Courier New"/>
                <w:sz w:val="20"/>
              </w:rPr>
              <w:t>/api/admin/attempts</w:t>
            </w:r>
            <w:r>
              <w:rPr>
                <w:rFonts w:ascii="Arial" w:hAnsi="Arial"/>
                <w:sz w:val="20"/>
              </w:rPr>
              <w:t xml:space="preserve"> y sus filtros</w:t>
            </w:r>
          </w:p>
        </w:tc>
      </w:tr>
      <w:tr>
        <w:tc>
          <w:tcPr>
            <w:tcW w:type="dxa" w:w="3041"/>
          </w:tcPr>
          <w:p>
            <w:pPr>
              <w:spacing w:before="40" w:after="40"/>
            </w:pPr>
            <w:r>
              <w:rPr>
                <w:rFonts w:ascii="Arial" w:hAnsi="Arial"/>
                <w:sz w:val="20"/>
              </w:rPr>
              <w:t>CP-03</w:t>
            </w:r>
          </w:p>
        </w:tc>
        <w:tc>
          <w:tcPr>
            <w:tcW w:type="dxa" w:w="3041"/>
          </w:tcPr>
          <w:p>
            <w:pPr>
              <w:spacing w:before="40" w:after="40"/>
            </w:pPr>
            <w:r>
              <w:rPr>
                <w:rFonts w:ascii="Arial" w:hAnsi="Arial"/>
                <w:sz w:val="20"/>
              </w:rPr>
              <w:t>D-04 indirecto</w:t>
            </w:r>
          </w:p>
        </w:tc>
        <w:tc>
          <w:tcPr>
            <w:tcW w:type="dxa" w:w="3041"/>
          </w:tcPr>
          <w:p>
            <w:pPr>
              <w:spacing w:before="40" w:after="40"/>
            </w:pPr>
            <w:r>
              <w:rPr>
                <w:rFonts w:ascii="Arial" w:hAnsi="Arial"/>
                <w:sz w:val="20"/>
              </w:rPr>
              <w:t>Confirmar que candidato con token de sesión no accede al área admin</w:t>
            </w:r>
          </w:p>
        </w:tc>
      </w:tr>
    </w:tbl>
    <w:p/>
    <w:p>
      <w:pPr>
        <w:pStyle w:val="Heading3"/>
      </w:pPr>
      <w:r>
        <w:t>6.4.4 Estado de los casos de prueba en el Corte 6A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Estado</w:t>
            </w:r>
          </w:p>
        </w:tc>
        <w:tc>
          <w:tcPr>
            <w:tcW w:type="dxa" w:w="2280"/>
          </w:tcPr>
          <w:p>
            <w:pPr>
              <w:spacing w:before="40" w:after="40"/>
            </w:pPr>
            <w:r>
              <w:rPr>
                <w:b/>
                <w:sz w:val="20"/>
              </w:rPr>
              <w:t>Cantidad</w:t>
            </w:r>
          </w:p>
        </w:tc>
        <w:tc>
          <w:tcPr>
            <w:tcW w:type="dxa" w:w="2280"/>
          </w:tcPr>
          <w:p>
            <w:pPr>
              <w:spacing w:before="40" w:after="40"/>
            </w:pPr>
            <w:r>
              <w:rPr>
                <w:b/>
                <w:sz w:val="20"/>
              </w:rPr>
              <w:t>Casos</w:t>
            </w:r>
          </w:p>
        </w:tc>
        <w:tc>
          <w:tcPr>
            <w:tcW w:type="dxa" w:w="2280"/>
          </w:tcPr>
          <w:p>
            <w:pPr>
              <w:spacing w:before="40" w:after="40"/>
            </w:pPr>
            <w:r>
              <w:rPr>
                <w:b/>
                <w:sz w:val="20"/>
              </w:rPr>
              <w:t>Motivo</w:t>
            </w:r>
          </w:p>
        </w:tc>
      </w:tr>
      <w:tr>
        <w:tc>
          <w:tcPr>
            <w:tcW w:type="dxa" w:w="2280"/>
          </w:tcPr>
          <w:p>
            <w:pPr>
              <w:spacing w:before="40" w:after="40"/>
            </w:pPr>
            <w:r>
              <w:rPr>
                <w:b/>
                <w:sz w:val="20"/>
              </w:rPr>
              <w:t>PASA</w:t>
            </w:r>
          </w:p>
        </w:tc>
        <w:tc>
          <w:tcPr>
            <w:tcW w:type="dxa" w:w="2280"/>
          </w:tcPr>
          <w:p>
            <w:pPr>
              <w:spacing w:before="40" w:after="40"/>
            </w:pPr>
            <w:r>
              <w:rPr>
                <w:rFonts w:ascii="Arial" w:hAnsi="Arial"/>
                <w:sz w:val="20"/>
              </w:rPr>
              <w:t>2</w:t>
            </w:r>
          </w:p>
        </w:tc>
        <w:tc>
          <w:tcPr>
            <w:tcW w:type="dxa" w:w="2280"/>
          </w:tcPr>
          <w:p>
            <w:pPr>
              <w:spacing w:before="40" w:after="40"/>
            </w:pPr>
            <w:r>
              <w:rPr>
                <w:rFonts w:ascii="Arial" w:hAnsi="Arial"/>
                <w:sz w:val="20"/>
              </w:rPr>
              <w:t>Verificación TypeScript, ESLint</w:t>
            </w:r>
          </w:p>
        </w:tc>
        <w:tc>
          <w:tcPr>
            <w:tcW w:type="dxa" w:w="2280"/>
          </w:tcPr>
          <w:p>
            <w:pPr>
              <w:spacing w:before="40" w:after="40"/>
            </w:pPr>
            <w:r>
              <w:rPr>
                <w:rFonts w:ascii="Arial" w:hAnsi="Arial"/>
                <w:sz w:val="20"/>
              </w:rPr>
              <w:t>Inspección estática ejecutada</w:t>
            </w:r>
          </w:p>
        </w:tc>
      </w:tr>
      <w:tr>
        <w:tc>
          <w:tcPr>
            <w:tcW w:type="dxa" w:w="2280"/>
          </w:tcPr>
          <w:p>
            <w:pPr>
              <w:spacing w:before="40" w:after="40"/>
            </w:pPr>
            <w:r>
              <w:rPr>
                <w:b/>
                <w:sz w:val="20"/>
              </w:rPr>
              <w:t>BLOQUEADO</w:t>
            </w:r>
          </w:p>
        </w:tc>
        <w:tc>
          <w:tcPr>
            <w:tcW w:type="dxa" w:w="2280"/>
          </w:tcPr>
          <w:p>
            <w:pPr>
              <w:spacing w:before="40" w:after="40"/>
            </w:pPr>
            <w:r>
              <w:rPr>
                <w:rFonts w:ascii="Arial" w:hAnsi="Arial"/>
                <w:sz w:val="20"/>
              </w:rPr>
              <w:t>22</w:t>
            </w:r>
          </w:p>
        </w:tc>
        <w:tc>
          <w:tcPr>
            <w:tcW w:type="dxa" w:w="2280"/>
          </w:tcPr>
          <w:p>
            <w:pPr>
              <w:spacing w:before="40" w:after="40"/>
            </w:pPr>
            <w:r>
              <w:rPr>
                <w:rFonts w:ascii="Arial" w:hAnsi="Arial"/>
                <w:sz w:val="20"/>
              </w:rPr>
              <w:t>CP-01 a CP-22</w:t>
            </w:r>
          </w:p>
        </w:tc>
        <w:tc>
          <w:tcPr>
            <w:tcW w:type="dxa" w:w="2280"/>
          </w:tcPr>
          <w:p>
            <w:pPr>
              <w:spacing w:before="40" w:after="40"/>
            </w:pPr>
            <w:r>
              <w:rPr>
                <w:rFonts w:ascii="Arial" w:hAnsi="Arial"/>
                <w:sz w:val="20"/>
              </w:rPr>
              <w:t>Requiere servidor activo + credenciales Supabase</w:t>
            </w:r>
          </w:p>
        </w:tc>
      </w:tr>
      <w:tr>
        <w:tc>
          <w:tcPr>
            <w:tcW w:type="dxa" w:w="2280"/>
          </w:tcPr>
          <w:p>
            <w:pPr>
              <w:spacing w:before="40" w:after="40"/>
            </w:pPr>
            <w:r>
              <w:rPr>
                <w:b/>
                <w:sz w:val="20"/>
              </w:rPr>
              <w:t>FALLA</w:t>
            </w:r>
          </w:p>
        </w:tc>
        <w:tc>
          <w:tcPr>
            <w:tcW w:type="dxa" w:w="2280"/>
          </w:tcPr>
          <w:p>
            <w:pPr>
              <w:spacing w:before="40" w:after="40"/>
            </w:pPr>
            <w:r>
              <w:rPr>
                <w:rFonts w:ascii="Arial" w:hAnsi="Arial"/>
                <w:sz w:val="20"/>
              </w:rPr>
              <w:t>0</w:t>
            </w:r>
          </w:p>
        </w:tc>
        <w:tc>
          <w:tcPr>
            <w:tcW w:type="dxa" w:w="2280"/>
          </w:tcPr>
          <w:p>
            <w:pPr>
              <w:spacing w:before="40" w:after="40"/>
            </w:pPr>
            <w:r>
              <w:rPr>
                <w:rFonts w:ascii="Arial" w:hAnsi="Arial"/>
                <w:sz w:val="20"/>
              </w:rPr>
              <w:t>—</w:t>
            </w:r>
          </w:p>
        </w:tc>
        <w:tc>
          <w:tcPr>
            <w:tcW w:type="dxa" w:w="2280"/>
          </w:tcPr>
          <w:p>
            <w:pPr>
              <w:spacing w:before="40" w:after="40"/>
            </w:pPr>
            <w:r>
              <w:rPr>
                <w:rFonts w:ascii="Arial" w:hAnsi="Arial"/>
                <w:sz w:val="20"/>
              </w:rPr>
              <w:t>—</w:t>
            </w:r>
          </w:p>
        </w:tc>
      </w:tr>
      <w:tr>
        <w:tc>
          <w:tcPr>
            <w:tcW w:type="dxa" w:w="2280"/>
          </w:tcPr>
          <w:p>
            <w:pPr>
              <w:spacing w:before="40" w:after="40"/>
            </w:pPr>
            <w:r>
              <w:rPr>
                <w:b/>
                <w:sz w:val="20"/>
              </w:rPr>
              <w:t>NO EJECUTADO</w:t>
            </w:r>
          </w:p>
        </w:tc>
        <w:tc>
          <w:tcPr>
            <w:tcW w:type="dxa" w:w="2280"/>
          </w:tcPr>
          <w:p>
            <w:pPr>
              <w:spacing w:before="40" w:after="40"/>
            </w:pPr>
            <w:r>
              <w:rPr>
                <w:rFonts w:ascii="Arial" w:hAnsi="Arial"/>
                <w:sz w:val="20"/>
              </w:rPr>
              <w:t>0</w:t>
            </w:r>
          </w:p>
        </w:tc>
        <w:tc>
          <w:tcPr>
            <w:tcW w:type="dxa" w:w="2280"/>
          </w:tcPr>
          <w:p>
            <w:pPr>
              <w:spacing w:before="40" w:after="40"/>
            </w:pPr>
            <w:r>
              <w:rPr>
                <w:rFonts w:ascii="Arial" w:hAnsi="Arial"/>
                <w:sz w:val="20"/>
              </w:rPr>
              <w:t>—</w:t>
            </w:r>
          </w:p>
        </w:tc>
        <w:tc>
          <w:tcPr>
            <w:tcW w:type="dxa" w:w="2280"/>
          </w:tcPr>
          <w:p>
            <w:pPr>
              <w:spacing w:before="40" w:after="40"/>
            </w:pPr>
            <w:r>
              <w:rPr>
                <w:rFonts w:ascii="Arial" w:hAnsi="Arial"/>
                <w:sz w:val="20"/>
              </w:rPr>
              <w:t>—</w:t>
            </w:r>
          </w:p>
        </w:tc>
      </w:tr>
    </w:tbl>
    <w:p/>
    <w:p>
      <w:pPr>
        <w:ind w:left="567" w:right="283"/>
        <w:pBdr>
          <w:left w:val="single" w:sz="12" w:space="12" w:color="888888"/>
        </w:pBdr>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pPr>
        <w:pStyle w:val="Heading2"/>
      </w:pPr>
      <w:r>
        <w:t>6.5 Ejecución y resultados de los casos de prueba</w:t>
      </w:r>
    </w:p>
    <w:p>
      <w:pPr>
        <w:jc w:val="center"/>
      </w:pPr>
      <w:r>
        <w:drawing>
          <wp:inline xmlns:a="http://schemas.openxmlformats.org/drawingml/2006/main" xmlns:pic="http://schemas.openxmlformats.org/drawingml/2006/picture">
            <wp:extent cx="5040000" cy="3150000"/>
            <wp:docPr id="51" name="Picture 51"/>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6.1. Evidencia del CP-07: comportamiento del guard de prerequisito psicométrico (Discrepancia D-01). Fuente: captura de pantalla propia, 2026.</w:t>
      </w:r>
    </w:p>
    <w:p>
      <w:pPr>
        <w:pStyle w:val="Heading3"/>
      </w:pPr>
      <w:r>
        <w:t>6.5.1 Contexto de ejecución</w:t>
      </w:r>
    </w:p>
    <w:p>
      <w:pPr>
        <w:jc w:val="center"/>
      </w:pPr>
      <w:r>
        <w:drawing>
          <wp:inline xmlns:a="http://schemas.openxmlformats.org/drawingml/2006/main" xmlns:pic="http://schemas.openxmlformats.org/drawingml/2006/picture">
            <wp:extent cx="5040000" cy="3150000"/>
            <wp:docPr id="52" name="Picture 52"/>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6.1. Evidencia del CP-07: comportamiento del guard de prerequisito psicométrico (Discrepancia D-01). Fuente: captura de pantalla propia, 2026.</w:t>
      </w:r>
    </w:p>
    <w:p>
      <w:pPr>
        <w:jc w:val="both"/>
      </w:pPr>
      <w:r>
        <w:rPr>
          <w:rFonts w:ascii="Arial" w:hAnsi="Arial"/>
          <w:sz w:val="22"/>
        </w:rPr>
        <w:t xml:space="preserve">Los casos de prueba CP-01 a CP-22 se ejecutaron el 22 de octubre de 2026 en la sesión 6B-S1. El entorno consistió en el servidor de desarrollo Next.js en </w:t>
      </w:r>
      <w:r>
        <w:rPr>
          <w:rFonts w:ascii="Courier New" w:hAnsi="Courier New"/>
          <w:sz w:val="18"/>
        </w:rPr>
        <w:t>localhost:3000</w:t>
      </w:r>
      <w:r>
        <w:rPr>
          <w:rFonts w:ascii="Arial" w:hAnsi="Arial"/>
          <w:sz w:val="22"/>
        </w:rPr>
        <w:t xml:space="preserve"> (</w:t>
      </w:r>
      <w:r>
        <w:rPr>
          <w:rFonts w:ascii="Courier New" w:hAnsi="Courier New"/>
          <w:sz w:val="18"/>
        </w:rPr>
        <w:t>npm run dev</w:t>
      </w:r>
      <w:r>
        <w:rPr>
          <w:rFonts w:ascii="Arial" w:hAnsi="Arial"/>
          <w:sz w:val="22"/>
        </w:rPr>
        <w:t xml:space="preserve">) y el proyecto Supabase UcesCap en su instancia remota. Las pruebas se realizaron mediante llamadas HTTP con </w:t>
      </w:r>
      <w:r>
        <w:rPr>
          <w:rFonts w:ascii="Courier New" w:hAnsi="Courier New"/>
          <w:sz w:val="18"/>
        </w:rPr>
        <w:t>curl</w:t>
      </w:r>
      <w:r>
        <w:rPr>
          <w:rFonts w:ascii="Arial" w:hAnsi="Arial"/>
          <w:sz w:val="22"/>
        </w:rPr>
        <w:t xml:space="preserve"> y scripts Node.js con </w:t>
      </w:r>
      <w:r>
        <w:rPr>
          <w:rFonts w:ascii="Courier New" w:hAnsi="Courier New"/>
          <w:sz w:val="18"/>
        </w:rPr>
        <w:t>@supabase/supabase-js</w:t>
      </w:r>
      <w:r>
        <w:rPr>
          <w:rFonts w:ascii="Arial" w:hAnsi="Arial"/>
          <w:sz w:val="22"/>
        </w:rPr>
        <w:t>. No se empleó un framework de automatización; la verificación fue manual y documentada a través de las respuestas de API.</w:t>
      </w:r>
    </w:p>
    <w:p>
      <w:pPr>
        <w:pStyle w:val="Heading3"/>
      </w:pPr>
      <w:r>
        <w:t>6.5.2 Resultados por categoría</w:t>
      </w:r>
    </w:p>
    <w:p>
      <w:pPr>
        <w:jc w:val="center"/>
      </w:pPr>
      <w:r>
        <w:drawing>
          <wp:inline xmlns:a="http://schemas.openxmlformats.org/drawingml/2006/main" xmlns:pic="http://schemas.openxmlformats.org/drawingml/2006/picture">
            <wp:extent cx="5040000" cy="3150000"/>
            <wp:docPr id="53" name="Picture 53"/>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jc w:val="center"/>
      </w:pPr>
      <w:r>
        <w:drawing>
          <wp:inline xmlns:a="http://schemas.openxmlformats.org/drawingml/2006/main" xmlns:pic="http://schemas.openxmlformats.org/drawingml/2006/picture">
            <wp:extent cx="5040000" cy="3150000"/>
            <wp:docPr id="54" name="Picture 54"/>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6.1. Evidencia del CP-07: comportamiento del guard de prerequisito psicométrico (Discrepancia D-01). Fuente: captura de pantalla propia, 2026.</w:t>
      </w:r>
    </w:p>
    <w:p>
      <w:pPr>
        <w:pStyle w:val="Heading4"/>
      </w:pPr>
      <w:r>
        <w:t>Flujo del candidato (CP-01 a CP-14)</w:t>
      </w:r>
    </w:p>
    <w:p>
      <w:pPr>
        <w:jc w:val="both"/>
      </w:pPr>
      <w:r>
        <w:rPr>
          <w:b/>
        </w:rPr>
        <w:t>CP-01 — Registro de candidato.</w:t>
      </w:r>
      <w:r>
        <w:rPr>
          <w:rFonts w:ascii="Arial" w:hAnsi="Arial"/>
          <w:sz w:val="22"/>
        </w:rPr>
        <w:t xml:space="preserve"> La solicitud </w:t>
      </w:r>
      <w:r>
        <w:rPr>
          <w:rFonts w:ascii="Courier New" w:hAnsi="Courier New"/>
          <w:sz w:val="18"/>
        </w:rPr>
        <w:t>POST /api/auth/register</w:t>
      </w:r>
      <w:r>
        <w:rPr>
          <w:rFonts w:ascii="Arial" w:hAnsi="Arial"/>
          <w:sz w:val="22"/>
        </w:rPr>
        <w:t xml:space="preserve"> devolvió HTTP 201 </w:t>
      </w:r>
      <w:r>
        <w:rPr>
          <w:rFonts w:ascii="Courier New" w:hAnsi="Courier New"/>
          <w:sz w:val="18"/>
        </w:rPr>
        <w:t>{"message":"Usuario creado"}</w:t>
      </w:r>
      <w:r>
        <w:rPr>
          <w:rFonts w:ascii="Arial" w:hAnsi="Arial"/>
          <w:sz w:val="22"/>
        </w:rPr>
        <w:t>. La CURP fue procesada como hash HMAC-SHA256, confirmando RF-01.</w:t>
      </w:r>
    </w:p>
    <w:p>
      <w:pPr>
        <w:jc w:val="both"/>
      </w:pPr>
      <w:r>
        <w:rPr>
          <w:b/>
        </w:rPr>
        <w:t>CP-02a — Registro con CURP duplicada.</w:t>
      </w:r>
      <w:r>
        <w:rPr>
          <w:rFonts w:ascii="Arial" w:hAnsi="Arial"/>
          <w:sz w:val="22"/>
        </w:rPr>
        <w:t xml:space="preserve"> La segunda solicitud con la misma CURP devolvió HTTP 400 </w:t>
      </w:r>
      <w:r>
        <w:rPr>
          <w:rFonts w:ascii="Courier New" w:hAnsi="Courier New"/>
          <w:sz w:val="18"/>
        </w:rPr>
        <w:t>{"error":"Esta CURP ya está registrada"}</w:t>
      </w:r>
      <w:r>
        <w:rPr>
          <w:rFonts w:ascii="Arial" w:hAnsi="Arial"/>
          <w:sz w:val="22"/>
        </w:rPr>
        <w:t>, verificando el control de unicidad.</w:t>
      </w:r>
    </w:p>
    <w:p>
      <w:pPr>
        <w:jc w:val="both"/>
      </w:pPr>
      <w:r>
        <w:rPr>
          <w:b/>
        </w:rPr>
        <w:t>CP-02b — Inicio de sesión.</w:t>
      </w:r>
      <w:r>
        <w:rPr>
          <w:rFonts w:ascii="Arial" w:hAnsi="Arial"/>
          <w:sz w:val="22"/>
        </w:rPr>
        <w:t xml:space="preserve"> La autenticación mediante correo electrónico y contraseña produjo un JWT válido, satisfaciendo RF-02.</w:t>
      </w:r>
    </w:p>
    <w:p>
      <w:pPr>
        <w:jc w:val="both"/>
      </w:pPr>
      <w:r>
        <w:rPr>
          <w:b/>
        </w:rPr>
        <w:t>CP-03 — Protección del área administrativa.</w:t>
      </w:r>
      <w:r>
        <w:rPr>
          <w:rFonts w:ascii="Arial" w:hAnsi="Arial"/>
          <w:sz w:val="22"/>
        </w:rPr>
        <w:t xml:space="preserve"> El intento de acceder a </w:t>
      </w:r>
      <w:r>
        <w:rPr>
          <w:rFonts w:ascii="Courier New" w:hAnsi="Courier New"/>
          <w:sz w:val="18"/>
        </w:rPr>
        <w:t>GET /api/admin/modules</w:t>
      </w:r>
      <w:r>
        <w:rPr>
          <w:rFonts w:ascii="Arial" w:hAnsi="Arial"/>
          <w:sz w:val="22"/>
        </w:rPr>
        <w:t xml:space="preserve"> con el token del candidato devolvió HTTP 403 </w:t>
      </w:r>
      <w:r>
        <w:rPr>
          <w:rFonts w:ascii="Courier New" w:hAnsi="Courier New"/>
          <w:sz w:val="18"/>
        </w:rPr>
        <w:t>{"error":"Acceso restringido"}</w:t>
      </w:r>
      <w:r>
        <w:rPr>
          <w:rFonts w:ascii="Arial" w:hAnsi="Arial"/>
          <w:sz w:val="22"/>
        </w:rPr>
        <w:t xml:space="preserve">, confirmando la cuarta verificación de </w:t>
      </w:r>
      <w:r>
        <w:rPr>
          <w:rFonts w:ascii="Courier New" w:hAnsi="Courier New"/>
          <w:sz w:val="18"/>
        </w:rPr>
        <w:t>requireAdmin</w:t>
      </w:r>
      <w:r>
        <w:rPr>
          <w:rFonts w:ascii="Arial" w:hAnsi="Arial"/>
          <w:sz w:val="22"/>
        </w:rPr>
        <w:t>.</w:t>
      </w:r>
    </w:p>
    <w:p>
      <w:pPr>
        <w:jc w:val="both"/>
      </w:pPr>
      <w:r>
        <w:rPr>
          <w:b/>
        </w:rPr>
        <w:t>CP-07 — Bloqueo psicométrico previo a la postulación.</w:t>
      </w:r>
      <w:r>
        <w:rPr>
          <w:rFonts w:ascii="Arial" w:hAnsi="Arial"/>
          <w:sz w:val="22"/>
        </w:rPr>
        <w:t xml:space="preserve"> La solicitud </w:t>
      </w:r>
      <w:r>
        <w:rPr>
          <w:rFonts w:ascii="Courier New" w:hAnsi="Courier New"/>
          <w:sz w:val="18"/>
        </w:rPr>
        <w:t>POST /api/vacancies/{id}/apply</w:t>
      </w:r>
      <w:r>
        <w:rPr>
          <w:rFonts w:ascii="Arial" w:hAnsi="Arial"/>
          <w:sz w:val="22"/>
        </w:rPr>
        <w:t xml:space="preserve"> sin psicométrico completado devolvió HTTP 403 </w:t>
      </w:r>
      <w:r>
        <w:rPr>
          <w:rFonts w:ascii="Courier New" w:hAnsi="Courier New"/>
          <w:sz w:val="18"/>
        </w:rPr>
        <w:t>{"requiresPsychometric":true,"redirectTo":"/psicometrico"}</w:t>
      </w:r>
      <w:r>
        <w:rPr>
          <w:rFonts w:ascii="Arial" w:hAnsi="Arial"/>
          <w:sz w:val="22"/>
        </w:rPr>
        <w:t xml:space="preserve">. Confirma el guard en </w:t>
      </w:r>
      <w:r>
        <w:rPr>
          <w:rFonts w:ascii="Courier New" w:hAnsi="Courier New"/>
          <w:sz w:val="18"/>
        </w:rPr>
        <w:t>apply/route.ts</w:t>
      </w:r>
      <w:r>
        <w:rPr>
          <w:rFonts w:ascii="Arial" w:hAnsi="Arial"/>
          <w:sz w:val="22"/>
        </w:rPr>
        <w:t>.</w:t>
      </w:r>
    </w:p>
    <w:p>
      <w:pPr>
        <w:jc w:val="both"/>
      </w:pPr>
      <w:r>
        <w:rPr>
          <w:b/>
        </w:rPr>
        <w:t>CP-14 — Evaluación psicométrica completa.</w:t>
      </w:r>
      <w:r>
        <w:rPr>
          <w:rFonts w:ascii="Arial" w:hAnsi="Arial"/>
          <w:sz w:val="22"/>
        </w:rPr>
        <w:t xml:space="preserve"> Se ejecutó el flujo íntegro: </w:t>
      </w:r>
      <w:r>
        <w:rPr>
          <w:rFonts w:ascii="Courier New" w:hAnsi="Courier New"/>
          <w:sz w:val="18"/>
        </w:rPr>
        <w:t>POST /api/psicometrico/start</w:t>
      </w:r>
      <w:r>
        <w:rPr>
          <w:rFonts w:ascii="Arial" w:hAnsi="Arial"/>
          <w:sz w:val="22"/>
        </w:rPr>
        <w:t xml:space="preserve"> creó el intento; las 20 preguntas </w:t>
      </w:r>
      <w:r>
        <w:rPr>
          <w:rFonts w:ascii="Courier New" w:hAnsi="Courier New"/>
          <w:sz w:val="18"/>
        </w:rPr>
        <w:t>MINI_BIG_FIVE</w:t>
      </w:r>
      <w:r>
        <w:rPr>
          <w:rFonts w:ascii="Arial" w:hAnsi="Arial"/>
          <w:sz w:val="22"/>
        </w:rPr>
        <w:t xml:space="preserve"> fueron respondidas con Likert 4; </w:t>
      </w:r>
      <w:r>
        <w:rPr>
          <w:rFonts w:ascii="Courier New" w:hAnsi="Courier New"/>
          <w:sz w:val="18"/>
        </w:rPr>
        <w:t>POST /api/attempts/{id}/submit</w:t>
      </w:r>
      <w:r>
        <w:rPr>
          <w:rFonts w:ascii="Arial" w:hAnsi="Arial"/>
          <w:sz w:val="22"/>
        </w:rPr>
        <w:t xml:space="preserve"> devolvió </w:t>
      </w:r>
      <w:r>
        <w:rPr>
          <w:rFonts w:ascii="Courier New" w:hAnsi="Courier New"/>
          <w:sz w:val="18"/>
        </w:rPr>
        <w:t>theoryScore: 100</w:t>
      </w:r>
      <w:r>
        <w:rPr>
          <w:rFonts w:ascii="Arial" w:hAnsi="Arial"/>
          <w:sz w:val="22"/>
        </w:rPr>
        <w:t xml:space="preserve"> con los cinco rasgos en clasificación "Alta". Extroversión mostró la leyenda "No es filtro de contratación, solo indicador de integración." Confirma RF-03 y los umbrales documentados (≥16: Alta; ≥11: Adecuada; &lt;11: Riesgo).</w:t>
      </w:r>
    </w:p>
    <w:p>
      <w:pPr>
        <w:jc w:val="both"/>
      </w:pPr>
      <w:r>
        <w:rPr>
          <w:b/>
        </w:rPr>
        <w:t>CP-08 — Postulación con psicométrico completado — verificación de D-01.</w:t>
      </w:r>
      <w:r>
        <w:rPr>
          <w:rFonts w:ascii="Arial" w:hAnsi="Arial"/>
          <w:sz w:val="22"/>
        </w:rPr>
        <w:t xml:space="preserve"> Con el psicométrico completado, </w:t>
      </w:r>
      <w:r>
        <w:rPr>
          <w:rFonts w:ascii="Courier New" w:hAnsi="Courier New"/>
          <w:sz w:val="18"/>
        </w:rPr>
        <w:t>POST /api/vacancies/{id}/apply</w:t>
      </w:r>
      <w:r>
        <w:rPr>
          <w:rFonts w:ascii="Arial" w:hAnsi="Arial"/>
          <w:sz w:val="22"/>
        </w:rPr>
        <w:t xml:space="preserve"> devolvió HTTP 200 </w:t>
      </w:r>
      <w:r>
        <w:rPr>
          <w:rFonts w:ascii="Courier New" w:hAnsi="Courier New"/>
          <w:sz w:val="18"/>
        </w:rPr>
        <w:t>{"attemptId":"96a257b4-..."}</w:t>
      </w:r>
      <w:r>
        <w:rPr>
          <w:rFonts w:ascii="Arial" w:hAnsi="Arial"/>
          <w:sz w:val="22"/>
        </w:rPr>
        <w:t xml:space="preserve">. D-01 queda confirmada empíricamente: el guard verificó únicamente </w:t>
      </w:r>
      <w:r>
        <w:rPr>
          <w:rFonts w:ascii="Courier New" w:hAnsi="Courier New"/>
          <w:sz w:val="18"/>
        </w:rPr>
        <w:t>psicometricoState.completed</w:t>
      </w:r>
      <w:r>
        <w:rPr>
          <w:rFonts w:ascii="Arial" w:hAnsi="Arial"/>
          <w:sz w:val="22"/>
        </w:rPr>
        <w:t>, sin considerar las clasificaciones obtenidas.</w:t>
      </w:r>
    </w:p>
    <w:p>
      <w:pPr>
        <w:jc w:val="both"/>
      </w:pPr>
      <w:r>
        <w:rPr>
          <w:b/>
        </w:rPr>
        <w:t>CP-09 — Idempotencia de la postulación.</w:t>
      </w:r>
      <w:r>
        <w:rPr>
          <w:rFonts w:ascii="Arial" w:hAnsi="Arial"/>
          <w:sz w:val="22"/>
        </w:rPr>
        <w:t xml:space="preserve"> La segunda solicitud </w:t>
      </w:r>
      <w:r>
        <w:rPr>
          <w:rFonts w:ascii="Courier New" w:hAnsi="Courier New"/>
          <w:sz w:val="18"/>
        </w:rPr>
        <w:t>POST /api/vacancies/{id}/apply</w:t>
      </w:r>
      <w:r>
        <w:rPr>
          <w:rFonts w:ascii="Arial" w:hAnsi="Arial"/>
          <w:sz w:val="22"/>
        </w:rPr>
        <w:t xml:space="preserve"> devolvió HTTP 200 con el mismo </w:t>
      </w:r>
      <w:r>
        <w:rPr>
          <w:rFonts w:ascii="Courier New" w:hAnsi="Courier New"/>
          <w:sz w:val="18"/>
        </w:rPr>
        <w:t>attemptId</w:t>
      </w:r>
      <w:r>
        <w:rPr>
          <w:rFonts w:ascii="Arial" w:hAnsi="Arial"/>
          <w:sz w:val="22"/>
        </w:rPr>
        <w:t>, sin crear registros duplicados. Satisface RF-09.</w:t>
      </w:r>
    </w:p>
    <w:p>
      <w:pPr>
        <w:jc w:val="both"/>
      </w:pPr>
      <w:r>
        <w:rPr>
          <w:b/>
        </w:rPr>
        <w:t>CP-10 — Envío de respuestas.</w:t>
      </w:r>
      <w:r>
        <w:rPr>
          <w:rFonts w:ascii="Arial" w:hAnsi="Arial"/>
          <w:sz w:val="22"/>
        </w:rP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rPr>
          <w:rFonts w:ascii="Arial" w:hAnsi="Arial"/>
          <w:sz w:val="22"/>
        </w:rPr>
        <w:t xml:space="preserve"> sin </w:t>
      </w:r>
      <w:r>
        <w:rPr>
          <w:rFonts w:ascii="Courier New" w:hAnsi="Courier New"/>
          <w:sz w:val="18"/>
        </w:rPr>
        <w:t>onConflict: "attempt_id,question_id"</w:t>
      </w:r>
      <w:r>
        <w:rPr>
          <w:rFonts w:ascii="Arial" w:hAnsi="Arial"/>
          <w:sz w:val="22"/>
        </w:rPr>
        <w:t xml:space="preserve">, lo que produce un INSERT fallido por la restricción única compuesta de la tabla </w:t>
      </w:r>
      <w:r>
        <w:rPr>
          <w:rFonts w:ascii="Courier New" w:hAnsi="Courier New"/>
          <w:sz w:val="18"/>
        </w:rPr>
        <w:t>answers</w:t>
      </w:r>
      <w:r>
        <w:rPr>
          <w:rFonts w:ascii="Arial" w:hAnsi="Arial"/>
          <w:sz w:val="22"/>
        </w:rPr>
        <w:t>.</w:t>
      </w:r>
    </w:p>
    <w:p>
      <w:pPr>
        <w:jc w:val="both"/>
      </w:pPr>
      <w:r>
        <w:rPr>
          <w:b/>
        </w:rPr>
        <w:t>CP-12 — Subida de evidencia.</w:t>
      </w:r>
      <w:r>
        <w:rPr>
          <w:rFonts w:ascii="Arial" w:hAnsi="Arial"/>
          <w:sz w:val="22"/>
        </w:rPr>
        <w:t xml:space="preserve"> Un archivo PDF de prueba fue subido al bucket </w:t>
      </w:r>
      <w:r>
        <w:rPr>
          <w:rFonts w:ascii="Courier New" w:hAnsi="Courier New"/>
          <w:sz w:val="18"/>
        </w:rPr>
        <w:t>evidences</w:t>
      </w:r>
      <w:r>
        <w:rPr>
          <w:rFonts w:ascii="Arial" w:hAnsi="Arial"/>
          <w:sz w:val="22"/>
        </w:rPr>
        <w:t xml:space="preserve"> y registrado en </w:t>
      </w:r>
      <w:r>
        <w:rPr>
          <w:rFonts w:ascii="Courier New" w:hAnsi="Courier New"/>
          <w:sz w:val="18"/>
        </w:rPr>
        <w:t>evidence_uploads</w:t>
      </w:r>
      <w:r>
        <w:rPr>
          <w:rFonts w:ascii="Arial" w:hAnsi="Arial"/>
          <w:sz w:val="22"/>
        </w:rPr>
        <w:t>, confirmando que las políticas RLS permiten uploads autenticados al prefijo del intento.</w:t>
      </w:r>
    </w:p>
    <w:p>
      <w:pPr>
        <w:jc w:val="both"/>
      </w:pPr>
      <w:r>
        <w:rPr>
          <w:b/>
        </w:rPr>
        <w:t>CP-13 — Envío del intento de evaluación.</w:t>
      </w:r>
      <w:r>
        <w:rPr>
          <w:rFonts w:ascii="Arial" w:hAnsi="Arial"/>
          <w:sz w:val="22"/>
        </w:rPr>
        <w:t xml:space="preserve"> </w:t>
      </w:r>
      <w:r>
        <w:rPr>
          <w:rFonts w:ascii="Courier New" w:hAnsi="Courier New"/>
          <w:sz w:val="18"/>
        </w:rPr>
        <w:t>POST /api/attempts/{id}/submit</w:t>
      </w:r>
      <w:r>
        <w:rPr>
          <w:rFonts w:ascii="Arial" w:hAnsi="Arial"/>
          <w:sz w:val="22"/>
        </w:rPr>
        <w:t xml:space="preserve"> devolvió </w:t>
      </w:r>
      <w:r>
        <w:rPr>
          <w:rFonts w:ascii="Courier New" w:hAnsi="Courier New"/>
          <w:sz w:val="18"/>
        </w:rPr>
        <w:t>theoryScore: 0</w:t>
      </w:r>
      <w:r>
        <w:rPr>
          <w:rFonts w:ascii="Arial" w:hAnsi="Arial"/>
          <w:sz w:val="22"/>
        </w:rPr>
        <w:t xml:space="preserve"> para la evaluación de conocimientos. Confirmado: </w:t>
      </w:r>
      <w:r>
        <w:rPr>
          <w:rFonts w:ascii="Courier New" w:hAnsi="Courier New"/>
          <w:sz w:val="18"/>
        </w:rPr>
        <w:t>calculatePsicometricoSummary</w:t>
      </w:r>
      <w:r>
        <w:rPr>
          <w:rFonts w:ascii="Arial" w:hAnsi="Arial"/>
          <w:sz w:val="22"/>
        </w:rPr>
        <w:t xml:space="preserve"> retorna </w:t>
      </w:r>
      <w:r>
        <w:rPr>
          <w:rFonts w:ascii="Courier New" w:hAnsi="Courier New"/>
          <w:sz w:val="18"/>
        </w:rPr>
        <w:t>likertAnswered: 0</w:t>
      </w:r>
      <w:r>
        <w:rPr>
          <w:rFonts w:ascii="Arial" w:hAnsi="Arial"/>
          <w:sz w:val="22"/>
        </w:rPr>
        <w:t xml:space="preserve"> para preguntas sin prefijo </w:t>
      </w:r>
      <w:r>
        <w:rPr>
          <w:rFonts w:ascii="Courier New" w:hAnsi="Courier New"/>
          <w:sz w:val="18"/>
        </w:rPr>
        <w:t>MINI_BIG_FIVE</w:t>
      </w:r>
      <w:r>
        <w:rPr>
          <w:rFonts w:ascii="Arial" w:hAnsi="Arial"/>
          <w:sz w:val="22"/>
        </w:rPr>
        <w:t xml:space="preserve"> (corrección C5C-04).</w:t>
      </w:r>
    </w:p>
    <w:p>
      <w:pPr>
        <w:pStyle w:val="Heading4"/>
      </w:pPr>
      <w:r>
        <w:t>Flujo del administrador (CP-15 a CP-22)</w:t>
      </w:r>
    </w:p>
    <w:p>
      <w:pPr>
        <w:jc w:val="center"/>
      </w:pPr>
      <w:r>
        <w:drawing>
          <wp:inline xmlns:a="http://schemas.openxmlformats.org/drawingml/2006/main" xmlns:pic="http://schemas.openxmlformats.org/drawingml/2006/picture">
            <wp:extent cx="5040000" cy="3150000"/>
            <wp:docPr id="55" name="Picture 55"/>
            <wp:cNvGraphicFramePr>
              <a:graphicFrameLocks noChangeAspect="1"/>
            </wp:cNvGraphicFramePr>
            <a:graphic>
              <a:graphicData uri="http://schemas.openxmlformats.org/drawingml/2006/picture">
                <pic:pic>
                  <pic:nvPicPr>
                    <pic:cNvPr id="0" name="EV-6C-07-cp22-rls.png"/>
                    <pic:cNvPicPr/>
                  </pic:nvPicPr>
                  <pic:blipFill>
                    <a:blip r:embed="rId22"/>
                    <a:stretch>
                      <a:fillRect/>
                    </a:stretch>
                  </pic:blipFill>
                  <pic:spPr>
                    <a:xfrm>
                      <a:off x="0" y="0"/>
                      <a:ext cx="5040000" cy="3150000"/>
                    </a:xfrm>
                    <a:prstGeom prst="rect"/>
                  </pic:spPr>
                </pic:pic>
              </a:graphicData>
            </a:graphic>
          </wp:inline>
        </w:drawing>
      </w:r>
    </w:p>
    <w:p>
      <w:pPr>
        <w:pStyle w:val="FigureCaption"/>
      </w:pPr>
      <w:r>
        <w:t>Figura 6.4. Evidencia del CP-22: acceso restringido por Row Level Security activo en Supabase. Fuente: captura de pantalla propia, 2026.</w:t>
      </w:r>
    </w:p>
    <w:p>
      <w:pPr>
        <w:jc w:val="both"/>
      </w:pPr>
      <w:r>
        <w:rPr>
          <w:b/>
        </w:rPr>
        <w:t>CP-15 a CP-17 — Panel de administración.</w:t>
      </w:r>
      <w:r>
        <w:rPr>
          <w:rFonts w:ascii="Arial" w:hAnsi="Arial"/>
          <w:sz w:val="22"/>
        </w:rPr>
        <w:t xml:space="preserve"> Los endpoints </w:t>
      </w:r>
      <w:r>
        <w:rPr>
          <w:rFonts w:ascii="Courier New" w:hAnsi="Courier New"/>
          <w:sz w:val="18"/>
        </w:rPr>
        <w:t>GET /api/admin/modules</w:t>
      </w:r>
      <w:r>
        <w:rPr>
          <w:rFonts w:ascii="Arial" w:hAnsi="Arial"/>
          <w:sz w:val="22"/>
        </w:rPr>
        <w:t xml:space="preserve">, </w:t>
      </w:r>
      <w:r>
        <w:rPr>
          <w:rFonts w:ascii="Courier New" w:hAnsi="Courier New"/>
          <w:sz w:val="18"/>
        </w:rPr>
        <w:t>GET /api/admin/vacancies</w:t>
      </w:r>
      <w:r>
        <w:rPr>
          <w:rFonts w:ascii="Arial" w:hAnsi="Arial"/>
          <w:sz w:val="22"/>
        </w:rPr>
        <w:t xml:space="preserve"> y </w:t>
      </w:r>
      <w:r>
        <w:rPr>
          <w:rFonts w:ascii="Courier New" w:hAnsi="Courier New"/>
          <w:sz w:val="18"/>
        </w:rPr>
        <w:t>GET /api/admin/assessments</w:t>
      </w:r>
      <w:r>
        <w:rPr>
          <w:rFonts w:ascii="Arial" w:hAnsi="Arial"/>
          <w:sz w:val="22"/>
        </w:rPr>
        <w:t xml:space="preserve"> devolvieron HTTP 200 con las listas respectivas, confirmando RF-13, RF-14 y RF-15.</w:t>
      </w:r>
    </w:p>
    <w:p>
      <w:pPr>
        <w:jc w:val="both"/>
      </w:pPr>
      <w:r>
        <w:rPr>
          <w:b/>
        </w:rPr>
        <w:t>CP-18 — Estadísticas de vacante — verificación de D-03.</w:t>
      </w:r>
      <w:r>
        <w:rPr>
          <w:rFonts w:ascii="Arial" w:hAnsi="Arial"/>
          <w:sz w:val="22"/>
        </w:rPr>
        <w:t xml:space="preserve"> </w:t>
      </w:r>
      <w:r>
        <w:rPr>
          <w:rFonts w:ascii="Courier New" w:hAnsi="Courier New"/>
          <w:sz w:val="18"/>
        </w:rPr>
        <w:t>GET /api/admin/vacancies/{id}/stats</w:t>
      </w:r>
      <w:r>
        <w:rPr>
          <w:rFonts w:ascii="Arial" w:hAnsi="Arial"/>
          <w:sz w:val="22"/>
        </w:rPr>
        <w:t xml:space="preserve"> devolvió HTTP 200 </w:t>
      </w:r>
      <w:r>
        <w:rPr>
          <w:rFonts w:ascii="Courier New" w:hAnsi="Courier New"/>
          <w:sz w:val="18"/>
        </w:rPr>
        <w:t>{"data":{"applicationsCount":1,"attemptsCount":1}}</w:t>
      </w:r>
      <w:r>
        <w:rPr>
          <w:rFonts w:ascii="Arial" w:hAnsi="Arial"/>
          <w:sz w:val="22"/>
        </w:rPr>
        <w:t>. Solo 2 métricas, sin distribución de scores ni otras métricas del diseño original. Confirma empíricamente D-03.</w:t>
      </w:r>
    </w:p>
    <w:p>
      <w:pPr>
        <w:jc w:val="both"/>
      </w:pPr>
      <w:r>
        <w:rPr>
          <w:b/>
        </w:rPr>
        <w:t>CP-19 — Detalle de intento.</w:t>
      </w:r>
      <w:r>
        <w:rPr>
          <w:rFonts w:ascii="Arial" w:hAnsi="Arial"/>
          <w:sz w:val="22"/>
        </w:rPr>
        <w:t xml:space="preserve"> </w:t>
      </w:r>
      <w:r>
        <w:rPr>
          <w:rFonts w:ascii="Courier New" w:hAnsi="Courier New"/>
          <w:sz w:val="18"/>
        </w:rPr>
        <w:t>GET /api/admin/attempts/{id}/detail</w:t>
      </w:r>
      <w:r>
        <w:rPr>
          <w:rFonts w:ascii="Arial" w:hAnsi="Arial"/>
          <w:sz w:val="22"/>
        </w:rPr>
        <w:t xml:space="preserve"> devolvió el detalle completo: 5 respuestas con texto y opciones, evidencia con URL firmada de 1 hora, datos del candidato y la vacante. Status </w:t>
      </w:r>
      <w:r>
        <w:rPr>
          <w:rFonts w:ascii="Courier New" w:hAnsi="Courier New"/>
          <w:sz w:val="18"/>
        </w:rPr>
        <w:t>UNDER_REVIEW</w:t>
      </w:r>
      <w:r>
        <w:rPr>
          <w:rFonts w:ascii="Arial" w:hAnsi="Arial"/>
          <w:sz w:val="22"/>
        </w:rPr>
        <w:t>.</w:t>
      </w:r>
    </w:p>
    <w:p>
      <w:pPr>
        <w:jc w:val="both"/>
      </w:pPr>
      <w:r>
        <w:rPr>
          <w:b/>
        </w:rPr>
        <w:t>CP-20 — Decisión de revisión — verificación de D-02.</w:t>
      </w:r>
      <w:r>
        <w:rPr>
          <w:rFonts w:ascii="Arial" w:hAnsi="Arial"/>
          <w:sz w:val="22"/>
        </w:rPr>
        <w:t xml:space="preserve"> </w:t>
      </w:r>
      <w:r>
        <w:rPr>
          <w:rFonts w:ascii="Courier New" w:hAnsi="Courier New"/>
          <w:sz w:val="18"/>
        </w:rPr>
        <w:t>PATCH /api/admin/attempts/{id}</w:t>
      </w:r>
      <w:r>
        <w:rPr>
          <w:rFonts w:ascii="Arial" w:hAnsi="Arial"/>
          <w:sz w:val="22"/>
        </w:rPr>
        <w:t xml:space="preserve"> con </w:t>
      </w:r>
      <w:r>
        <w:rPr>
          <w:rFonts w:ascii="Courier New" w:hAnsi="Courier New"/>
          <w:sz w:val="18"/>
        </w:rPr>
        <w:t>{"decision":"APPROVED","notes":"..."}</w:t>
      </w:r>
      <w:r>
        <w:rPr>
          <w:rFonts w:ascii="Arial" w:hAnsi="Arial"/>
          <w:sz w:val="22"/>
        </w:rPr>
        <w:t xml:space="preserve"> devolvió HTTP 200, status </w:t>
      </w:r>
      <w:r>
        <w:rPr>
          <w:rFonts w:ascii="Courier New" w:hAnsi="Courier New"/>
          <w:sz w:val="18"/>
        </w:rPr>
        <w:t>COMPLETED</w:t>
      </w:r>
      <w:r>
        <w:rPr>
          <w:rFonts w:ascii="Arial" w:hAnsi="Arial"/>
          <w:sz w:val="22"/>
        </w:rPr>
        <w:t xml:space="preserve">. Sin embargo, </w:t>
      </w:r>
      <w:r>
        <w:rPr>
          <w:rFonts w:ascii="Courier New" w:hAnsi="Courier New"/>
          <w:sz w:val="18"/>
        </w:rPr>
        <w:t>decision_source</w:t>
      </w:r>
      <w:r>
        <w:rPr>
          <w:rFonts w:ascii="Arial" w:hAnsi="Arial"/>
          <w:sz w:val="22"/>
        </w:rPr>
        <w:t xml:space="preserve"> fue </w:t>
      </w:r>
      <w:r>
        <w:rPr>
          <w:rFonts w:ascii="Courier New" w:hAnsi="Courier New"/>
          <w:sz w:val="18"/>
        </w:rPr>
        <w:t>"attempts"</w:t>
      </w:r>
      <w:r>
        <w:rPr>
          <w:rFonts w:ascii="Arial" w:hAnsi="Arial"/>
          <w:sz w:val="22"/>
        </w:rPr>
        <w:t xml:space="preserve"> y la tabla </w:t>
      </w:r>
      <w:r>
        <w:rPr>
          <w:rFonts w:ascii="Courier New" w:hAnsi="Courier New"/>
          <w:sz w:val="18"/>
        </w:rPr>
        <w:t>reviews</w:t>
      </w:r>
      <w:r>
        <w:rPr>
          <w:rFonts w:ascii="Arial" w:hAnsi="Arial"/>
          <w:sz w:val="22"/>
        </w:rPr>
        <w:t xml:space="preserve"> permaneció vacía. Causa raíz (INC-6B-02): </w:t>
      </w:r>
      <w:r>
        <w:rPr>
          <w:rFonts w:ascii="Courier New" w:hAnsi="Courier New"/>
          <w:sz w:val="18"/>
        </w:rPr>
        <w:t>upsertReview</w:t>
      </w:r>
      <w:r>
        <w:rPr>
          <w:rFonts w:ascii="Arial" w:hAnsi="Arial"/>
          <w:sz w:val="22"/>
        </w:rPr>
        <w:t xml:space="preserve"> intenta columnas </w:t>
      </w:r>
      <w:r>
        <w:rPr>
          <w:rFonts w:ascii="Courier New" w:hAnsi="Courier New"/>
          <w:sz w:val="18"/>
        </w:rPr>
        <w:t>notes</w:t>
      </w:r>
      <w:r>
        <w:rPr>
          <w:rFonts w:ascii="Arial" w:hAnsi="Arial"/>
          <w:sz w:val="22"/>
        </w:rPr>
        <w:t xml:space="preserve"> y </w:t>
      </w:r>
      <w:r>
        <w:rPr>
          <w:rFonts w:ascii="Courier New" w:hAnsi="Courier New"/>
          <w:sz w:val="18"/>
        </w:rPr>
        <w:t>updated_at</w:t>
      </w:r>
      <w:r>
        <w:rPr>
          <w:rFonts w:ascii="Arial" w:hAnsi="Arial"/>
          <w:sz w:val="22"/>
        </w:rPr>
        <w:t xml:space="preserve"> que no existen en el schema real de </w:t>
      </w:r>
      <w:r>
        <w:rPr>
          <w:rFonts w:ascii="Courier New" w:hAnsi="Courier New"/>
          <w:sz w:val="18"/>
        </w:rPr>
        <w:t>reviews</w:t>
      </w:r>
      <w:r>
        <w:rPr>
          <w:rFonts w:ascii="Arial" w:hAnsi="Arial"/>
          <w:sz w:val="22"/>
        </w:rPr>
        <w:t xml:space="preserve"> (que solo define </w:t>
      </w:r>
      <w:r>
        <w:rPr>
          <w:rFonts w:ascii="Courier New" w:hAnsi="Courier New"/>
          <w:sz w:val="18"/>
        </w:rPr>
        <w:t>comments</w:t>
      </w:r>
      <w:r>
        <w:rPr>
          <w:rFonts w:ascii="Arial" w:hAnsi="Arial"/>
          <w:sz w:val="22"/>
        </w:rPr>
        <w:t xml:space="preserve"> y </w:t>
      </w:r>
      <w:r>
        <w:rPr>
          <w:rFonts w:ascii="Courier New" w:hAnsi="Courier New"/>
          <w:sz w:val="18"/>
        </w:rPr>
        <w:t>created_at</w:t>
      </w:r>
      <w:r>
        <w:rPr>
          <w:rFonts w:ascii="Arial" w:hAnsi="Arial"/>
          <w:sz w:val="22"/>
        </w:rPr>
        <w:t xml:space="preserve">); la tercera falla activa </w:t>
      </w:r>
      <w:r>
        <w:rPr>
          <w:rFonts w:ascii="Courier New" w:hAnsi="Courier New"/>
          <w:sz w:val="18"/>
        </w:rPr>
        <w:t>isMissingReviewsTable()</w:t>
      </w:r>
      <w:r>
        <w:rPr>
          <w:rFonts w:ascii="Arial" w:hAnsi="Arial"/>
          <w:sz w:val="22"/>
        </w:rPr>
        <w:t xml:space="preserve"> → </w:t>
      </w:r>
      <w:r>
        <w:rPr>
          <w:rFonts w:ascii="Courier New" w:hAnsi="Courier New"/>
          <w:sz w:val="18"/>
        </w:rPr>
        <w:t>{usedReviews:false}</w:t>
      </w:r>
      <w:r>
        <w:rPr>
          <w:rFonts w:ascii="Arial" w:hAnsi="Arial"/>
          <w:sz w:val="22"/>
        </w:rPr>
        <w:t xml:space="preserve"> → fallback a </w:t>
      </w:r>
      <w:r>
        <w:rPr>
          <w:rFonts w:ascii="Courier New" w:hAnsi="Courier New"/>
          <w:sz w:val="18"/>
        </w:rPr>
        <w:t>attempts.decision</w:t>
      </w:r>
      <w:r>
        <w:rPr>
          <w:rFonts w:ascii="Arial" w:hAnsi="Arial"/>
          <w:sz w:val="22"/>
        </w:rPr>
        <w:t>. D-02 queda confirmada con este matiz.</w:t>
      </w:r>
    </w:p>
    <w:p>
      <w:pPr>
        <w:jc w:val="both"/>
      </w:pPr>
      <w:r>
        <w:rPr>
          <w:b/>
        </w:rPr>
        <w:t>CP-21 — Descarga de evidencia.</w:t>
      </w:r>
      <w:r>
        <w:rPr>
          <w:rFonts w:ascii="Arial" w:hAnsi="Arial"/>
          <w:sz w:val="22"/>
        </w:rPr>
        <w:t xml:space="preserve"> La URL firmada en la respuesta del detalle admin fue verificada como presente y funcional.</w:t>
      </w:r>
    </w:p>
    <w:p>
      <w:pPr>
        <w:jc w:val="both"/>
      </w:pPr>
      <w:r>
        <w:rPr>
          <w:b/>
        </w:rPr>
        <w:t>CP-22 — Seguridad con tokens inválidos.</w:t>
      </w:r>
      <w:r>
        <w:rPr>
          <w:rFonts w:ascii="Arial" w:hAnsi="Arial"/>
          <w:sz w:val="22"/>
        </w:rPr>
        <w:t xml:space="preserve"> Token inválido → HTTP 401 </w:t>
      </w:r>
      <w:r>
        <w:rPr>
          <w:rFonts w:ascii="Courier New" w:hAnsi="Courier New"/>
          <w:sz w:val="18"/>
        </w:rPr>
        <w:t>{"error":"Sesión inválida"}</w:t>
      </w:r>
      <w:r>
        <w:rPr>
          <w:rFonts w:ascii="Arial" w:hAnsi="Arial"/>
          <w:sz w:val="22"/>
        </w:rPr>
        <w:t xml:space="preserve">. Sin encabezado → HTTP 401 </w:t>
      </w:r>
      <w:r>
        <w:rPr>
          <w:rFonts w:ascii="Courier New" w:hAnsi="Courier New"/>
          <w:sz w:val="18"/>
        </w:rPr>
        <w:t>{"error":"No autenticado"}</w:t>
      </w:r>
      <w:r>
        <w:rPr>
          <w:rFonts w:ascii="Arial" w:hAnsi="Arial"/>
          <w:sz w:val="22"/>
        </w:rPr>
        <w:t xml:space="preserve">. Confirman la primera y tercera verificaciones de </w:t>
      </w:r>
      <w:r>
        <w:rPr>
          <w:rFonts w:ascii="Courier New" w:hAnsi="Courier New"/>
          <w:sz w:val="18"/>
        </w:rPr>
        <w:t>requireAdmin</w:t>
      </w:r>
      <w:r>
        <w:rPr>
          <w:rFonts w:ascii="Arial" w:hAnsi="Arial"/>
          <w:sz w:val="22"/>
        </w:rPr>
        <w:t>.</w:t>
      </w:r>
    </w:p>
    <w:p>
      <w:pPr>
        <w:pStyle w:val="Heading4"/>
      </w:pPr>
      <w:r>
        <w:t>Casos parciales y bloqueados</w:t>
      </w:r>
    </w:p>
    <w:p>
      <w:pPr>
        <w:jc w:val="both"/>
      </w:pPr>
      <w:r>
        <w:rPr>
          <w:rFonts w:ascii="Arial" w:hAnsi="Arial"/>
          <w:sz w:val="22"/>
        </w:rP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pPr>
        <w:pStyle w:val="Heading3"/>
      </w:pPr>
      <w:r>
        <w:t>6.5.3 Tabla resumen de resultados</w:t>
      </w:r>
    </w:p>
    <w:p>
      <w:pPr>
        <w:jc w:val="center"/>
      </w:pPr>
      <w:r>
        <w:drawing>
          <wp:inline xmlns:a="http://schemas.openxmlformats.org/drawingml/2006/main" xmlns:pic="http://schemas.openxmlformats.org/drawingml/2006/picture">
            <wp:extent cx="5040000" cy="3150000"/>
            <wp:docPr id="56" name="Picture 56"/>
            <wp:cNvGraphicFramePr>
              <a:graphicFrameLocks noChangeAspect="1"/>
            </wp:cNvGraphicFramePr>
            <a:graphic>
              <a:graphicData uri="http://schemas.openxmlformats.org/drawingml/2006/picture">
                <pic:pic>
                  <pic:nvPicPr>
                    <pic:cNvPr id="0" name="EV-5A-05-registro-formulario.png"/>
                    <pic:cNvPicPr/>
                  </pic:nvPicPr>
                  <pic:blipFill>
                    <a:blip r:embed="rId12"/>
                    <a:stretch>
                      <a:fillRect/>
                    </a:stretch>
                  </pic:blipFill>
                  <pic:spPr>
                    <a:xfrm>
                      <a:off x="0" y="0"/>
                      <a:ext cx="5040000" cy="3150000"/>
                    </a:xfrm>
                    <a:prstGeom prst="rect"/>
                  </pic:spPr>
                </pic:pic>
              </a:graphicData>
            </a:graphic>
          </wp:inline>
        </w:drawing>
      </w:r>
    </w:p>
    <w:p>
      <w:pPr>
        <w:pStyle w:val="FigureCaption"/>
      </w:pPr>
      <w:r>
        <w:t>Figura 5.5. Formulario de registro de candidato (/register). Fuente: captura de pantalla propia, 2026.</w:t>
      </w:r>
    </w:p>
    <w:p>
      <w:pPr>
        <w:jc w:val="center"/>
      </w:pPr>
      <w:r>
        <w:drawing>
          <wp:inline xmlns:a="http://schemas.openxmlformats.org/drawingml/2006/main" xmlns:pic="http://schemas.openxmlformats.org/drawingml/2006/picture">
            <wp:extent cx="5040000" cy="3150000"/>
            <wp:docPr id="57" name="Picture 57"/>
            <wp:cNvGraphicFramePr>
              <a:graphicFrameLocks noChangeAspect="1"/>
            </wp:cNvGraphicFramePr>
            <a:graphic>
              <a:graphicData uri="http://schemas.openxmlformats.org/drawingml/2006/picture">
                <pic:pic>
                  <pic:nvPicPr>
                    <pic:cNvPr id="0" name="EV-5A-07-login.png"/>
                    <pic:cNvPicPr/>
                  </pic:nvPicPr>
                  <pic:blipFill>
                    <a:blip r:embed="rId14"/>
                    <a:stretch>
                      <a:fillRect/>
                    </a:stretch>
                  </pic:blipFill>
                  <pic:spPr>
                    <a:xfrm>
                      <a:off x="0" y="0"/>
                      <a:ext cx="5040000" cy="3150000"/>
                    </a:xfrm>
                    <a:prstGeom prst="rect"/>
                  </pic:spPr>
                </pic:pic>
              </a:graphicData>
            </a:graphic>
          </wp:inline>
        </w:drawing>
      </w:r>
    </w:p>
    <w:p>
      <w:pPr>
        <w:pStyle w:val="FigureCaption"/>
      </w:pPr>
      <w:r>
        <w:t>Figura 5.7. Formulario de inicio de sesión (/login). Fuente: captura de pantalla propia, 2026.</w:t>
      </w:r>
    </w:p>
    <w:p>
      <w:pPr>
        <w:jc w:val="center"/>
      </w:pPr>
      <w:r>
        <w:drawing>
          <wp:inline xmlns:a="http://schemas.openxmlformats.org/drawingml/2006/main" xmlns:pic="http://schemas.openxmlformats.org/drawingml/2006/picture">
            <wp:extent cx="5040000" cy="3150000"/>
            <wp:docPr id="58" name="Picture 58"/>
            <wp:cNvGraphicFramePr>
              <a:graphicFrameLocks noChangeAspect="1"/>
            </wp:cNvGraphicFramePr>
            <a:graphic>
              <a:graphicData uri="http://schemas.openxmlformats.org/drawingml/2006/picture">
                <pic:pic>
                  <pic:nvPicPr>
                    <pic:cNvPr id="0" name="EV-5B-13-guard-prereq.png"/>
                    <pic:cNvPicPr/>
                  </pic:nvPicPr>
                  <pic:blipFill>
                    <a:blip r:embed="rId21"/>
                    <a:stretch>
                      <a:fillRect/>
                    </a:stretch>
                  </pic:blipFill>
                  <pic:spPr>
                    <a:xfrm>
                      <a:off x="0" y="0"/>
                      <a:ext cx="5040000" cy="3150000"/>
                    </a:xfrm>
                    <a:prstGeom prst="rect"/>
                  </pic:spPr>
                </pic:pic>
              </a:graphicData>
            </a:graphic>
          </wp:inline>
        </w:drawing>
      </w:r>
    </w:p>
    <w:p>
      <w:pPr>
        <w:pStyle w:val="FigureCaption"/>
      </w:pPr>
      <w:r>
        <w:t>Figura 6.1. Evidencia del CP-07: comportamiento del guard de prerequisito psicométrico (Discrepancia D-01). Fuente: captura de pantalla propia, 2026.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CP</w:t>
            </w:r>
          </w:p>
        </w:tc>
        <w:tc>
          <w:tcPr>
            <w:tcW w:type="dxa" w:w="2280"/>
          </w:tcPr>
          <w:p>
            <w:pPr>
              <w:spacing w:before="40" w:after="40"/>
            </w:pPr>
            <w:r>
              <w:rPr>
                <w:b/>
                <w:sz w:val="20"/>
              </w:rPr>
              <w:t>Estado</w:t>
            </w:r>
          </w:p>
        </w:tc>
        <w:tc>
          <w:tcPr>
            <w:tcW w:type="dxa" w:w="2280"/>
          </w:tcPr>
          <w:p>
            <w:pPr>
              <w:spacing w:before="40" w:after="40"/>
            </w:pPr>
            <w:r>
              <w:rPr>
                <w:b/>
                <w:sz w:val="20"/>
              </w:rPr>
              <w:t>RF</w:t>
            </w:r>
          </w:p>
        </w:tc>
        <w:tc>
          <w:tcPr>
            <w:tcW w:type="dxa" w:w="2280"/>
          </w:tcPr>
          <w:p>
            <w:pPr>
              <w:spacing w:before="40" w:after="40"/>
            </w:pPr>
            <w:r>
              <w:rPr>
                <w:b/>
                <w:sz w:val="20"/>
              </w:rPr>
              <w:t>Discrepancia</w:t>
            </w:r>
          </w:p>
        </w:tc>
      </w:tr>
      <w:tr>
        <w:tc>
          <w:tcPr>
            <w:tcW w:type="dxa" w:w="2280"/>
          </w:tcPr>
          <w:p>
            <w:pPr>
              <w:spacing w:before="40" w:after="40"/>
            </w:pPr>
            <w:r>
              <w:rPr>
                <w:rFonts w:ascii="Arial" w:hAnsi="Arial"/>
                <w:sz w:val="20"/>
              </w:rPr>
              <w:t>CP-01</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RF-01</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CP-02a</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RF-01</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CP-02b</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RF-02</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CP-03</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RF-16</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CP-04</w:t>
            </w:r>
          </w:p>
        </w:tc>
        <w:tc>
          <w:tcPr>
            <w:tcW w:type="dxa" w:w="2280"/>
          </w:tcPr>
          <w:p>
            <w:pPr>
              <w:spacing w:before="40" w:after="40"/>
            </w:pPr>
            <w:r>
              <w:rPr>
                <w:rFonts w:ascii="Arial" w:hAnsi="Arial"/>
                <w:sz w:val="20"/>
              </w:rPr>
              <w:t>PARCIAL</w:t>
            </w:r>
          </w:p>
        </w:tc>
        <w:tc>
          <w:tcPr>
            <w:tcW w:type="dxa" w:w="2280"/>
          </w:tcPr>
          <w:p>
            <w:pPr>
              <w:spacing w:before="40" w:after="40"/>
            </w:pPr>
            <w:r>
              <w:rPr>
                <w:rFonts w:ascii="Arial" w:hAnsi="Arial"/>
                <w:sz w:val="20"/>
              </w:rPr>
              <w:t>RF-04</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CP-05</w:t>
            </w:r>
          </w:p>
        </w:tc>
        <w:tc>
          <w:tcPr>
            <w:tcW w:type="dxa" w:w="2280"/>
          </w:tcPr>
          <w:p>
            <w:pPr>
              <w:spacing w:before="40" w:after="40"/>
            </w:pPr>
            <w:r>
              <w:rPr>
                <w:rFonts w:ascii="Arial" w:hAnsi="Arial"/>
                <w:sz w:val="20"/>
              </w:rPr>
              <w:t>PARCIAL</w:t>
            </w:r>
          </w:p>
        </w:tc>
        <w:tc>
          <w:tcPr>
            <w:tcW w:type="dxa" w:w="2280"/>
          </w:tcPr>
          <w:p>
            <w:pPr>
              <w:spacing w:before="40" w:after="40"/>
            </w:pPr>
            <w:r>
              <w:rPr>
                <w:rFonts w:ascii="Arial" w:hAnsi="Arial"/>
                <w:sz w:val="20"/>
              </w:rPr>
              <w:t>RF-05</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CP-06</w:t>
            </w:r>
          </w:p>
        </w:tc>
        <w:tc>
          <w:tcPr>
            <w:tcW w:type="dxa" w:w="2280"/>
          </w:tcPr>
          <w:p>
            <w:pPr>
              <w:spacing w:before="40" w:after="40"/>
            </w:pPr>
            <w:r>
              <w:rPr>
                <w:rFonts w:ascii="Arial" w:hAnsi="Arial"/>
                <w:sz w:val="20"/>
              </w:rPr>
              <w:t>PARCIAL</w:t>
            </w:r>
          </w:p>
        </w:tc>
        <w:tc>
          <w:tcPr>
            <w:tcW w:type="dxa" w:w="2280"/>
          </w:tcPr>
          <w:p>
            <w:pPr>
              <w:spacing w:before="40" w:after="40"/>
            </w:pPr>
            <w:r>
              <w:rPr>
                <w:rFonts w:ascii="Arial" w:hAnsi="Arial"/>
                <w:sz w:val="20"/>
              </w:rPr>
              <w:t>RF-06</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CP-07</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RF-03, RF-07</w:t>
            </w:r>
          </w:p>
        </w:tc>
        <w:tc>
          <w:tcPr>
            <w:tcW w:type="dxa" w:w="2280"/>
          </w:tcPr>
          <w:p>
            <w:pPr>
              <w:spacing w:before="40" w:after="40"/>
            </w:pPr>
            <w:r>
              <w:rPr>
                <w:rFonts w:ascii="Arial" w:hAnsi="Arial"/>
                <w:sz w:val="20"/>
              </w:rPr>
              <w:t>D-01 (parcial)</w:t>
            </w:r>
          </w:p>
        </w:tc>
      </w:tr>
      <w:tr>
        <w:tc>
          <w:tcPr>
            <w:tcW w:type="dxa" w:w="2280"/>
          </w:tcPr>
          <w:p>
            <w:pPr>
              <w:spacing w:before="40" w:after="40"/>
            </w:pPr>
            <w:r>
              <w:rPr>
                <w:rFonts w:ascii="Arial" w:hAnsi="Arial"/>
                <w:sz w:val="20"/>
              </w:rPr>
              <w:t>CP-08</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RF-07</w:t>
            </w:r>
          </w:p>
        </w:tc>
        <w:tc>
          <w:tcPr>
            <w:tcW w:type="dxa" w:w="2280"/>
          </w:tcPr>
          <w:p>
            <w:pPr>
              <w:spacing w:before="40" w:after="40"/>
            </w:pPr>
            <w:r>
              <w:rPr>
                <w:rFonts w:ascii="Arial" w:hAnsi="Arial"/>
                <w:sz w:val="20"/>
              </w:rPr>
              <w:t>D-01 ✓</w:t>
            </w:r>
          </w:p>
        </w:tc>
      </w:tr>
      <w:tr>
        <w:tc>
          <w:tcPr>
            <w:tcW w:type="dxa" w:w="2280"/>
          </w:tcPr>
          <w:p>
            <w:pPr>
              <w:spacing w:before="40" w:after="40"/>
            </w:pPr>
            <w:r>
              <w:rPr>
                <w:rFonts w:ascii="Arial" w:hAnsi="Arial"/>
                <w:sz w:val="20"/>
              </w:rPr>
              <w:t>CP-09</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RF-09</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CP-10</w:t>
            </w:r>
          </w:p>
        </w:tc>
        <w:tc>
          <w:tcPr>
            <w:tcW w:type="dxa" w:w="2280"/>
          </w:tcPr>
          <w:p>
            <w:pPr>
              <w:spacing w:before="40" w:after="40"/>
            </w:pPr>
            <w:r>
              <w:rPr>
                <w:rFonts w:ascii="Arial" w:hAnsi="Arial"/>
                <w:sz w:val="20"/>
              </w:rPr>
              <w:t>APROBADO PARCIAL</w:t>
            </w:r>
          </w:p>
        </w:tc>
        <w:tc>
          <w:tcPr>
            <w:tcW w:type="dxa" w:w="2280"/>
          </w:tcPr>
          <w:p>
            <w:pPr>
              <w:spacing w:before="40" w:after="40"/>
            </w:pPr>
            <w:r>
              <w:rPr>
                <w:rFonts w:ascii="Arial" w:hAnsi="Arial"/>
                <w:sz w:val="20"/>
              </w:rPr>
              <w:t>RF-10</w:t>
            </w:r>
          </w:p>
        </w:tc>
        <w:tc>
          <w:tcPr>
            <w:tcW w:type="dxa" w:w="2280"/>
          </w:tcPr>
          <w:p>
            <w:pPr>
              <w:spacing w:before="40" w:after="40"/>
            </w:pPr>
            <w:r>
              <w:rPr>
                <w:rFonts w:ascii="Arial" w:hAnsi="Arial"/>
                <w:sz w:val="20"/>
              </w:rPr>
              <w:t>INC-6B-01</w:t>
            </w:r>
          </w:p>
        </w:tc>
      </w:tr>
      <w:tr>
        <w:tc>
          <w:tcPr>
            <w:tcW w:type="dxa" w:w="2280"/>
          </w:tcPr>
          <w:p>
            <w:pPr>
              <w:spacing w:before="40" w:after="40"/>
            </w:pPr>
            <w:r>
              <w:rPr>
                <w:rFonts w:ascii="Arial" w:hAnsi="Arial"/>
                <w:sz w:val="20"/>
              </w:rPr>
              <w:t>CP-11</w:t>
            </w:r>
          </w:p>
        </w:tc>
        <w:tc>
          <w:tcPr>
            <w:tcW w:type="dxa" w:w="2280"/>
          </w:tcPr>
          <w:p>
            <w:pPr>
              <w:spacing w:before="40" w:after="40"/>
            </w:pPr>
            <w:r>
              <w:rPr>
                <w:rFonts w:ascii="Arial" w:hAnsi="Arial"/>
                <w:sz w:val="20"/>
              </w:rPr>
              <w:t>BLOQUEADO</w:t>
            </w:r>
          </w:p>
        </w:tc>
        <w:tc>
          <w:tcPr>
            <w:tcW w:type="dxa" w:w="2280"/>
          </w:tcPr>
          <w:p>
            <w:pPr>
              <w:spacing w:before="40" w:after="40"/>
            </w:pPr>
            <w:r>
              <w:rPr>
                <w:rFonts w:ascii="Arial" w:hAnsi="Arial"/>
                <w:sz w:val="20"/>
              </w:rPr>
              <w:t>RF-11</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CP-12</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RF-12</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CP-13</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RF-10</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CP-14</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RF-03</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CP-15</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RF-13</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CP-16</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RF-14</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CP-17</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RF-14, RF-15</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CP-18</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RF-17</w:t>
            </w:r>
          </w:p>
        </w:tc>
        <w:tc>
          <w:tcPr>
            <w:tcW w:type="dxa" w:w="2280"/>
          </w:tcPr>
          <w:p>
            <w:pPr>
              <w:spacing w:before="40" w:after="40"/>
            </w:pPr>
            <w:r>
              <w:rPr>
                <w:rFonts w:ascii="Arial" w:hAnsi="Arial"/>
                <w:sz w:val="20"/>
              </w:rPr>
              <w:t>D-03 ✓</w:t>
            </w:r>
          </w:p>
        </w:tc>
      </w:tr>
      <w:tr>
        <w:tc>
          <w:tcPr>
            <w:tcW w:type="dxa" w:w="2280"/>
          </w:tcPr>
          <w:p>
            <w:pPr>
              <w:spacing w:before="40" w:after="40"/>
            </w:pPr>
            <w:r>
              <w:rPr>
                <w:rFonts w:ascii="Arial" w:hAnsi="Arial"/>
                <w:sz w:val="20"/>
              </w:rPr>
              <w:t>CP-19</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RF-15</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CP-20</w:t>
            </w:r>
          </w:p>
        </w:tc>
        <w:tc>
          <w:tcPr>
            <w:tcW w:type="dxa" w:w="2280"/>
          </w:tcPr>
          <w:p>
            <w:pPr>
              <w:spacing w:before="40" w:after="40"/>
            </w:pPr>
            <w:r>
              <w:rPr>
                <w:rFonts w:ascii="Arial" w:hAnsi="Arial"/>
                <w:sz w:val="20"/>
              </w:rPr>
              <w:t>APROBADO PARCIAL</w:t>
            </w:r>
          </w:p>
        </w:tc>
        <w:tc>
          <w:tcPr>
            <w:tcW w:type="dxa" w:w="2280"/>
          </w:tcPr>
          <w:p>
            <w:pPr>
              <w:spacing w:before="40" w:after="40"/>
            </w:pPr>
            <w:r>
              <w:rPr>
                <w:rFonts w:ascii="Arial" w:hAnsi="Arial"/>
                <w:sz w:val="20"/>
              </w:rPr>
              <w:t>RF-18</w:t>
            </w:r>
          </w:p>
        </w:tc>
        <w:tc>
          <w:tcPr>
            <w:tcW w:type="dxa" w:w="2280"/>
          </w:tcPr>
          <w:p>
            <w:pPr>
              <w:spacing w:before="40" w:after="40"/>
            </w:pPr>
            <w:r>
              <w:rPr>
                <w:rFonts w:ascii="Arial" w:hAnsi="Arial"/>
                <w:sz w:val="20"/>
              </w:rPr>
              <w:t>D-02 ✓ + INC-6B-02</w:t>
            </w:r>
          </w:p>
        </w:tc>
      </w:tr>
      <w:tr>
        <w:tc>
          <w:tcPr>
            <w:tcW w:type="dxa" w:w="2280"/>
          </w:tcPr>
          <w:p>
            <w:pPr>
              <w:spacing w:before="40" w:after="40"/>
            </w:pPr>
            <w:r>
              <w:rPr>
                <w:rFonts w:ascii="Arial" w:hAnsi="Arial"/>
                <w:sz w:val="20"/>
              </w:rPr>
              <w:t>CP-21</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RF-12</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CP-22</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RF-16</w:t>
            </w:r>
          </w:p>
        </w:tc>
        <w:tc>
          <w:tcPr>
            <w:tcW w:type="dxa" w:w="2280"/>
          </w:tcPr>
          <w:p>
            <w:pPr>
              <w:spacing w:before="40" w:after="40"/>
            </w:pPr>
            <w:r>
              <w:rPr>
                <w:rFonts w:ascii="Arial" w:hAnsi="Arial"/>
                <w:sz w:val="20"/>
              </w:rPr>
              <w:t>—</w:t>
            </w:r>
          </w:p>
        </w:tc>
      </w:tr>
    </w:tbl>
    <w:p/>
    <w:p>
      <w:pPr>
        <w:pStyle w:val="Heading2"/>
      </w:pPr>
      <w:r>
        <w:t>6.6 Análisis de resultados</w:t>
      </w:r>
    </w:p>
    <w:p>
      <w:pPr>
        <w:pStyle w:val="Heading3"/>
      </w:pPr>
      <w:r>
        <w:t>6.6.1 Cobertura de requisitos funcionales</w:t>
      </w:r>
    </w:p>
    <w:p>
      <w:pPr>
        <w:jc w:val="both"/>
      </w:pPr>
      <w:r>
        <w:rPr>
          <w:rFonts w:ascii="Arial" w:hAnsi="Arial"/>
          <w:sz w:val="22"/>
        </w:rP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pPr>
        <w:pStyle w:val="Heading3"/>
      </w:pPr>
      <w:r>
        <w:t>6.6.2 Calidad del sistema</w:t>
      </w:r>
    </w:p>
    <w:p>
      <w:pPr>
        <w:jc w:val="both"/>
      </w:pPr>
      <w:r>
        <w:rPr>
          <w:rFonts w:ascii="Arial" w:hAnsi="Arial"/>
          <w:sz w:val="22"/>
        </w:rPr>
        <w:t>16 casos APROBADOS (72.7%), 2 APROBADOS PARCIAL (9.1%), 3 PARCIAL sin endpoint (13.6%), 1 BLOQUEADO (4.5%), 0 FALLIDOS. Las dos incidencias son de bajo y medio impacto:</w:t>
      </w:r>
    </w:p>
    <w:p>
      <w:pPr>
        <w:pStyle w:val="ListBullet"/>
        <w:ind w:left="567"/>
      </w:pPr>
      <w:r>
        <w:rPr>
          <w:b/>
        </w:rPr>
        <w:t>INC-6B-01:</w:t>
      </w:r>
      <w:r>
        <w:rPr>
          <w:rFonts w:ascii="Arial" w:hAnsi="Arial"/>
          <w:sz w:val="22"/>
        </w:rPr>
        <w:t xml:space="preserve"> El candidato no puede corregir una respuesta ya enviada. El flujo principal no se ve afectado.</w:t>
      </w:r>
    </w:p>
    <w:p>
      <w:pPr>
        <w:pStyle w:val="ListBullet"/>
        <w:ind w:left="567"/>
      </w:pPr>
      <w:r>
        <w:rPr>
          <w:b/>
        </w:rPr>
        <w:t>INC-6B-02:</w:t>
      </w:r>
      <w:r>
        <w:rPr>
          <w:rFonts w:ascii="Arial" w:hAnsi="Arial"/>
          <w:sz w:val="22"/>
        </w:rPr>
        <w:t xml:space="preserve"> Las decisiones se almacenan en </w:t>
      </w:r>
      <w:r>
        <w:rPr>
          <w:rFonts w:ascii="Courier New" w:hAnsi="Courier New"/>
          <w:sz w:val="18"/>
        </w:rPr>
        <w:t>attempts.decision</w:t>
      </w:r>
      <w:r>
        <w:rPr>
          <w:rFonts w:ascii="Arial" w:hAnsi="Arial"/>
          <w:sz w:val="22"/>
        </w:rPr>
        <w:t xml:space="preserve"> (fallback) en lugar de </w:t>
      </w:r>
      <w:r>
        <w:rPr>
          <w:rFonts w:ascii="Courier New" w:hAnsi="Courier New"/>
          <w:sz w:val="18"/>
        </w:rPr>
        <w:t>reviews</w:t>
      </w:r>
      <w:r>
        <w:rPr>
          <w:rFonts w:ascii="Arial" w:hAnsi="Arial"/>
          <w:sz w:val="22"/>
        </w:rPr>
        <w:t>. La integridad del dato se preserva; la separación de responsabilidades prevista no se cumple en el sistema desplegado.</w:t>
      </w:r>
    </w:p>
    <w:p>
      <w:pPr>
        <w:pStyle w:val="Heading3"/>
      </w:pPr>
      <w:r>
        <w:t>6.6.3 Verificación de discrepancias D-01 a D-05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before="40" w:after="40"/>
            </w:pPr>
            <w:r>
              <w:rPr>
                <w:b/>
                <w:sz w:val="20"/>
              </w:rPr>
              <w:t>Discrepancia</w:t>
            </w:r>
          </w:p>
        </w:tc>
        <w:tc>
          <w:tcPr>
            <w:tcW w:type="dxa" w:w="1824"/>
          </w:tcPr>
          <w:p>
            <w:pPr>
              <w:spacing w:before="40" w:after="40"/>
            </w:pPr>
            <w:r>
              <w:rPr>
                <w:b/>
                <w:sz w:val="20"/>
              </w:rPr>
              <w:t>Descripción</w:t>
            </w:r>
          </w:p>
        </w:tc>
        <w:tc>
          <w:tcPr>
            <w:tcW w:type="dxa" w:w="1824"/>
          </w:tcPr>
          <w:p>
            <w:pPr>
              <w:spacing w:before="40" w:after="40"/>
            </w:pPr>
            <w:r>
              <w:rPr>
                <w:b/>
                <w:sz w:val="20"/>
              </w:rPr>
              <w:t>Verificación estática</w:t>
            </w:r>
          </w:p>
        </w:tc>
        <w:tc>
          <w:tcPr>
            <w:tcW w:type="dxa" w:w="1824"/>
          </w:tcPr>
          <w:p>
            <w:pPr>
              <w:spacing w:before="40" w:after="40"/>
            </w:pPr>
            <w:r>
              <w:rPr>
                <w:b/>
                <w:sz w:val="20"/>
              </w:rPr>
              <w:t>Verificación empírica</w:t>
            </w:r>
          </w:p>
        </w:tc>
        <w:tc>
          <w:tcPr>
            <w:tcW w:type="dxa" w:w="1824"/>
          </w:tcPr>
          <w:p>
            <w:pPr>
              <w:spacing w:before="40" w:after="40"/>
            </w:pPr>
            <w:r>
              <w:rPr>
                <w:b/>
                <w:sz w:val="20"/>
              </w:rPr>
              <w:t>Estado final</w:t>
            </w:r>
          </w:p>
        </w:tc>
      </w:tr>
      <w:tr>
        <w:tc>
          <w:tcPr>
            <w:tcW w:type="dxa" w:w="1824"/>
          </w:tcPr>
          <w:p>
            <w:pPr>
              <w:spacing w:before="40" w:after="40"/>
            </w:pPr>
            <w:r>
              <w:rPr>
                <w:rFonts w:ascii="Arial" w:hAnsi="Arial"/>
                <w:sz w:val="20"/>
              </w:rPr>
              <w:t>D-01</w:t>
            </w:r>
          </w:p>
        </w:tc>
        <w:tc>
          <w:tcPr>
            <w:tcW w:type="dxa" w:w="1824"/>
          </w:tcPr>
          <w:p>
            <w:pPr>
              <w:spacing w:before="40" w:after="40"/>
            </w:pPr>
            <w:r>
              <w:rPr>
                <w:rFonts w:ascii="Arial" w:hAnsi="Arial"/>
                <w:sz w:val="20"/>
              </w:rPr>
              <w:t>Guard completitud, no score</w:t>
            </w:r>
          </w:p>
        </w:tc>
        <w:tc>
          <w:tcPr>
            <w:tcW w:type="dxa" w:w="1824"/>
          </w:tcPr>
          <w:p>
            <w:pPr>
              <w:spacing w:before="40" w:after="40"/>
            </w:pPr>
            <w:r>
              <w:rPr>
                <w:rFonts w:ascii="Arial" w:hAnsi="Arial"/>
                <w:sz w:val="20"/>
              </w:rPr>
              <w:t>EE-08 ✓</w:t>
            </w:r>
          </w:p>
        </w:tc>
        <w:tc>
          <w:tcPr>
            <w:tcW w:type="dxa" w:w="1824"/>
          </w:tcPr>
          <w:p>
            <w:pPr>
              <w:spacing w:before="40" w:after="40"/>
            </w:pPr>
            <w:r>
              <w:rPr>
                <w:rFonts w:ascii="Arial" w:hAnsi="Arial"/>
                <w:sz w:val="20"/>
              </w:rPr>
              <w:t>CP-07/CP-08 ✓</w:t>
            </w:r>
          </w:p>
        </w:tc>
        <w:tc>
          <w:tcPr>
            <w:tcW w:type="dxa" w:w="1824"/>
          </w:tcPr>
          <w:p>
            <w:pPr>
              <w:spacing w:before="40" w:after="40"/>
            </w:pPr>
            <w:r>
              <w:rPr>
                <w:rFonts w:ascii="Arial" w:hAnsi="Arial"/>
                <w:sz w:val="20"/>
              </w:rPr>
              <w:t>CONFIRMADA</w:t>
            </w:r>
          </w:p>
        </w:tc>
      </w:tr>
      <w:tr>
        <w:tc>
          <w:tcPr>
            <w:tcW w:type="dxa" w:w="1824"/>
          </w:tcPr>
          <w:p>
            <w:pPr>
              <w:spacing w:before="40" w:after="40"/>
            </w:pPr>
            <w:r>
              <w:rPr>
                <w:rFonts w:ascii="Arial" w:hAnsi="Arial"/>
                <w:sz w:val="20"/>
              </w:rPr>
              <w:t>D-02</w:t>
            </w:r>
          </w:p>
        </w:tc>
        <w:tc>
          <w:tcPr>
            <w:tcW w:type="dxa" w:w="1824"/>
          </w:tcPr>
          <w:p>
            <w:pPr>
              <w:spacing w:before="40" w:after="40"/>
            </w:pPr>
            <w:r>
              <w:rPr>
                <w:rFonts w:ascii="Courier New" w:hAnsi="Courier New"/>
                <w:sz w:val="20"/>
              </w:rPr>
              <w:t>reviews</w:t>
            </w:r>
            <w:r>
              <w:rPr>
                <w:rFonts w:ascii="Arial" w:hAnsi="Arial"/>
                <w:sz w:val="20"/>
              </w:rPr>
              <w:t xml:space="preserve"> como almacén primario</w:t>
            </w:r>
          </w:p>
        </w:tc>
        <w:tc>
          <w:tcPr>
            <w:tcW w:type="dxa" w:w="1824"/>
          </w:tcPr>
          <w:p>
            <w:pPr>
              <w:spacing w:before="40" w:after="40"/>
            </w:pPr>
            <w:r>
              <w:rPr>
                <w:rFonts w:ascii="Arial" w:hAnsi="Arial"/>
                <w:sz w:val="20"/>
              </w:rPr>
              <w:t>EE-09 ✓</w:t>
            </w:r>
          </w:p>
        </w:tc>
        <w:tc>
          <w:tcPr>
            <w:tcW w:type="dxa" w:w="1824"/>
          </w:tcPr>
          <w:p>
            <w:pPr>
              <w:spacing w:before="40" w:after="40"/>
            </w:pPr>
            <w:r>
              <w:rPr>
                <w:rFonts w:ascii="Arial" w:hAnsi="Arial"/>
                <w:sz w:val="20"/>
              </w:rPr>
              <w:t xml:space="preserve">CP-20: fallback a </w:t>
            </w:r>
            <w:r>
              <w:rPr>
                <w:rFonts w:ascii="Courier New" w:hAnsi="Courier New"/>
                <w:sz w:val="20"/>
              </w:rPr>
              <w:t>attempts</w:t>
            </w:r>
          </w:p>
        </w:tc>
        <w:tc>
          <w:tcPr>
            <w:tcW w:type="dxa" w:w="1824"/>
          </w:tcPr>
          <w:p>
            <w:pPr>
              <w:spacing w:before="40" w:after="40"/>
            </w:pPr>
            <w:r>
              <w:rPr>
                <w:rFonts w:ascii="Arial" w:hAnsi="Arial"/>
                <w:sz w:val="20"/>
              </w:rPr>
              <w:t>CONFIRMADA CON MATIZ</w:t>
            </w:r>
          </w:p>
        </w:tc>
      </w:tr>
      <w:tr>
        <w:tc>
          <w:tcPr>
            <w:tcW w:type="dxa" w:w="1824"/>
          </w:tcPr>
          <w:p>
            <w:pPr>
              <w:spacing w:before="40" w:after="40"/>
            </w:pPr>
            <w:r>
              <w:rPr>
                <w:rFonts w:ascii="Arial" w:hAnsi="Arial"/>
                <w:sz w:val="20"/>
              </w:rPr>
              <w:t>D-03</w:t>
            </w:r>
          </w:p>
        </w:tc>
        <w:tc>
          <w:tcPr>
            <w:tcW w:type="dxa" w:w="1824"/>
          </w:tcPr>
          <w:p>
            <w:pPr>
              <w:spacing w:before="40" w:after="40"/>
            </w:pPr>
            <w:r>
              <w:rPr>
                <w:rFonts w:ascii="Arial" w:hAnsi="Arial"/>
                <w:sz w:val="20"/>
              </w:rPr>
              <w:t>Stats endpoint reducido</w:t>
            </w:r>
          </w:p>
        </w:tc>
        <w:tc>
          <w:tcPr>
            <w:tcW w:type="dxa" w:w="1824"/>
          </w:tcPr>
          <w:p>
            <w:pPr>
              <w:spacing w:before="40" w:after="40"/>
            </w:pPr>
            <w:r>
              <w:rPr>
                <w:rFonts w:ascii="Arial" w:hAnsi="Arial"/>
                <w:sz w:val="20"/>
              </w:rPr>
              <w:t>Lectura directa ✓</w:t>
            </w:r>
          </w:p>
        </w:tc>
        <w:tc>
          <w:tcPr>
            <w:tcW w:type="dxa" w:w="1824"/>
          </w:tcPr>
          <w:p>
            <w:pPr>
              <w:spacing w:before="40" w:after="40"/>
            </w:pPr>
            <w:r>
              <w:rPr>
                <w:rFonts w:ascii="Arial" w:hAnsi="Arial"/>
                <w:sz w:val="20"/>
              </w:rPr>
              <w:t>CP-18: 2 métricas ✓</w:t>
            </w:r>
          </w:p>
        </w:tc>
        <w:tc>
          <w:tcPr>
            <w:tcW w:type="dxa" w:w="1824"/>
          </w:tcPr>
          <w:p>
            <w:pPr>
              <w:spacing w:before="40" w:after="40"/>
            </w:pPr>
            <w:r>
              <w:rPr>
                <w:rFonts w:ascii="Arial" w:hAnsi="Arial"/>
                <w:sz w:val="20"/>
              </w:rPr>
              <w:t>CONFIRMADA</w:t>
            </w:r>
          </w:p>
        </w:tc>
      </w:tr>
      <w:tr>
        <w:tc>
          <w:tcPr>
            <w:tcW w:type="dxa" w:w="1824"/>
          </w:tcPr>
          <w:p>
            <w:pPr>
              <w:spacing w:before="40" w:after="40"/>
            </w:pPr>
            <w:r>
              <w:rPr>
                <w:rFonts w:ascii="Arial" w:hAnsi="Arial"/>
                <w:sz w:val="20"/>
              </w:rPr>
              <w:t>D-04</w:t>
            </w:r>
          </w:p>
        </w:tc>
        <w:tc>
          <w:tcPr>
            <w:tcW w:type="dxa" w:w="1824"/>
          </w:tcPr>
          <w:p>
            <w:pPr>
              <w:spacing w:before="40" w:after="40"/>
            </w:pPr>
            <w:r>
              <w:rPr>
                <w:rFonts w:ascii="Arial" w:hAnsi="Arial"/>
                <w:sz w:val="20"/>
              </w:rPr>
              <w:t>Rol reviewer inoperativo</w:t>
            </w:r>
          </w:p>
        </w:tc>
        <w:tc>
          <w:tcPr>
            <w:tcW w:type="dxa" w:w="1824"/>
          </w:tcPr>
          <w:p>
            <w:pPr>
              <w:spacing w:before="40" w:after="40"/>
            </w:pPr>
            <w:r>
              <w:rPr>
                <w:rFonts w:ascii="Arial" w:hAnsi="Arial"/>
                <w:sz w:val="20"/>
              </w:rPr>
              <w:t>EE-05 ✓</w:t>
            </w:r>
          </w:p>
        </w:tc>
        <w:tc>
          <w:tcPr>
            <w:tcW w:type="dxa" w:w="1824"/>
          </w:tcPr>
          <w:p>
            <w:pPr>
              <w:spacing w:before="40" w:after="40"/>
            </w:pPr>
            <w:r>
              <w:rPr>
                <w:rFonts w:ascii="Arial" w:hAnsi="Arial"/>
                <w:sz w:val="20"/>
              </w:rPr>
              <w:t>Sin CP directo</w:t>
            </w:r>
          </w:p>
        </w:tc>
        <w:tc>
          <w:tcPr>
            <w:tcW w:type="dxa" w:w="1824"/>
          </w:tcPr>
          <w:p>
            <w:pPr>
              <w:spacing w:before="40" w:after="40"/>
            </w:pPr>
            <w:r>
              <w:rPr>
                <w:rFonts w:ascii="Arial" w:hAnsi="Arial"/>
                <w:sz w:val="20"/>
              </w:rPr>
              <w:t>CONFIRMADA ESTÁTICAMENTE</w:t>
            </w:r>
          </w:p>
        </w:tc>
      </w:tr>
      <w:tr>
        <w:tc>
          <w:tcPr>
            <w:tcW w:type="dxa" w:w="1824"/>
          </w:tcPr>
          <w:p>
            <w:pPr>
              <w:spacing w:before="40" w:after="40"/>
            </w:pPr>
            <w:r>
              <w:rPr>
                <w:rFonts w:ascii="Arial" w:hAnsi="Arial"/>
                <w:sz w:val="20"/>
              </w:rPr>
              <w:t>D-05</w:t>
            </w:r>
          </w:p>
        </w:tc>
        <w:tc>
          <w:tcPr>
            <w:tcW w:type="dxa" w:w="1824"/>
          </w:tcPr>
          <w:p>
            <w:pPr>
              <w:spacing w:before="40" w:after="40"/>
            </w:pPr>
            <w:r>
              <w:rPr>
                <w:rFonts w:ascii="Arial" w:hAnsi="Arial"/>
                <w:sz w:val="20"/>
              </w:rPr>
              <w:t>Lista de exclusión ausente</w:t>
            </w:r>
          </w:p>
        </w:tc>
        <w:tc>
          <w:tcPr>
            <w:tcW w:type="dxa" w:w="1824"/>
          </w:tcPr>
          <w:p>
            <w:pPr>
              <w:spacing w:before="40" w:after="40"/>
            </w:pPr>
            <w:r>
              <w:rPr>
                <w:rFonts w:ascii="Arial" w:hAnsi="Arial"/>
                <w:sz w:val="20"/>
              </w:rPr>
              <w:t>Schema ✓</w:t>
            </w:r>
          </w:p>
        </w:tc>
        <w:tc>
          <w:tcPr>
            <w:tcW w:type="dxa" w:w="1824"/>
          </w:tcPr>
          <w:p>
            <w:pPr>
              <w:spacing w:before="40" w:after="40"/>
            </w:pPr>
            <w:r>
              <w:rPr>
                <w:rFonts w:ascii="Arial" w:hAnsi="Arial"/>
                <w:sz w:val="20"/>
              </w:rPr>
              <w:t>Sin CP directo</w:t>
            </w:r>
          </w:p>
        </w:tc>
        <w:tc>
          <w:tcPr>
            <w:tcW w:type="dxa" w:w="1824"/>
          </w:tcPr>
          <w:p>
            <w:pPr>
              <w:spacing w:before="40" w:after="40"/>
            </w:pPr>
            <w:r>
              <w:rPr>
                <w:rFonts w:ascii="Arial" w:hAnsi="Arial"/>
                <w:sz w:val="20"/>
              </w:rPr>
              <w:t>CONFIRMADA ESTÁTICAMENTE</w:t>
            </w:r>
          </w:p>
        </w:tc>
      </w:tr>
    </w:tbl>
    <w:p/>
    <w:p>
      <w:pPr>
        <w:pStyle w:val="Heading3"/>
      </w:pPr>
      <w:r>
        <w:t>6.6.4 Observaciones de diseño</w:t>
      </w:r>
    </w:p>
    <w:p>
      <w:pPr>
        <w:jc w:val="both"/>
      </w:pPr>
      <w:r>
        <w:rPr>
          <w:rFonts w:ascii="Arial" w:hAnsi="Arial"/>
          <w:sz w:val="22"/>
        </w:rPr>
        <w:t>El patrón de acceso directo a Supabase desde Server Components (CP-04, CP-05, CP-06) es válido en Next.js App Router pero limita la testabilidad mediante API. Para proyectos futuros, herramientas end-to-end como Playwright serían más adecuadas.</w:t>
      </w:r>
    </w:p>
    <w:p>
      <w:pPr>
        <w:jc w:val="both"/>
      </w:pPr>
      <w:r>
        <w:rPr>
          <w:rFonts w:ascii="Arial" w:hAnsi="Arial"/>
          <w:sz w:val="22"/>
        </w:rPr>
        <w:t>El comportamiento idempotente de la postulación (CP-09) no estaba especificado en el Trabajo A, pero su implementación protege la integridad referencial de la base de datos.</w:t>
      </w:r>
    </w:p>
    <w:p>
      <w:pPr>
        <w:jc w:val="both"/>
      </w:pPr>
      <w:r>
        <w:rPr>
          <w:rFonts w:ascii="Arial" w:hAnsi="Arial"/>
          <w:sz w:val="22"/>
        </w:rPr>
        <w:t xml:space="preserve">El resultado </w:t>
      </w:r>
      <w:r>
        <w:rPr>
          <w:rFonts w:ascii="Courier New" w:hAnsi="Courier New"/>
          <w:sz w:val="18"/>
        </w:rPr>
        <w:t>theoryScore: 0</w:t>
      </w:r>
      <w:r>
        <w:rPr>
          <w:rFonts w:ascii="Arial" w:hAnsi="Arial"/>
          <w:sz w:val="22"/>
        </w:rPr>
        <w:t xml:space="preserve"> en evaluaciones de conocimientos (CP-13) es el comportamiento esperado y documentado: </w:t>
      </w:r>
      <w:r>
        <w:rPr>
          <w:rFonts w:ascii="Courier New" w:hAnsi="Courier New"/>
          <w:sz w:val="18"/>
        </w:rPr>
        <w:t>calculatePsicometricoSummary</w:t>
      </w:r>
      <w:r>
        <w:rPr>
          <w:rFonts w:ascii="Arial" w:hAnsi="Arial"/>
          <w:sz w:val="22"/>
        </w:rPr>
        <w:t xml:space="preserve"> solo acumula reactivos </w:t>
      </w:r>
      <w:r>
        <w:rPr>
          <w:rFonts w:ascii="Courier New" w:hAnsi="Courier New"/>
          <w:sz w:val="18"/>
        </w:rPr>
        <w:t>MINI_BIG_FIVE</w:t>
      </w:r>
      <w:r>
        <w:rPr>
          <w:rFonts w:ascii="Arial" w:hAnsi="Arial"/>
          <w:sz w:val="22"/>
        </w:rPr>
        <w:t>, retornando cero para cualquier otro tipo de evaluación (corrección C5C-04).</w:t>
      </w:r>
    </w:p>
    <w:p>
      <w:r>
        <w:br w:type="page"/>
      </w:r>
    </w:p>
    <w:p>
      <w:pPr>
        <w:pStyle w:val="Heading1"/>
      </w:pPr>
      <w:r>
        <w:t>Capítulo VII. Conclusiones, discusión y trabajo futuro</w:t>
      </w:r>
    </w:p>
    <w:p>
      <w:pPr>
        <w:pStyle w:val="Heading2"/>
      </w:pPr>
      <w:r>
        <w:t>7.1 Síntesis del proyecto</w:t>
      </w:r>
    </w:p>
    <w:p>
      <w:pPr>
        <w:jc w:val="both"/>
      </w:pPr>
      <w:r>
        <w:rPr>
          <w:rFonts w:ascii="Arial" w:hAnsi="Arial"/>
          <w:sz w:val="22"/>
        </w:rP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Tailwind CSS y la biblioteca de componentes shadcn/ui.</w:t>
      </w:r>
    </w:p>
    <w:p>
      <w:pPr>
        <w:jc w:val="both"/>
      </w:pPr>
      <w:r>
        <w:rPr>
          <w:rFonts w:ascii="Arial" w:hAnsi="Arial"/>
          <w:sz w:val="22"/>
        </w:rP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módulo está respaldado por políticas de Row Level Security en la base de datos y la verificación de autorización en los endpoints de la API.</w:t>
      </w:r>
    </w:p>
    <w:p>
      <w:pPr>
        <w:jc w:val="both"/>
      </w:pPr>
      <w:r>
        <w:rPr>
          <w:rFonts w:ascii="Arial" w:hAnsi="Arial"/>
          <w:sz w:val="22"/>
        </w:rP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pPr>
        <w:pStyle w:val="Heading2"/>
      </w:pPr>
      <w:r>
        <w:t>7.2 Evaluación del objetivo general</w:t>
      </w:r>
    </w:p>
    <w:p>
      <w:pPr>
        <w:jc w:val="both"/>
      </w:pPr>
      <w:r>
        <w:rPr>
          <w:rFonts w:ascii="Arial" w:hAnsi="Arial"/>
          <w:sz w:val="22"/>
        </w:rP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pPr>
        <w:jc w:val="both"/>
      </w:pPr>
      <w:r>
        <w:rPr>
          <w:rFonts w:ascii="Arial" w:hAnsi="Arial"/>
          <w:sz w:val="22"/>
        </w:rPr>
        <w:t xml:space="preserve">Al término del proceso de desarrollo y verificación, este objetivo puede declararse </w:t>
      </w:r>
      <w:r>
        <w:rPr>
          <w:b/>
        </w:rPr>
        <w:t>cumplido en sus componentes esenciales</w:t>
      </w:r>
      <w:r>
        <w:rPr>
          <w:rFonts w:ascii="Arial" w:hAnsi="Arial"/>
          <w:sz w:val="22"/>
        </w:rPr>
        <w:t>, con dos matices documentados que no afectan la funcionalidad principal del sistema.</w:t>
      </w:r>
    </w:p>
    <w:p>
      <w:pPr>
        <w:jc w:val="both"/>
      </w:pPr>
      <w:r>
        <w:rPr>
          <w:rFonts w:ascii="Arial" w:hAnsi="Arial"/>
          <w:sz w:val="22"/>
        </w:rP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pPr>
        <w:jc w:val="both"/>
      </w:pPr>
      <w:r>
        <w:rPr>
          <w:rFonts w:ascii="Arial" w:hAnsi="Arial"/>
          <w:sz w:val="22"/>
        </w:rP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rPr>
          <w:rFonts w:ascii="Arial" w:hAnsi="Arial"/>
          <w:sz w:val="22"/>
        </w:rPr>
        <w:t xml:space="preserve"> en la llamada a la biblioteca del cliente Supabase. La primera respuesta queda guardada y el flujo principal no se interrumpe. En el segundo caso, la función </w:t>
      </w:r>
      <w:r>
        <w:rPr>
          <w:rFonts w:ascii="Courier New" w:hAnsi="Courier New"/>
          <w:sz w:val="18"/>
        </w:rPr>
        <w:t>upsertReview</w:t>
      </w:r>
      <w:r>
        <w:rPr>
          <w:rFonts w:ascii="Arial" w:hAnsi="Arial"/>
          <w:sz w:val="22"/>
        </w:rPr>
        <w:t xml:space="preserve"> no logra insertar en la tabla </w:t>
      </w:r>
      <w:r>
        <w:rPr>
          <w:rFonts w:ascii="Courier New" w:hAnsi="Courier New"/>
          <w:sz w:val="18"/>
        </w:rPr>
        <w:t>reviews</w:t>
      </w:r>
      <w:r>
        <w:rPr>
          <w:rFonts w:ascii="Arial" w:hAnsi="Arial"/>
          <w:sz w:val="22"/>
        </w:rP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rPr>
          <w:rFonts w:ascii="Arial" w:hAnsi="Arial"/>
          <w:sz w:val="22"/>
        </w:rPr>
        <w:t>. El flujo de negocio opera correctamente; la auditoría de revisiones es incompleta. Ambos defectos tienen corrección técnica conocida y de complejidad baja, documentada en el Capítulo VI y en las recomendaciones de trabajo futuro.</w:t>
      </w:r>
    </w:p>
    <w:p>
      <w:pPr>
        <w:pStyle w:val="Heading2"/>
      </w:pPr>
      <w:r>
        <w:t>7.3 Evaluación de los objetivos específicos</w:t>
      </w:r>
    </w:p>
    <w:p>
      <w:pPr>
        <w:jc w:val="both"/>
      </w:pPr>
      <w:r>
        <w:rPr>
          <w:rFonts w:ascii="Arial" w:hAnsi="Arial"/>
          <w:sz w:val="22"/>
        </w:rPr>
        <w:t xml:space="preserve">La verificación de cada objetivo específico se apoya en la matriz de cumplimiento desarrollada en el documento de referencia </w:t>
      </w:r>
      <w:r>
        <w:rPr>
          <w:rFonts w:ascii="Courier New" w:hAnsi="Courier New"/>
          <w:sz w:val="18"/>
        </w:rPr>
        <w:t>07-matriz-cumplimiento-objetivos.md</w:t>
      </w:r>
      <w:r>
        <w:rPr>
          <w:rFonts w:ascii="Arial" w:hAnsi="Arial"/>
          <w:sz w:val="22"/>
        </w:rPr>
        <w:t>. A continuación se presenta el resumen: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ID</w:t>
            </w:r>
          </w:p>
        </w:tc>
        <w:tc>
          <w:tcPr>
            <w:tcW w:type="dxa" w:w="3041"/>
          </w:tcPr>
          <w:p>
            <w:pPr>
              <w:spacing w:before="40" w:after="40"/>
            </w:pPr>
            <w:r>
              <w:rPr>
                <w:b/>
                <w:sz w:val="20"/>
              </w:rPr>
              <w:t>Objetivo específico</w:t>
            </w:r>
          </w:p>
        </w:tc>
        <w:tc>
          <w:tcPr>
            <w:tcW w:type="dxa" w:w="3041"/>
          </w:tcPr>
          <w:p>
            <w:pPr>
              <w:spacing w:before="40" w:after="40"/>
            </w:pPr>
            <w:r>
              <w:rPr>
                <w:b/>
                <w:sz w:val="20"/>
              </w:rPr>
              <w:t>Nivel de cumplimiento</w:t>
            </w:r>
          </w:p>
        </w:tc>
      </w:tr>
      <w:tr>
        <w:tc>
          <w:tcPr>
            <w:tcW w:type="dxa" w:w="3041"/>
          </w:tcPr>
          <w:p>
            <w:pPr>
              <w:spacing w:before="40" w:after="40"/>
            </w:pPr>
            <w:r>
              <w:rPr>
                <w:rFonts w:ascii="Arial" w:hAnsi="Arial"/>
                <w:sz w:val="20"/>
              </w:rPr>
              <w:t>OE-01</w:t>
            </w:r>
          </w:p>
        </w:tc>
        <w:tc>
          <w:tcPr>
            <w:tcW w:type="dxa" w:w="3041"/>
          </w:tcPr>
          <w:p>
            <w:pPr>
              <w:spacing w:before="40" w:after="40"/>
            </w:pPr>
            <w:r>
              <w:rPr>
                <w:rFonts w:ascii="Arial" w:hAnsi="Arial"/>
                <w:sz w:val="20"/>
              </w:rPr>
              <w:t>Modelo de datos relacional con RLS en 13 tablas</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OE-02</w:t>
            </w:r>
          </w:p>
        </w:tc>
        <w:tc>
          <w:tcPr>
            <w:tcW w:type="dxa" w:w="3041"/>
          </w:tcPr>
          <w:p>
            <w:pPr>
              <w:spacing w:before="40" w:after="40"/>
            </w:pPr>
            <w:r>
              <w:rPr>
                <w:rFonts w:ascii="Arial" w:hAnsi="Arial"/>
                <w:sz w:val="20"/>
              </w:rPr>
              <w:t>Módulo de registro con CURP criptográfica (HMAC-SHA256)</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OE-03</w:t>
            </w:r>
          </w:p>
        </w:tc>
        <w:tc>
          <w:tcPr>
            <w:tcW w:type="dxa" w:w="3041"/>
          </w:tcPr>
          <w:p>
            <w:pPr>
              <w:spacing w:before="40" w:after="40"/>
            </w:pPr>
            <w:r>
              <w:rPr>
                <w:rFonts w:ascii="Arial" w:hAnsi="Arial"/>
                <w:sz w:val="20"/>
              </w:rPr>
              <w:t>Módulo psicométrico Big Five con scoring automático</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OE-04</w:t>
            </w:r>
          </w:p>
        </w:tc>
        <w:tc>
          <w:tcPr>
            <w:tcW w:type="dxa" w:w="3041"/>
          </w:tcPr>
          <w:p>
            <w:pPr>
              <w:spacing w:before="40" w:after="40"/>
            </w:pPr>
            <w:r>
              <w:rPr>
                <w:rFonts w:ascii="Arial" w:hAnsi="Arial"/>
                <w:sz w:val="20"/>
              </w:rPr>
              <w:t>Evaluación con temporizador, envío automático y evidencia</w:t>
            </w:r>
          </w:p>
        </w:tc>
        <w:tc>
          <w:tcPr>
            <w:tcW w:type="dxa" w:w="3041"/>
          </w:tcPr>
          <w:p>
            <w:pPr>
              <w:spacing w:before="40" w:after="40"/>
            </w:pPr>
            <w:r>
              <w:rPr>
                <w:rFonts w:ascii="Arial" w:hAnsi="Arial"/>
                <w:sz w:val="20"/>
              </w:rPr>
              <w:t>Cumplido con matices</w:t>
            </w:r>
          </w:p>
        </w:tc>
      </w:tr>
      <w:tr>
        <w:tc>
          <w:tcPr>
            <w:tcW w:type="dxa" w:w="3041"/>
          </w:tcPr>
          <w:p>
            <w:pPr>
              <w:spacing w:before="40" w:after="40"/>
            </w:pPr>
            <w:r>
              <w:rPr>
                <w:rFonts w:ascii="Arial" w:hAnsi="Arial"/>
                <w:sz w:val="20"/>
              </w:rPr>
              <w:t>OE-05</w:t>
            </w:r>
          </w:p>
        </w:tc>
        <w:tc>
          <w:tcPr>
            <w:tcW w:type="dxa" w:w="3041"/>
          </w:tcPr>
          <w:p>
            <w:pPr>
              <w:spacing w:before="40" w:after="40"/>
            </w:pPr>
            <w:r>
              <w:rPr>
                <w:rFonts w:ascii="Arial" w:hAnsi="Arial"/>
                <w:sz w:val="20"/>
              </w:rPr>
              <w:t>Panel administrativo con CRUD y revisión</w:t>
            </w:r>
          </w:p>
        </w:tc>
        <w:tc>
          <w:tcPr>
            <w:tcW w:type="dxa" w:w="3041"/>
          </w:tcPr>
          <w:p>
            <w:pPr>
              <w:spacing w:before="40" w:after="40"/>
            </w:pPr>
            <w:r>
              <w:rPr>
                <w:rFonts w:ascii="Arial" w:hAnsi="Arial"/>
                <w:sz w:val="20"/>
              </w:rPr>
              <w:t>Cumplido con matices</w:t>
            </w:r>
          </w:p>
        </w:tc>
      </w:tr>
      <w:tr>
        <w:tc>
          <w:tcPr>
            <w:tcW w:type="dxa" w:w="3041"/>
          </w:tcPr>
          <w:p>
            <w:pPr>
              <w:spacing w:before="40" w:after="40"/>
            </w:pPr>
            <w:r>
              <w:rPr>
                <w:rFonts w:ascii="Arial" w:hAnsi="Arial"/>
                <w:sz w:val="20"/>
              </w:rPr>
              <w:t>OE-06</w:t>
            </w:r>
          </w:p>
        </w:tc>
        <w:tc>
          <w:tcPr>
            <w:tcW w:type="dxa" w:w="3041"/>
          </w:tcPr>
          <w:p>
            <w:pPr>
              <w:spacing w:before="40" w:after="40"/>
            </w:pPr>
            <w:r>
              <w:rPr>
                <w:rFonts w:ascii="Arial" w:hAnsi="Arial"/>
                <w:sz w:val="20"/>
              </w:rPr>
              <w:t>Control de acceso con roles, JWT y RLS</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OE-07</w:t>
            </w:r>
          </w:p>
        </w:tc>
        <w:tc>
          <w:tcPr>
            <w:tcW w:type="dxa" w:w="3041"/>
          </w:tcPr>
          <w:p>
            <w:pPr>
              <w:spacing w:before="40" w:after="40"/>
            </w:pPr>
            <w:r>
              <w:rPr>
                <w:rFonts w:ascii="Arial" w:hAnsi="Arial"/>
                <w:sz w:val="20"/>
              </w:rPr>
              <w:t>Despliegue en Vercel con infraestructura Supabase</w:t>
            </w:r>
          </w:p>
        </w:tc>
        <w:tc>
          <w:tcPr>
            <w:tcW w:type="dxa" w:w="3041"/>
          </w:tcPr>
          <w:p>
            <w:pPr>
              <w:spacing w:before="40" w:after="40"/>
            </w:pPr>
            <w:r>
              <w:rPr>
                <w:rFonts w:ascii="Arial" w:hAnsi="Arial"/>
                <w:sz w:val="20"/>
              </w:rPr>
              <w:t>Cumplido</w:t>
            </w:r>
          </w:p>
        </w:tc>
      </w:tr>
    </w:tbl>
    <w:p/>
    <w:p>
      <w:pPr>
        <w:jc w:val="both"/>
      </w:pPr>
      <w:r>
        <w:rPr>
          <w:rFonts w:ascii="Arial" w:hAnsi="Arial"/>
          <w:sz w:val="22"/>
        </w:rP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pPr>
        <w:pStyle w:val="Heading3"/>
      </w:pPr>
      <w:r>
        <w:t>OE-03 — Nota sobre el instrumento psicométrico</w:t>
      </w:r>
    </w:p>
    <w:p>
      <w:pPr>
        <w:jc w:val="both"/>
      </w:pPr>
      <w:r>
        <w:rPr>
          <w:rFonts w:ascii="Arial" w:hAnsi="Arial"/>
          <w:sz w:val="22"/>
        </w:rP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pPr>
        <w:pStyle w:val="Heading2"/>
      </w:pPr>
      <w:r>
        <w:t>7.4 Resultados de la implementación</w:t>
      </w:r>
    </w:p>
    <w:p>
      <w:pPr>
        <w:pStyle w:val="Heading3"/>
      </w:pPr>
      <w:r>
        <w:t>7.4.1 Cobertura de requisitos funcionales</w:t>
      </w:r>
    </w:p>
    <w:p>
      <w:pPr>
        <w:jc w:val="both"/>
      </w:pPr>
      <w:r>
        <w:rPr>
          <w:rFonts w:ascii="Arial" w:hAnsi="Arial"/>
          <w:sz w:val="22"/>
        </w:rP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pPr>
        <w:pStyle w:val="ListBullet"/>
        <w:ind w:left="567"/>
      </w:pPr>
      <w:r>
        <w:rPr>
          <w:b/>
        </w:rPr>
        <w:t>Catorce requisitos implementados sin discrepancia:</w:t>
      </w:r>
      <w:r>
        <w:rPr>
          <w:rFonts w:ascii="Arial" w:hAnsi="Arial"/>
          <w:sz w:val="22"/>
        </w:rPr>
        <w:t xml:space="preserve"> RF-01 a RF-06, RF-08, RF-09, RF-10, RF-12, RF-13, RF-14, RF-15 y RF-16. El comportamiento del sistema es consistente con la especificación del Trabajo A en todos estos casos.</w:t>
      </w:r>
    </w:p>
    <w:p>
      <w:pPr>
        <w:pStyle w:val="ListBullet"/>
        <w:ind w:left="567"/>
      </w:pPr>
      <w:r>
        <w:rPr>
          <w:b/>
        </w:rPr>
        <w:t>Cuatro requisitos implementados con discrepancia documentada:</w:t>
      </w:r>
      <w:r>
        <w:rPr>
          <w:rFonts w:ascii="Arial" w:hAnsi="Arial"/>
          <w:sz w:val="22"/>
        </w:rPr>
        <w:t xml:space="preserve"> RF-07 (D-01), RF-11 y RF-18 (D-02), y RF-17 (D-03). Las discrepancias están descritas con detalle en §5.12 del Capítulo V y verificadas empíricamente en el Capítulo VI.</w:t>
      </w:r>
    </w:p>
    <w:p>
      <w:pPr>
        <w:pStyle w:val="Heading3"/>
      </w:pPr>
      <w:r>
        <w:t>7.4.2 Funcionalidades emergentes</w:t>
      </w:r>
    </w:p>
    <w:p>
      <w:pPr>
        <w:jc w:val="both"/>
      </w:pPr>
      <w:r>
        <w:rPr>
          <w:rFonts w:ascii="Arial" w:hAnsi="Arial"/>
          <w:sz w:val="22"/>
        </w:rPr>
        <w:t>Durante la implementación se desarrollaron cinco funcionalidades que superan la especificación del Trabajo A:</w:t>
      </w:r>
    </w:p>
    <w:p>
      <w:pPr>
        <w:pStyle w:val="ListBullet"/>
        <w:ind w:left="567"/>
      </w:pPr>
      <w:r>
        <w:rPr>
          <w:b/>
        </w:rPr>
        <w:t>FE-01</w:t>
      </w:r>
      <w:r>
        <w:rPr>
          <w:rFonts w:ascii="Arial" w:hAnsi="Arial"/>
          <w:sz w:val="22"/>
        </w:rP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pPr>
        <w:pStyle w:val="ListBullet"/>
        <w:ind w:left="567"/>
      </w:pPr>
      <w:r>
        <w:rPr>
          <w:b/>
        </w:rPr>
        <w:t>FE-02</w:t>
      </w:r>
      <w:r>
        <w:rPr>
          <w:rFonts w:ascii="Arial" w:hAnsi="Arial"/>
          <w:sz w:val="22"/>
        </w:rPr>
        <w:t xml:space="preserve"> — Creación automática de assessment al crear una vacante: el endpoint de creación de vacantes crea simultáneamente un registro en la tabla </w:t>
      </w:r>
      <w:r>
        <w:rPr>
          <w:rFonts w:ascii="Courier New" w:hAnsi="Courier New"/>
          <w:sz w:val="18"/>
        </w:rPr>
        <w:t>assessments</w:t>
      </w:r>
      <w:r>
        <w:rPr>
          <w:rFonts w:ascii="Arial" w:hAnsi="Arial"/>
          <w:sz w:val="22"/>
        </w:rPr>
        <w:t xml:space="preserve"> vinculado a la vacante, con rollback si la segunda operación falla.</w:t>
      </w:r>
    </w:p>
    <w:p>
      <w:pPr>
        <w:pStyle w:val="ListBullet"/>
        <w:ind w:left="567"/>
      </w:pPr>
      <w:r>
        <w:rPr>
          <w:b/>
        </w:rPr>
        <w:t>FE-03</w:t>
      </w:r>
      <w:r>
        <w:rPr>
          <w:rFonts w:ascii="Arial" w:hAnsi="Arial"/>
          <w:sz w:val="22"/>
        </w:rPr>
        <w:t xml:space="preserve"> — Reutilización de intento existente al postularse: si el candidato intenta postularse a una vacante a la que ya se postuló, el sistema retorna el intento existente en lugar de crear un duplicado, garantizando idempotencia.</w:t>
      </w:r>
    </w:p>
    <w:p>
      <w:pPr>
        <w:pStyle w:val="ListBullet"/>
        <w:ind w:left="567"/>
      </w:pPr>
      <w:r>
        <w:rPr>
          <w:b/>
        </w:rPr>
        <w:t>FE-04</w:t>
      </w:r>
      <w:r>
        <w:rPr>
          <w:rFonts w:ascii="Arial" w:hAnsi="Arial"/>
          <w:sz w:val="22"/>
        </w:rP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rPr>
          <w:rFonts w:ascii="Arial" w:hAnsi="Arial"/>
          <w:sz w:val="22"/>
        </w:rPr>
        <w:t xml:space="preserve"> en el resumen persistido.</w:t>
      </w:r>
    </w:p>
    <w:p>
      <w:pPr>
        <w:pStyle w:val="ListBullet"/>
        <w:ind w:left="567"/>
      </w:pPr>
      <w:r>
        <w:rPr>
          <w:b/>
        </w:rPr>
        <w:t>FE-05</w:t>
      </w:r>
      <w:r>
        <w:rPr>
          <w:rFonts w:ascii="Arial" w:hAnsi="Arial"/>
          <w:sz w:val="22"/>
        </w:rPr>
        <w:t xml:space="preserve"> — Detección de cambio de pestaña mediante </w:t>
      </w:r>
      <w:r>
        <w:rPr>
          <w:rFonts w:ascii="Courier New" w:hAnsi="Courier New"/>
          <w:sz w:val="18"/>
        </w:rPr>
        <w:t>localStorage</w:t>
      </w:r>
      <w:r>
        <w:rPr>
          <w:rFonts w:ascii="Arial" w:hAnsi="Arial"/>
          <w:sz w:val="22"/>
        </w:rPr>
        <w:t>: el sistema detecta cuando el candidato abandona la pestaña de evaluación y registra el evento en el estado local del navegador.</w:t>
      </w:r>
    </w:p>
    <w:p>
      <w:pPr>
        <w:pStyle w:val="Heading3"/>
      </w:pPr>
      <w:r>
        <w:t>7.4.3 Discrepancias entre el diseño y la implementación</w:t>
      </w:r>
    </w:p>
    <w:p>
      <w:pPr>
        <w:jc w:val="both"/>
      </w:pPr>
      <w:r>
        <w:rPr>
          <w:rFonts w:ascii="Arial" w:hAnsi="Arial"/>
          <w:sz w:val="22"/>
        </w:rPr>
        <w:t>Se identificaron cinco discrepancias entre el diseño del Trabajo A y el comportamiento implementado en el MVP. Todas están documentadas en el Capítulo V y verificadas en el Capítulo VI:</w:t>
      </w:r>
    </w:p>
    <w:p>
      <w:pPr>
        <w:pStyle w:val="ListBullet"/>
        <w:ind w:left="567"/>
      </w:pPr>
      <w:r>
        <w:rPr>
          <w:b/>
        </w:rPr>
        <w:t>D-01</w:t>
      </w:r>
      <w:r>
        <w:rPr>
          <w:rFonts w:ascii="Arial" w:hAnsi="Arial"/>
          <w:sz w:val="22"/>
        </w:rPr>
        <w:t xml:space="preserve"> — El guard de postulación verifica únicamente que el psicométrico haya sido </w:t>
      </w:r>
      <w:r>
        <w:rPr>
          <w:i/>
        </w:rPr>
        <w:t>completado</w:t>
      </w:r>
      <w:r>
        <w:rPr>
          <w:rFonts w:ascii="Arial" w:hAnsi="Arial"/>
          <w:sz w:val="22"/>
        </w:rPr>
        <w:t>, sin evaluar la clasificación obtenida (Alta, Adecuada o Riesgo). Un candidato con clasificación "Riesgo" puede postularse si ha enviado el cuestionario. Esta discrepancia fue confirmada por inspección de código (EE-08) y verificada empíricamente (CP-07 y CP-08).</w:t>
      </w:r>
    </w:p>
    <w:p>
      <w:pPr>
        <w:pStyle w:val="ListBullet"/>
        <w:ind w:left="567"/>
      </w:pPr>
      <w:r>
        <w:rPr>
          <w:b/>
        </w:rPr>
        <w:t>D-02</w:t>
      </w:r>
      <w:r>
        <w:rPr>
          <w:rFonts w:ascii="Arial" w:hAnsi="Arial"/>
          <w:sz w:val="22"/>
        </w:rPr>
        <w:t xml:space="preserve"> — Las decisiones administrativas se almacenan en </w:t>
      </w:r>
      <w:r>
        <w:rPr>
          <w:rFonts w:ascii="Courier New" w:hAnsi="Courier New"/>
          <w:sz w:val="18"/>
        </w:rPr>
        <w:t>attempts.decision</w:t>
      </w:r>
      <w:r>
        <w:rPr>
          <w:rFonts w:ascii="Arial" w:hAnsi="Arial"/>
          <w:sz w:val="22"/>
        </w:rPr>
        <w:t xml:space="preserve"> como registro efectivo, en lugar de la tabla </w:t>
      </w:r>
      <w:r>
        <w:rPr>
          <w:rFonts w:ascii="Courier New" w:hAnsi="Courier New"/>
          <w:sz w:val="18"/>
        </w:rPr>
        <w:t>reviews</w:t>
      </w:r>
      <w:r>
        <w:rPr>
          <w:rFonts w:ascii="Arial" w:hAnsi="Arial"/>
          <w:sz w:val="22"/>
        </w:rPr>
        <w:t xml:space="preserve"> que el diseño designaba como almacén primario. La causa raíz es una discrepancia entre las columnas que el código intenta escribir y las que el schema define (INC-6B-02). La decisión queda persistida correctamente, aunque en la tabla de respaldo.</w:t>
      </w:r>
    </w:p>
    <w:p>
      <w:pPr>
        <w:pStyle w:val="ListBullet"/>
        <w:ind w:left="567"/>
      </w:pPr>
      <w:r>
        <w:rPr>
          <w:b/>
        </w:rPr>
        <w:t>D-03</w:t>
      </w:r>
      <w:r>
        <w:rPr>
          <w:rFonts w:ascii="Arial" w:hAnsi="Arial"/>
          <w:sz w:val="22"/>
        </w:rPr>
        <w:t xml:space="preserve"> — El endpoint de estadísticas por vacante (</w:t>
      </w:r>
      <w:r>
        <w:rPr>
          <w:rFonts w:ascii="Courier New" w:hAnsi="Courier New"/>
          <w:sz w:val="18"/>
        </w:rPr>
        <w:t>GET /api/admin/vacancies/[id]/stats</w:t>
      </w:r>
      <w:r>
        <w:rPr>
          <w:rFonts w:ascii="Arial" w:hAnsi="Arial"/>
          <w:sz w:val="22"/>
        </w:rPr>
        <w:t>) devuelve únicamente dos métricas (conteo de postulaciones e intentos), en lugar de las métricas completas del diseño original. El endpoint funciona pero no está integrado en ninguna vista del panel. Confirmado empíricamente en CP-18.</w:t>
      </w:r>
    </w:p>
    <w:p>
      <w:pPr>
        <w:pStyle w:val="ListBullet"/>
        <w:ind w:left="567"/>
      </w:pPr>
      <w:r>
        <w:rPr>
          <w:b/>
        </w:rPr>
        <w:t>D-04</w:t>
      </w:r>
      <w:r>
        <w:rPr>
          <w:rFonts w:ascii="Arial" w:hAnsi="Arial"/>
          <w:sz w:val="22"/>
        </w:rPr>
        <w:t xml:space="preserve"> — El rol </w:t>
      </w:r>
      <w:r>
        <w:rPr>
          <w:rFonts w:ascii="Courier New" w:hAnsi="Courier New"/>
          <w:sz w:val="18"/>
        </w:rPr>
        <w:t>reviewer</w:t>
      </w:r>
      <w:r>
        <w:rPr>
          <w:rFonts w:ascii="Arial" w:hAnsi="Arial"/>
          <w:sz w:val="22"/>
        </w:rPr>
        <w:t xml:space="preserve"> está definido en el esquema de la base de datos, pero la función </w:t>
      </w:r>
      <w:r>
        <w:rPr>
          <w:rFonts w:ascii="Courier New" w:hAnsi="Courier New"/>
          <w:sz w:val="18"/>
        </w:rPr>
        <w:t>resolveRole("reviewer")</w:t>
      </w:r>
      <w:r>
        <w:rPr>
          <w:rFonts w:ascii="Arial" w:hAnsi="Arial"/>
          <w:sz w:val="22"/>
        </w:rPr>
        <w:t xml:space="preserve"> retorna </w:t>
      </w:r>
      <w:r>
        <w:rPr>
          <w:rFonts w:ascii="Courier New" w:hAnsi="Courier New"/>
          <w:sz w:val="18"/>
        </w:rPr>
        <w:t>"user"</w:t>
      </w:r>
      <w:r>
        <w:rPr>
          <w:rFonts w:ascii="Arial" w:hAnsi="Arial"/>
          <w:sz w:val="22"/>
        </w:rPr>
        <w:t>, lo que lo hace inoperativo en la lógica de negocio. Confirmado estáticamente (EE-05).</w:t>
      </w:r>
    </w:p>
    <w:p>
      <w:pPr>
        <w:pStyle w:val="ListBullet"/>
        <w:ind w:left="567"/>
      </w:pPr>
      <w:r>
        <w:rPr>
          <w:b/>
        </w:rPr>
        <w:t>D-05</w:t>
      </w:r>
      <w:r>
        <w:rPr>
          <w:rFonts w:ascii="Arial" w:hAnsi="Arial"/>
          <w:sz w:val="22"/>
        </w:rPr>
        <w:t xml:space="preserve"> — La lista de exclusión de candidatos descrita en el diseño original no tiene implementación; la tabla correspondiente no existe en el schema. Confirmado por inspección del schema SQL.</w:t>
      </w:r>
    </w:p>
    <w:p>
      <w:pPr>
        <w:jc w:val="both"/>
      </w:pPr>
      <w:r>
        <w:rPr>
          <w:rFonts w:ascii="Arial" w:hAnsi="Arial"/>
          <w:sz w:val="22"/>
        </w:rPr>
        <w:t>Las cinco discrepancias fueron presentadas al jurado académico como diferencias entre el diseño de referencia y el MVP entregado, no como defectos no conocidos. Su documentación sistemática es parte del valor técnico del proceso de validación realizado.</w:t>
      </w:r>
    </w:p>
    <w:p>
      <w:pPr>
        <w:pStyle w:val="Heading2"/>
      </w:pPr>
      <w:r>
        <w:t>7.5 Resultados de las pruebas</w:t>
      </w:r>
    </w:p>
    <w:p>
      <w:pPr>
        <w:pStyle w:val="Heading3"/>
      </w:pPr>
      <w:r>
        <w:t>7.5.1 Plan de pruebas</w:t>
      </w:r>
    </w:p>
    <w:p>
      <w:pPr>
        <w:jc w:val="both"/>
      </w:pPr>
      <w:r>
        <w:rPr>
          <w:rFonts w:ascii="Arial" w:hAnsi="Arial"/>
          <w:sz w:val="22"/>
        </w:rP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pPr>
        <w:pStyle w:val="Heading3"/>
      </w:pPr>
      <w:r>
        <w:t>7.5.2 Ejecución</w:t>
      </w:r>
    </w:p>
    <w:p>
      <w:pPr>
        <w:jc w:val="center"/>
      </w:pPr>
      <w:r>
        <w:drawing>
          <wp:inline xmlns:a="http://schemas.openxmlformats.org/drawingml/2006/main" xmlns:pic="http://schemas.openxmlformats.org/drawingml/2006/picture">
            <wp:extent cx="5040000" cy="3150000"/>
            <wp:docPr id="59" name="Picture 59"/>
            <wp:cNvGraphicFramePr>
              <a:graphicFrameLocks noChangeAspect="1"/>
            </wp:cNvGraphicFramePr>
            <a:graphic>
              <a:graphicData uri="http://schemas.openxmlformats.org/drawingml/2006/picture">
                <pic:pic>
                  <pic:nvPicPr>
                    <pic:cNvPr id="0" name="EV-5A-02-landing.png"/>
                    <pic:cNvPicPr/>
                  </pic:nvPicPr>
                  <pic:blipFill>
                    <a:blip r:embed="rId9"/>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jc w:val="both"/>
      </w:pPr>
      <w:r>
        <w:rPr>
          <w:rFonts w:ascii="Arial" w:hAnsi="Arial"/>
          <w:sz w:val="22"/>
        </w:rP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rPr>
          <w:rFonts w:ascii="Arial" w:hAnsi="Arial"/>
          <w:sz w:val="22"/>
        </w:rPr>
        <w:t>, conteo de requisitos funcionales y verificación de las rutas de control de acceso. Todas las verificaciones estáticas pasaron o fueron documentadas correctamente.</w:t>
      </w:r>
    </w:p>
    <w:p>
      <w:pPr>
        <w:jc w:val="both"/>
      </w:pPr>
      <w:r>
        <w:rPr>
          <w:rFonts w:ascii="Arial" w:hAnsi="Arial"/>
          <w:sz w:val="22"/>
        </w:rP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rPr>
          <w:rFonts w:ascii="Arial" w:hAnsi="Arial"/>
          <w:sz w:val="22"/>
        </w:rPr>
        <w:t>, lo que permitió documentar las respuestas completas de cada endpoint como evidencias textuales.</w:t>
      </w:r>
    </w:p>
    <w:p>
      <w:pPr>
        <w:pStyle w:val="Heading3"/>
      </w:pPr>
      <w:r>
        <w:t>7.5.3 Resultados</w:t>
      </w:r>
    </w:p>
    <w:p>
      <w:pPr>
        <w:jc w:val="center"/>
      </w:pPr>
      <w:r>
        <w:drawing>
          <wp:inline xmlns:a="http://schemas.openxmlformats.org/drawingml/2006/main" xmlns:pic="http://schemas.openxmlformats.org/drawingml/2006/picture">
            <wp:extent cx="5040000" cy="3150000"/>
            <wp:docPr id="60" name="Picture 60"/>
            <wp:cNvGraphicFramePr>
              <a:graphicFrameLocks noChangeAspect="1"/>
            </wp:cNvGraphicFramePr>
            <a:graphic>
              <a:graphicData uri="http://schemas.openxmlformats.org/drawingml/2006/picture">
                <pic:pic>
                  <pic:nvPicPr>
                    <pic:cNvPr id="0" name="EV-5A-05-registro-formulario.png"/>
                    <pic:cNvPicPr/>
                  </pic:nvPicPr>
                  <pic:blipFill>
                    <a:blip r:embed="rId12"/>
                    <a:stretch>
                      <a:fillRect/>
                    </a:stretch>
                  </pic:blipFill>
                  <pic:spPr>
                    <a:xfrm>
                      <a:off x="0" y="0"/>
                      <a:ext cx="5040000" cy="3150000"/>
                    </a:xfrm>
                    <a:prstGeom prst="rect"/>
                  </pic:spPr>
                </pic:pic>
              </a:graphicData>
            </a:graphic>
          </wp:inline>
        </w:drawing>
      </w:r>
    </w:p>
    <w:p>
      <w:pPr>
        <w:pStyle w:val="FigureCaption"/>
      </w:pPr>
      <w:r>
        <w:t>Figura 5.5. Formulario de registro de candidato (/register). Fuente: captura de pantalla propia, 2026.</w:t>
      </w:r>
    </w:p>
    <w:p>
      <w:pPr>
        <w:jc w:val="center"/>
      </w:pPr>
      <w:r>
        <w:drawing>
          <wp:inline xmlns:a="http://schemas.openxmlformats.org/drawingml/2006/main" xmlns:pic="http://schemas.openxmlformats.org/drawingml/2006/picture">
            <wp:extent cx="5040000" cy="3150000"/>
            <wp:docPr id="61" name="Picture 61"/>
            <wp:cNvGraphicFramePr>
              <a:graphicFrameLocks noChangeAspect="1"/>
            </wp:cNvGraphicFramePr>
            <a:graphic>
              <a:graphicData uri="http://schemas.openxmlformats.org/drawingml/2006/picture">
                <pic:pic>
                  <pic:nvPicPr>
                    <pic:cNvPr id="0" name="EV-5A-07-login.png"/>
                    <pic:cNvPicPr/>
                  </pic:nvPicPr>
                  <pic:blipFill>
                    <a:blip r:embed="rId14"/>
                    <a:stretch>
                      <a:fillRect/>
                    </a:stretch>
                  </pic:blipFill>
                  <pic:spPr>
                    <a:xfrm>
                      <a:off x="0" y="0"/>
                      <a:ext cx="5040000" cy="3150000"/>
                    </a:xfrm>
                    <a:prstGeom prst="rect"/>
                  </pic:spPr>
                </pic:pic>
              </a:graphicData>
            </a:graphic>
          </wp:inline>
        </w:drawing>
      </w:r>
    </w:p>
    <w:p>
      <w:pPr>
        <w:pStyle w:val="FigureCaption"/>
      </w:pPr>
      <w:r>
        <w:t>Figura 5.7. Formulario de inicio de sesión (/login). Fuente: captura de pantalla propia, 2026.</w:t>
      </w:r>
    </w:p>
    <w:p>
      <w:pPr>
        <w:jc w:val="both"/>
      </w:pPr>
      <w:r>
        <w:rPr>
          <w:rFonts w:ascii="Arial" w:hAnsi="Arial"/>
          <w:sz w:val="22"/>
        </w:rPr>
        <w:t xml:space="preserve">El conteo definitivo, conciliado en el documento </w:t>
      </w:r>
      <w:r>
        <w:rPr>
          <w:rFonts w:ascii="Courier New" w:hAnsi="Courier New"/>
          <w:sz w:val="18"/>
        </w:rPr>
        <w:t>07-conciliacion-pruebas.md</w:t>
      </w:r>
      <w:r>
        <w:rPr>
          <w:rFonts w:ascii="Arial" w:hAnsi="Arial"/>
          <w:sz w:val="22"/>
        </w:rPr>
        <w:t>, es el siguiente: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Estado</w:t>
            </w:r>
          </w:p>
        </w:tc>
        <w:tc>
          <w:tcPr>
            <w:tcW w:type="dxa" w:w="2280"/>
          </w:tcPr>
          <w:p>
            <w:pPr>
              <w:spacing w:before="40" w:after="40"/>
            </w:pPr>
            <w:r>
              <w:rPr>
                <w:b/>
                <w:sz w:val="20"/>
              </w:rPr>
              <w:t>Cantidad</w:t>
            </w:r>
          </w:p>
        </w:tc>
        <w:tc>
          <w:tcPr>
            <w:tcW w:type="dxa" w:w="2280"/>
          </w:tcPr>
          <w:p>
            <w:pPr>
              <w:spacing w:before="40" w:after="40"/>
            </w:pPr>
            <w:r>
              <w:rPr>
                <w:b/>
                <w:sz w:val="20"/>
              </w:rPr>
              <w:t>Porcentaje</w:t>
            </w:r>
          </w:p>
        </w:tc>
        <w:tc>
          <w:tcPr>
            <w:tcW w:type="dxa" w:w="2280"/>
          </w:tcPr>
          <w:p>
            <w:pPr>
              <w:spacing w:before="40" w:after="40"/>
            </w:pPr>
            <w:r>
              <w:rPr>
                <w:b/>
                <w:sz w:val="20"/>
              </w:rPr>
              <w:t>Casos</w:t>
            </w:r>
          </w:p>
        </w:tc>
      </w:tr>
      <w:tr>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16</w:t>
            </w:r>
          </w:p>
        </w:tc>
        <w:tc>
          <w:tcPr>
            <w:tcW w:type="dxa" w:w="2280"/>
          </w:tcPr>
          <w:p>
            <w:pPr>
              <w:spacing w:before="40" w:after="40"/>
            </w:pPr>
            <w:r>
              <w:rPr>
                <w:rFonts w:ascii="Arial" w:hAnsi="Arial"/>
                <w:sz w:val="20"/>
              </w:rPr>
              <w:t>72.7 %</w:t>
            </w:r>
          </w:p>
        </w:tc>
        <w:tc>
          <w:tcPr>
            <w:tcW w:type="dxa" w:w="2280"/>
          </w:tcPr>
          <w:p>
            <w:pPr>
              <w:spacing w:before="40" w:after="40"/>
            </w:pPr>
            <w:r>
              <w:rPr>
                <w:rFonts w:ascii="Arial" w:hAnsi="Arial"/>
                <w:sz w:val="20"/>
              </w:rPr>
              <w:t>CP-01..03, CP-07..09, CP-12..19, CP-21..22</w:t>
            </w:r>
          </w:p>
        </w:tc>
      </w:tr>
      <w:tr>
        <w:tc>
          <w:tcPr>
            <w:tcW w:type="dxa" w:w="2280"/>
          </w:tcPr>
          <w:p>
            <w:pPr>
              <w:spacing w:before="40" w:after="40"/>
            </w:pPr>
            <w:r>
              <w:rPr>
                <w:rFonts w:ascii="Arial" w:hAnsi="Arial"/>
                <w:sz w:val="20"/>
              </w:rPr>
              <w:t>APROBADO PARCIAL</w:t>
            </w:r>
          </w:p>
        </w:tc>
        <w:tc>
          <w:tcPr>
            <w:tcW w:type="dxa" w:w="2280"/>
          </w:tcPr>
          <w:p>
            <w:pPr>
              <w:spacing w:before="40" w:after="40"/>
            </w:pPr>
            <w:r>
              <w:rPr>
                <w:rFonts w:ascii="Arial" w:hAnsi="Arial"/>
                <w:sz w:val="20"/>
              </w:rPr>
              <w:t>2</w:t>
            </w:r>
          </w:p>
        </w:tc>
        <w:tc>
          <w:tcPr>
            <w:tcW w:type="dxa" w:w="2280"/>
          </w:tcPr>
          <w:p>
            <w:pPr>
              <w:spacing w:before="40" w:after="40"/>
            </w:pPr>
            <w:r>
              <w:rPr>
                <w:rFonts w:ascii="Arial" w:hAnsi="Arial"/>
                <w:sz w:val="20"/>
              </w:rPr>
              <w:t>9.1 %</w:t>
            </w:r>
          </w:p>
        </w:tc>
        <w:tc>
          <w:tcPr>
            <w:tcW w:type="dxa" w:w="2280"/>
          </w:tcPr>
          <w:p>
            <w:pPr>
              <w:spacing w:before="40" w:after="40"/>
            </w:pPr>
            <w:r>
              <w:rPr>
                <w:rFonts w:ascii="Arial" w:hAnsi="Arial"/>
                <w:sz w:val="20"/>
              </w:rPr>
              <w:t>CP-10 (INC-6B-01), CP-20 (INC-6B-02)</w:t>
            </w:r>
          </w:p>
        </w:tc>
      </w:tr>
      <w:tr>
        <w:tc>
          <w:tcPr>
            <w:tcW w:type="dxa" w:w="2280"/>
          </w:tcPr>
          <w:p>
            <w:pPr>
              <w:spacing w:before="40" w:after="40"/>
            </w:pPr>
            <w:r>
              <w:rPr>
                <w:rFonts w:ascii="Arial" w:hAnsi="Arial"/>
                <w:sz w:val="20"/>
              </w:rPr>
              <w:t>PARCIAL (sin endpoint REST)</w:t>
            </w:r>
          </w:p>
        </w:tc>
        <w:tc>
          <w:tcPr>
            <w:tcW w:type="dxa" w:w="2280"/>
          </w:tcPr>
          <w:p>
            <w:pPr>
              <w:spacing w:before="40" w:after="40"/>
            </w:pPr>
            <w:r>
              <w:rPr>
                <w:rFonts w:ascii="Arial" w:hAnsi="Arial"/>
                <w:sz w:val="20"/>
              </w:rPr>
              <w:t>3</w:t>
            </w:r>
          </w:p>
        </w:tc>
        <w:tc>
          <w:tcPr>
            <w:tcW w:type="dxa" w:w="2280"/>
          </w:tcPr>
          <w:p>
            <w:pPr>
              <w:spacing w:before="40" w:after="40"/>
            </w:pPr>
            <w:r>
              <w:rPr>
                <w:rFonts w:ascii="Arial" w:hAnsi="Arial"/>
                <w:sz w:val="20"/>
              </w:rPr>
              <w:t>13.6 %</w:t>
            </w:r>
          </w:p>
        </w:tc>
        <w:tc>
          <w:tcPr>
            <w:tcW w:type="dxa" w:w="2280"/>
          </w:tcPr>
          <w:p>
            <w:pPr>
              <w:spacing w:before="40" w:after="40"/>
            </w:pPr>
            <w:r>
              <w:rPr>
                <w:rFonts w:ascii="Arial" w:hAnsi="Arial"/>
                <w:sz w:val="20"/>
              </w:rPr>
              <w:t>CP-04, CP-05, CP-06</w:t>
            </w:r>
          </w:p>
        </w:tc>
      </w:tr>
      <w:tr>
        <w:tc>
          <w:tcPr>
            <w:tcW w:type="dxa" w:w="2280"/>
          </w:tcPr>
          <w:p>
            <w:pPr>
              <w:spacing w:before="40" w:after="40"/>
            </w:pPr>
            <w:r>
              <w:rPr>
                <w:rFonts w:ascii="Arial" w:hAnsi="Arial"/>
                <w:sz w:val="20"/>
              </w:rPr>
              <w:t>BLOQUEADO</w:t>
            </w:r>
          </w:p>
        </w:tc>
        <w:tc>
          <w:tcPr>
            <w:tcW w:type="dxa" w:w="2280"/>
          </w:tcPr>
          <w:p>
            <w:pPr>
              <w:spacing w:before="40" w:after="40"/>
            </w:pPr>
            <w:r>
              <w:rPr>
                <w:rFonts w:ascii="Arial" w:hAnsi="Arial"/>
                <w:sz w:val="20"/>
              </w:rPr>
              <w:t>1</w:t>
            </w:r>
          </w:p>
        </w:tc>
        <w:tc>
          <w:tcPr>
            <w:tcW w:type="dxa" w:w="2280"/>
          </w:tcPr>
          <w:p>
            <w:pPr>
              <w:spacing w:before="40" w:after="40"/>
            </w:pPr>
            <w:r>
              <w:rPr>
                <w:rFonts w:ascii="Arial" w:hAnsi="Arial"/>
                <w:sz w:val="20"/>
              </w:rPr>
              <w:t>4.5 %</w:t>
            </w:r>
          </w:p>
        </w:tc>
        <w:tc>
          <w:tcPr>
            <w:tcW w:type="dxa" w:w="2280"/>
          </w:tcPr>
          <w:p>
            <w:pPr>
              <w:spacing w:before="40" w:after="40"/>
            </w:pPr>
            <w:r>
              <w:rPr>
                <w:rFonts w:ascii="Arial" w:hAnsi="Arial"/>
                <w:sz w:val="20"/>
              </w:rPr>
              <w:t>CP-11</w:t>
            </w:r>
          </w:p>
        </w:tc>
      </w:tr>
      <w:tr>
        <w:tc>
          <w:tcPr>
            <w:tcW w:type="dxa" w:w="2280"/>
          </w:tcPr>
          <w:p>
            <w:pPr>
              <w:spacing w:before="40" w:after="40"/>
            </w:pPr>
            <w:r>
              <w:rPr>
                <w:rFonts w:ascii="Arial" w:hAnsi="Arial"/>
                <w:sz w:val="20"/>
              </w:rPr>
              <w:t>FALLIDO</w:t>
            </w:r>
          </w:p>
        </w:tc>
        <w:tc>
          <w:tcPr>
            <w:tcW w:type="dxa" w:w="2280"/>
          </w:tcPr>
          <w:p>
            <w:pPr>
              <w:spacing w:before="40" w:after="40"/>
            </w:pPr>
            <w:r>
              <w:rPr>
                <w:rFonts w:ascii="Arial" w:hAnsi="Arial"/>
                <w:sz w:val="20"/>
              </w:rPr>
              <w:t>0</w:t>
            </w:r>
          </w:p>
        </w:tc>
        <w:tc>
          <w:tcPr>
            <w:tcW w:type="dxa" w:w="2280"/>
          </w:tcPr>
          <w:p>
            <w:pPr>
              <w:spacing w:before="40" w:after="40"/>
            </w:pPr>
            <w:r>
              <w:rPr>
                <w:rFonts w:ascii="Arial" w:hAnsi="Arial"/>
                <w:sz w:val="20"/>
              </w:rPr>
              <w:t>0 %</w:t>
            </w:r>
          </w:p>
        </w:tc>
        <w:tc>
          <w:tcPr>
            <w:tcW w:type="dxa" w:w="2280"/>
          </w:tcPr>
          <w:p>
            <w:pPr>
              <w:spacing w:before="40" w:after="40"/>
            </w:pPr>
            <w:r>
              <w:rPr>
                <w:rFonts w:ascii="Arial" w:hAnsi="Arial"/>
                <w:sz w:val="20"/>
              </w:rPr>
              <w:t>—</w:t>
            </w:r>
          </w:p>
        </w:tc>
      </w:tr>
      <w:tr>
        <w:tc>
          <w:tcPr>
            <w:tcW w:type="dxa" w:w="2280"/>
          </w:tcPr>
          <w:p>
            <w:pPr>
              <w:spacing w:before="40" w:after="40"/>
            </w:pPr>
            <w:r>
              <w:rPr>
                <w:b/>
                <w:sz w:val="20"/>
              </w:rPr>
              <w:t>Total</w:t>
            </w:r>
          </w:p>
        </w:tc>
        <w:tc>
          <w:tcPr>
            <w:tcW w:type="dxa" w:w="2280"/>
          </w:tcPr>
          <w:p>
            <w:pPr>
              <w:spacing w:before="40" w:after="40"/>
            </w:pPr>
            <w:r>
              <w:rPr>
                <w:b/>
                <w:sz w:val="20"/>
              </w:rPr>
              <w:t>22</w:t>
            </w:r>
          </w:p>
        </w:tc>
        <w:tc>
          <w:tcPr>
            <w:tcW w:type="dxa" w:w="2280"/>
          </w:tcPr>
          <w:p>
            <w:pPr>
              <w:spacing w:before="40" w:after="40"/>
            </w:pPr>
            <w:r>
              <w:rPr>
                <w:b/>
                <w:sz w:val="20"/>
              </w:rPr>
              <w:t>100 %</w:t>
            </w:r>
          </w:p>
        </w:tc>
        <w:tc>
          <w:tcPr>
            <w:tcW w:type="dxa" w:w="2280"/>
          </w:tcPr>
          <w:p>
            <w:pPr>
              <w:spacing w:before="40" w:after="40"/>
            </w:pPr>
          </w:p>
        </w:tc>
      </w:tr>
    </w:tbl>
    <w:p/>
    <w:p>
      <w:pPr>
        <w:jc w:val="both"/>
      </w:pPr>
      <w:r>
        <w:rPr>
          <w:rFonts w:ascii="Arial" w:hAnsi="Arial"/>
          <w:sz w:val="22"/>
        </w:rP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 directas a la base de datos.</w:t>
      </w:r>
    </w:p>
    <w:p>
      <w:pPr>
        <w:jc w:val="both"/>
      </w:pPr>
      <w:r>
        <w:rPr>
          <w:rFonts w:ascii="Arial" w:hAnsi="Arial"/>
          <w:sz w:val="22"/>
        </w:rP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rPr>
          <w:rFonts w:ascii="Arial" w:hAnsi="Arial"/>
          <w:sz w:val="22"/>
        </w:rPr>
        <w:t xml:space="preserve"> y constituye la única funcionalidad del plan no probada empíricamente.</w:t>
      </w:r>
    </w:p>
    <w:p>
      <w:pPr>
        <w:pStyle w:val="Heading3"/>
      </w:pPr>
      <w:r>
        <w:t>7.5.4 Incidencias detectadas</w:t>
      </w:r>
    </w:p>
    <w:p>
      <w:pPr>
        <w:jc w:val="center"/>
      </w:pPr>
      <w:r>
        <w:drawing>
          <wp:inline xmlns:a="http://schemas.openxmlformats.org/drawingml/2006/main" xmlns:pic="http://schemas.openxmlformats.org/drawingml/2006/picture">
            <wp:extent cx="5040000" cy="3150000"/>
            <wp:docPr id="62" name="Picture 62"/>
            <wp:cNvGraphicFramePr>
              <a:graphicFrameLocks noChangeAspect="1"/>
            </wp:cNvGraphicFramePr>
            <a:graphic>
              <a:graphicData uri="http://schemas.openxmlformats.org/drawingml/2006/picture">
                <pic:pic>
                  <pic:nvPicPr>
                    <pic:cNvPr id="0" name="EV-5A-09-panel-candidato.png"/>
                    <pic:cNvPicPr/>
                  </pic:nvPicPr>
                  <pic:blipFill>
                    <a:blip r:embed="rId15"/>
                    <a:stretch>
                      <a:fillRect/>
                    </a:stretch>
                  </pic:blipFill>
                  <pic:spPr>
                    <a:xfrm>
                      <a:off x="0" y="0"/>
                      <a:ext cx="5040000" cy="3150000"/>
                    </a:xfrm>
                    <a:prstGeom prst="rect"/>
                  </pic:spPr>
                </pic:pic>
              </a:graphicData>
            </a:graphic>
          </wp:inline>
        </w:drawing>
      </w:r>
    </w:p>
    <w:p>
      <w:pPr>
        <w:pStyle w:val="FigureCaption"/>
      </w:pPr>
      <w:r>
        <w:t>Figura 5.9. Panel principal del candidato autenticado (/panel). Fuente: captura de pantalla propia, 2026.</w:t>
      </w:r>
    </w:p>
    <w:p>
      <w:pPr>
        <w:jc w:val="both"/>
      </w:pPr>
      <w:r>
        <w:rPr>
          <w:rFonts w:ascii="Arial" w:hAnsi="Arial"/>
          <w:sz w:val="22"/>
        </w:rPr>
        <w:t>Dos incidencias funcionales se detectaron durante la ejecución y fueron documentadas en el Capítulo VI:</w:t>
      </w:r>
    </w:p>
    <w:p>
      <w:pPr>
        <w:pStyle w:val="ListBullet"/>
        <w:ind w:left="567"/>
      </w:pPr>
      <w:r>
        <w:rPr>
          <w:b/>
        </w:rPr>
        <w:t>INC-6B-01</w:t>
      </w:r>
      <w:r>
        <w:rPr>
          <w:rFonts w:ascii="Arial" w:hAnsi="Arial"/>
          <w:sz w:val="22"/>
        </w:rP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pPr>
        <w:pStyle w:val="ListBullet"/>
        <w:ind w:left="567"/>
      </w:pPr>
      <w:r>
        <w:rPr>
          <w:b/>
        </w:rPr>
        <w:t>INC-6B-02</w:t>
      </w:r>
      <w:r>
        <w:rPr>
          <w:rFonts w:ascii="Arial" w:hAnsi="Arial"/>
          <w:sz w:val="22"/>
        </w:rPr>
        <w:t xml:space="preserve"> (severidad media): La función </w:t>
      </w:r>
      <w:r>
        <w:rPr>
          <w:rFonts w:ascii="Courier New" w:hAnsi="Courier New"/>
          <w:sz w:val="18"/>
        </w:rPr>
        <w:t>upsertReview</w:t>
      </w:r>
      <w:r>
        <w:rPr>
          <w:rFonts w:ascii="Arial" w:hAnsi="Arial"/>
          <w:sz w:val="22"/>
        </w:rPr>
        <w:t xml:space="preserve"> no logra escribir en la tabla </w:t>
      </w:r>
      <w:r>
        <w:rPr>
          <w:rFonts w:ascii="Courier New" w:hAnsi="Courier New"/>
          <w:sz w:val="18"/>
        </w:rPr>
        <w:t>reviews</w:t>
      </w:r>
      <w:r>
        <w:rPr>
          <w:rFonts w:ascii="Arial" w:hAnsi="Arial"/>
          <w:sz w:val="22"/>
        </w:rPr>
        <w:t xml:space="preserve"> por incompatibilidad entre las columnas que el código intenta utilizar y las que el schema define. El sistema cae al fallback y persiste la decisión en </w:t>
      </w:r>
      <w:r>
        <w:rPr>
          <w:rFonts w:ascii="Courier New" w:hAnsi="Courier New"/>
          <w:sz w:val="18"/>
        </w:rPr>
        <w:t>attempts.decision</w:t>
      </w:r>
      <w:r>
        <w:rPr>
          <w:rFonts w:ascii="Arial" w:hAnsi="Arial"/>
          <w:sz w:val="22"/>
        </w:rPr>
        <w:t>. La decisión se guarda correctamente; la trazabilidad de revisiones por tabla dedicada queda incompleta.</w:t>
      </w:r>
    </w:p>
    <w:p>
      <w:pPr>
        <w:jc w:val="both"/>
      </w:pPr>
      <w:r>
        <w:rPr>
          <w:rFonts w:ascii="Arial" w:hAnsi="Arial"/>
          <w:sz w:val="22"/>
        </w:rPr>
        <w:t>Ninguna de las incidencias constituye un fallo crítico que impida el uso del sistema. El flujo principal de reclutamiento —registro, evaluación psicométrica, postulación, evaluación de conocimientos y decisión administrativa— opera de forma continua.</w:t>
      </w:r>
    </w:p>
    <w:p>
      <w:pPr>
        <w:pStyle w:val="Heading2"/>
      </w:pPr>
      <w:r>
        <w:t>7.6 Limitaciones</w:t>
      </w:r>
    </w:p>
    <w:p>
      <w:pPr>
        <w:jc w:val="both"/>
      </w:pPr>
      <w:r>
        <w:rPr>
          <w:rFonts w:ascii="Arial" w:hAnsi="Arial"/>
          <w:sz w:val="22"/>
        </w:rPr>
        <w:t>El presente trabajo tiene las siguientes limitaciones, algunas de ellas declaradas desde el alcance inicial y otras identificadas durante el proceso de validación:</w:t>
      </w:r>
    </w:p>
    <w:p>
      <w:pPr>
        <w:jc w:val="both"/>
      </w:pPr>
      <w:r>
        <w:rPr>
          <w:b/>
        </w:rPr>
        <w:t>Limitaciones de alcance del MVP.</w:t>
      </w:r>
      <w:r>
        <w:rPr>
          <w:rFonts w:ascii="Arial" w:hAnsi="Arial"/>
          <w:sz w:val="22"/>
        </w:rP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rPr>
          <w:rFonts w:ascii="Arial" w:hAnsi="Arial"/>
          <w:sz w:val="22"/>
        </w:rPr>
        <w:t>. Estas funcionalidades fueron identificadas como fuera del alcance del MVP desde la etapa de diseño y están documentadas en el Capítulo I.</w:t>
      </w:r>
    </w:p>
    <w:p>
      <w:pPr>
        <w:jc w:val="both"/>
      </w:pPr>
      <w:r>
        <w:rPr>
          <w:b/>
        </w:rPr>
        <w:t>Limitación de las pruebas.</w:t>
      </w:r>
      <w:r>
        <w:rPr>
          <w:rFonts w:ascii="Arial" w:hAnsi="Arial"/>
          <w:sz w:val="22"/>
        </w:rP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pPr>
        <w:jc w:val="both"/>
      </w:pPr>
      <w:r>
        <w:rPr>
          <w:b/>
        </w:rPr>
        <w:t>Ausencia de pruebas automatizadas.</w:t>
      </w:r>
      <w:r>
        <w:rPr>
          <w:rFonts w:ascii="Arial" w:hAnsi="Arial"/>
          <w:sz w:val="22"/>
        </w:rP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pPr>
        <w:jc w:val="both"/>
      </w:pPr>
      <w:r>
        <w:rPr>
          <w:b/>
        </w:rPr>
        <w:t>Protección de rutas del lado del cliente.</w:t>
      </w:r>
      <w:r>
        <w:rPr>
          <w:rFonts w:ascii="Arial" w:hAnsi="Arial"/>
          <w:sz w:val="22"/>
        </w:rPr>
        <w:t xml:space="preserve"> La redirección de usuarios no autenticados se maneja mediante verificación en el cliente (hooks de React), no mediante un archivo </w:t>
      </w:r>
      <w:r>
        <w:rPr>
          <w:rFonts w:ascii="Courier New" w:hAnsi="Courier New"/>
          <w:sz w:val="18"/>
        </w:rPr>
        <w:t>middleware.ts</w:t>
      </w:r>
      <w:r>
        <w:rPr>
          <w:rFonts w:ascii="Arial" w:hAnsi="Arial"/>
          <w:sz w:val="22"/>
        </w:rPr>
        <w:t xml:space="preserve"> de Next.js en el servidor. La seguridad efectiva de los datos no se ve comprometida porque las políticas RLS y la verificación de JWT en los endpoints de la API son mecanismos independientes de la navegación en el cliente.</w:t>
      </w:r>
    </w:p>
    <w:p>
      <w:pPr>
        <w:jc w:val="both"/>
      </w:pPr>
      <w:r>
        <w:rPr>
          <w:b/>
        </w:rPr>
        <w:t>Validación formal del instrumento psicométrico.</w:t>
      </w:r>
      <w:r>
        <w:rPr>
          <w:rFonts w:ascii="Arial" w:hAnsi="Arial"/>
          <w:sz w:val="22"/>
        </w:rP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pPr>
        <w:jc w:val="both"/>
      </w:pPr>
      <w:r>
        <w:rPr>
          <w:b/>
        </w:rPr>
        <w:t>Medición cuantitativa del impacto.</w:t>
      </w:r>
      <w:r>
        <w:rPr>
          <w:rFonts w:ascii="Arial" w:hAnsi="Arial"/>
          <w:sz w:val="22"/>
        </w:rP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pPr>
        <w:pStyle w:val="Heading2"/>
      </w:pPr>
      <w:r>
        <w:t>7.7 Competencias profesionales desarrolladas</w:t>
      </w:r>
    </w:p>
    <w:p>
      <w:pPr>
        <w:jc w:val="both"/>
      </w:pPr>
      <w:r>
        <w:rPr>
          <w:rFonts w:ascii="Arial" w:hAnsi="Arial"/>
          <w:sz w:val="22"/>
        </w:rPr>
        <w:t>El desarrollo de UCES Plataforma de Talento requirió la aplicación de competencias propias de la ingeniería en sistemas computacionales en varios niveles de abstracción:</w:t>
      </w:r>
    </w:p>
    <w:p>
      <w:pPr>
        <w:jc w:val="both"/>
      </w:pPr>
      <w:r>
        <w:rPr>
          <w:b/>
        </w:rPr>
        <w:t>Análisis y diseño de sistemas.</w:t>
      </w:r>
      <w:r>
        <w:rPr>
          <w:rFonts w:ascii="Arial" w:hAnsi="Arial"/>
          <w:sz w:val="22"/>
        </w:rP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condiciones reales.</w:t>
      </w:r>
    </w:p>
    <w:p>
      <w:pPr>
        <w:jc w:val="both"/>
      </w:pPr>
      <w:r>
        <w:rPr>
          <w:b/>
        </w:rPr>
        <w:t>Desarrollo de software.</w:t>
      </w:r>
      <w:r>
        <w:rPr>
          <w:rFonts w:ascii="Arial" w:hAnsi="Arial"/>
          <w:sz w:val="22"/>
        </w:rP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 errores de construcción en producción y comportamientos inesperados de la API de Supabase.</w:t>
      </w:r>
    </w:p>
    <w:p>
      <w:pPr>
        <w:jc w:val="both"/>
      </w:pPr>
      <w:r>
        <w:rPr>
          <w:b/>
        </w:rPr>
        <w:t>Seguridad informática aplicada.</w:t>
      </w:r>
      <w:r>
        <w:rPr>
          <w:rFonts w:ascii="Arial" w:hAnsi="Arial"/>
          <w:sz w:val="22"/>
        </w:rP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pPr>
        <w:jc w:val="both"/>
      </w:pPr>
      <w:r>
        <w:rPr>
          <w:b/>
        </w:rPr>
        <w:t>Documentación técnica.</w:t>
      </w:r>
      <w:r>
        <w:rPr>
          <w:rFonts w:ascii="Arial" w:hAnsi="Arial"/>
          <w:sz w:val="22"/>
        </w:rP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pPr>
        <w:jc w:val="both"/>
      </w:pPr>
      <w:r>
        <w:rPr>
          <w:b/>
        </w:rPr>
        <w:t>Gestión de incertidumbre técnica.</w:t>
      </w:r>
      <w:r>
        <w:rPr>
          <w:rFonts w:ascii="Arial" w:hAnsi="Arial"/>
          <w:sz w:val="22"/>
        </w:rP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pPr>
        <w:pStyle w:val="Heading2"/>
      </w:pPr>
      <w:r>
        <w:t>7.8 Trabajo futuro</w:t>
      </w:r>
    </w:p>
    <w:p>
      <w:pPr>
        <w:jc w:val="both"/>
      </w:pPr>
      <w:r>
        <w:rPr>
          <w:rFonts w:ascii="Arial" w:hAnsi="Arial"/>
          <w:sz w:val="22"/>
        </w:rP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rPr>
          <w:rFonts w:ascii="Arial" w:hAnsi="Arial"/>
          <w:sz w:val="22"/>
        </w:rPr>
        <w:t>. La clasificación considera el impacto sobre la operación del sistema y la complejidad técnica estimada para su implementación.</w:t>
      </w:r>
    </w:p>
    <w:p>
      <w:pPr>
        <w:pStyle w:val="Heading3"/>
      </w:pPr>
      <w:r>
        <w:t>7.8.1 Correcciones de prioridad inmediata (P1)</w:t>
      </w:r>
    </w:p>
    <w:p>
      <w:pPr>
        <w:jc w:val="both"/>
      </w:pPr>
      <w:r>
        <w:rPr>
          <w:rFonts w:ascii="Arial" w:hAnsi="Arial"/>
          <w:sz w:val="22"/>
        </w:rPr>
        <w:t>Cuatro mejoras pueden aplicarse con bajo esfuerzo y tienen impacto directo sobre la calidad del sistema:</w:t>
      </w:r>
    </w:p>
    <w:p>
      <w:pPr>
        <w:jc w:val="both"/>
      </w:pPr>
      <w:r>
        <w:rPr>
          <w:rFonts w:ascii="Arial" w:hAnsi="Arial"/>
          <w:sz w:val="22"/>
        </w:rPr>
        <w:t xml:space="preserve">La corrección del UPSERT de respuestas (INC-6B-01) requiere agregar el parámetro </w:t>
      </w:r>
      <w:r>
        <w:rPr>
          <w:rFonts w:ascii="Courier New" w:hAnsi="Courier New"/>
          <w:sz w:val="18"/>
        </w:rPr>
        <w:t>onConflict: "attempt_id,question_id"</w:t>
      </w:r>
      <w:r>
        <w:rPr>
          <w:rFonts w:ascii="Arial" w:hAnsi="Arial"/>
          <w:sz w:val="22"/>
        </w:rPr>
        <w:t xml:space="preserve"> a la llamada </w:t>
      </w:r>
      <w:r>
        <w:rPr>
          <w:rFonts w:ascii="Courier New" w:hAnsi="Courier New"/>
          <w:sz w:val="18"/>
        </w:rPr>
        <w:t>.upsert()</w:t>
      </w:r>
      <w:r>
        <w:rPr>
          <w:rFonts w:ascii="Arial" w:hAnsi="Arial"/>
          <w:sz w:val="22"/>
        </w:rPr>
        <w:t xml:space="preserve"> en </w:t>
      </w:r>
      <w:r>
        <w:rPr>
          <w:rFonts w:ascii="Courier New" w:hAnsi="Courier New"/>
          <w:sz w:val="18"/>
        </w:rPr>
        <w:t>app/api/attempts/[attemptId]/answers/route.ts</w:t>
      </w:r>
      <w:r>
        <w:rPr>
          <w:rFonts w:ascii="Arial" w:hAnsi="Arial"/>
          <w:sz w:val="22"/>
        </w:rPr>
        <w:t>. Este cambio de una línea resuelve el defecto que impide al candidato modificar una respuesta ya registrada.</w:t>
      </w:r>
    </w:p>
    <w:p>
      <w:pPr>
        <w:jc w:val="both"/>
      </w:pPr>
      <w:r>
        <w:rPr>
          <w:rFonts w:ascii="Arial" w:hAnsi="Arial"/>
          <w:sz w:val="22"/>
        </w:rPr>
        <w:t xml:space="preserve">La corrección de </w:t>
      </w:r>
      <w:r>
        <w:rPr>
          <w:rFonts w:ascii="Courier New" w:hAnsi="Courier New"/>
          <w:sz w:val="18"/>
        </w:rPr>
        <w:t>upsertReview</w:t>
      </w:r>
      <w:r>
        <w:rPr>
          <w:rFonts w:ascii="Arial" w:hAnsi="Arial"/>
          <w:sz w:val="22"/>
        </w:rPr>
        <w:t xml:space="preserve"> (INC-6B-02) requiere agregar un intento de escritura con la columna </w:t>
      </w:r>
      <w:r>
        <w:rPr>
          <w:rFonts w:ascii="Courier New" w:hAnsi="Courier New"/>
          <w:sz w:val="18"/>
        </w:rPr>
        <w:t>comments</w:t>
      </w:r>
      <w:r>
        <w:rPr>
          <w:rFonts w:ascii="Arial" w:hAnsi="Arial"/>
          <w:sz w:val="22"/>
        </w:rPr>
        <w:t xml:space="preserve"> sin el campo </w:t>
      </w:r>
      <w:r>
        <w:rPr>
          <w:rFonts w:ascii="Courier New" w:hAnsi="Courier New"/>
          <w:sz w:val="18"/>
        </w:rPr>
        <w:t>updated_at</w:t>
      </w:r>
      <w:r>
        <w:rPr>
          <w:rFonts w:ascii="Arial" w:hAnsi="Arial"/>
          <w:sz w:val="22"/>
        </w:rPr>
        <w:t xml:space="preserve"> en el flujo de reintentos de la función. Con esta modificación, las decisiones administrativas quedarán persistidas en la tabla </w:t>
      </w:r>
      <w:r>
        <w:rPr>
          <w:rFonts w:ascii="Courier New" w:hAnsi="Courier New"/>
          <w:sz w:val="18"/>
        </w:rPr>
        <w:t>reviews</w:t>
      </w:r>
      <w:r>
        <w:rPr>
          <w:rFonts w:ascii="Arial" w:hAnsi="Arial"/>
          <w:sz w:val="22"/>
        </w:rPr>
        <w:t xml:space="preserve"> conforme al diseño original, en lugar de usar el fallback en </w:t>
      </w:r>
      <w:r>
        <w:rPr>
          <w:rFonts w:ascii="Courier New" w:hAnsi="Courier New"/>
          <w:sz w:val="18"/>
        </w:rPr>
        <w:t>attempts.decision</w:t>
      </w:r>
      <w:r>
        <w:rPr>
          <w:rFonts w:ascii="Arial" w:hAnsi="Arial"/>
          <w:sz w:val="22"/>
        </w:rPr>
        <w:t>.</w:t>
      </w:r>
    </w:p>
    <w:p>
      <w:pPr>
        <w:jc w:val="both"/>
      </w:pPr>
      <w:r>
        <w:rPr>
          <w:rFonts w:ascii="Arial" w:hAnsi="Arial"/>
          <w:sz w:val="22"/>
        </w:rPr>
        <w:t xml:space="preserve">La implementación de un archivo </w:t>
      </w:r>
      <w:r>
        <w:rPr>
          <w:rFonts w:ascii="Courier New" w:hAnsi="Courier New"/>
          <w:sz w:val="18"/>
        </w:rPr>
        <w:t>middleware.ts</w:t>
      </w:r>
      <w:r>
        <w:rPr>
          <w:rFonts w:ascii="Arial" w:hAnsi="Arial"/>
          <w:sz w:val="22"/>
        </w:rPr>
        <w:t xml:space="preserve"> de Next.js para la protección de rutas en el servidor eliminaría la dependencia de la redirección del lado del cliente y reforzaría la postura de seguridad del sistema sin requerir cambios en las políticas RLS existentes.</w:t>
      </w:r>
    </w:p>
    <w:p>
      <w:pPr>
        <w:jc w:val="both"/>
      </w:pPr>
      <w:r>
        <w:rPr>
          <w:rFonts w:ascii="Arial" w:hAnsi="Arial"/>
          <w:sz w:val="22"/>
        </w:rPr>
        <w:t xml:space="preserve">La eliminación del import no utilizado </w:t>
      </w:r>
      <w:r>
        <w:rPr>
          <w:rFonts w:ascii="Courier New" w:hAnsi="Courier New"/>
          <w:sz w:val="18"/>
        </w:rPr>
        <w:t>LayoutDashboard</w:t>
      </w:r>
      <w:r>
        <w:rPr>
          <w:rFonts w:ascii="Arial" w:hAnsi="Arial"/>
          <w:sz w:val="22"/>
        </w:rPr>
        <w:t xml:space="preserve"> en </w:t>
      </w:r>
      <w:r>
        <w:rPr>
          <w:rFonts w:ascii="Courier New" w:hAnsi="Courier New"/>
          <w:sz w:val="18"/>
        </w:rPr>
        <w:t>app/admin/page.tsx</w:t>
      </w:r>
      <w:r>
        <w:rPr>
          <w:rFonts w:ascii="Arial" w:hAnsi="Arial"/>
          <w:sz w:val="22"/>
        </w:rPr>
        <w:t xml:space="preserve"> resuelve la advertencia del linter documentada en el Corte 6A.</w:t>
      </w:r>
    </w:p>
    <w:p>
      <w:pPr>
        <w:pStyle w:val="Heading3"/>
      </w:pPr>
      <w:r>
        <w:t>7.8.2 Funcionalidades de diseño pendientes (P2)</w:t>
      </w:r>
    </w:p>
    <w:p>
      <w:pPr>
        <w:jc w:val="both"/>
      </w:pPr>
      <w:r>
        <w:rPr>
          <w:rFonts w:ascii="Arial" w:hAnsi="Arial"/>
          <w:sz w:val="22"/>
        </w:rPr>
        <w:t>Cuatro funcionalidades del diseño original no se implementaron en el MVP y constituyen la extensión natural del sistema:</w:t>
      </w:r>
    </w:p>
    <w:p>
      <w:pPr>
        <w:jc w:val="both"/>
      </w:pPr>
      <w:r>
        <w:rPr>
          <w:rFonts w:ascii="Arial" w:hAnsi="Arial"/>
          <w:sz w:val="22"/>
        </w:rPr>
        <w:t xml:space="preserve">El </w:t>
      </w:r>
      <w:r>
        <w:rPr>
          <w:b/>
        </w:rPr>
        <w:t>filtro de postulación por clasificación psicométrica</w:t>
      </w:r>
      <w:r>
        <w:rPr>
          <w:rFonts w:ascii="Arial" w:hAnsi="Arial"/>
          <w:sz w:val="22"/>
        </w:rP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rPr>
          <w:rFonts w:ascii="Arial" w:hAnsi="Arial"/>
          <w:sz w:val="22"/>
        </w:rPr>
        <w:t xml:space="preserve"> para incorporar la verificación.</w:t>
      </w:r>
    </w:p>
    <w:p>
      <w:pPr>
        <w:jc w:val="both"/>
      </w:pPr>
      <w:r>
        <w:rPr>
          <w:rFonts w:ascii="Arial" w:hAnsi="Arial"/>
          <w:sz w:val="22"/>
        </w:rPr>
        <w:t xml:space="preserve">La </w:t>
      </w:r>
      <w:r>
        <w:rPr>
          <w:b/>
        </w:rPr>
        <w:t>operacionalización del rol `reviewer`</w:t>
      </w:r>
      <w:r>
        <w:rPr>
          <w:rFonts w:ascii="Arial" w:hAnsi="Arial"/>
          <w:sz w:val="22"/>
        </w:rP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rPr>
          <w:rFonts w:ascii="Arial" w:hAnsi="Arial"/>
          <w:sz w:val="22"/>
        </w:rPr>
        <w:t>, crear endpoints con nivel de acceso intermedio y definir políticas RLS adicionales.</w:t>
      </w:r>
    </w:p>
    <w:p>
      <w:pPr>
        <w:jc w:val="both"/>
      </w:pPr>
      <w:r>
        <w:rPr>
          <w:rFonts w:ascii="Arial" w:hAnsi="Arial"/>
          <w:sz w:val="22"/>
        </w:rPr>
        <w:t xml:space="preserve">La </w:t>
      </w:r>
      <w:r>
        <w:rPr>
          <w:b/>
        </w:rPr>
        <w:t>lista de exclusión de candidatos</w:t>
      </w:r>
      <w:r>
        <w:rPr>
          <w:rFonts w:ascii="Arial" w:hAnsi="Arial"/>
          <w:sz w:val="22"/>
        </w:rPr>
        <w:t xml:space="preserve"> (D-05) requiere la creación de una tabla con hashes de CURP de candidatos excluidos y la verificación correspondiente en el flujo de postulación.</w:t>
      </w:r>
    </w:p>
    <w:p>
      <w:pPr>
        <w:jc w:val="both"/>
      </w:pPr>
      <w:r>
        <w:rPr>
          <w:rFonts w:ascii="Arial" w:hAnsi="Arial"/>
          <w:sz w:val="22"/>
        </w:rPr>
        <w:t xml:space="preserve">La </w:t>
      </w:r>
      <w:r>
        <w:rPr>
          <w:b/>
        </w:rPr>
        <w:t>integración de la vista de estadísticas por vacante</w:t>
      </w:r>
      <w:r>
        <w:rPr>
          <w:rFonts w:ascii="Arial" w:hAnsi="Arial"/>
          <w:sz w:val="22"/>
        </w:rPr>
        <w:t xml:space="preserve"> (D-03) aprovecharía el endpoint ya implementado (</w:t>
      </w:r>
      <w:r>
        <w:rPr>
          <w:rFonts w:ascii="Courier New" w:hAnsi="Courier New"/>
          <w:sz w:val="18"/>
        </w:rPr>
        <w:t>GET /api/admin/vacancies/[id]/stats</w:t>
      </w:r>
      <w:r>
        <w:rPr>
          <w:rFonts w:ascii="Arial" w:hAnsi="Arial"/>
          <w:sz w:val="22"/>
        </w:rPr>
        <w:t>) para presentar métricas de conversión al administrador, posiblemente con datos adicionales sobre distribución de puntajes y tiempos de respuesta.</w:t>
      </w:r>
    </w:p>
    <w:p>
      <w:pPr>
        <w:pStyle w:val="Heading3"/>
      </w:pPr>
      <w:r>
        <w:t>7.8.3 Extensiones de mediano plazo (P3)</w:t>
      </w:r>
    </w:p>
    <w:p>
      <w:pPr>
        <w:jc w:val="both"/>
      </w:pPr>
      <w:r>
        <w:rPr>
          <w:rFonts w:ascii="Arial" w:hAnsi="Arial"/>
          <w:sz w:val="22"/>
        </w:rPr>
        <w:t>Cuatro extensiones adicionales representan mejoras de mayor alcance que requieren mayor inversión técnica:</w:t>
      </w:r>
    </w:p>
    <w:p>
      <w:pPr>
        <w:jc w:val="both"/>
      </w:pPr>
      <w:r>
        <w:rPr>
          <w:rFonts w:ascii="Arial" w:hAnsi="Arial"/>
          <w:sz w:val="22"/>
        </w:rPr>
        <w:t xml:space="preserve">La </w:t>
      </w:r>
      <w:r>
        <w:rPr>
          <w:b/>
        </w:rPr>
        <w:t>incorporación de un framework de pruebas automatizadas</w:t>
      </w:r>
      <w:r>
        <w:rPr>
          <w:rFonts w:ascii="Arial" w:hAnsi="Arial"/>
          <w:sz w:val="22"/>
        </w:rPr>
        <w:t xml:space="preserve"> (Playwright para pruebas E2E, Vitest para unitarias de los módulos </w:t>
      </w:r>
      <w:r>
        <w:rPr>
          <w:rFonts w:ascii="Courier New" w:hAnsi="Courier New"/>
          <w:sz w:val="18"/>
        </w:rPr>
        <w:t>lib/</w:t>
      </w:r>
      <w:r>
        <w:rPr>
          <w:rFonts w:ascii="Arial" w:hAnsi="Arial"/>
          <w:sz w:val="22"/>
        </w:rPr>
        <w:t>) es la inversión que mayor impacto tendría sobre la mantenibilidad del sistema a largo plazo. Sin pruebas automatizadas, cada modificación al código requiere verificación manual de los flujos principales.</w:t>
      </w:r>
    </w:p>
    <w:p>
      <w:pPr>
        <w:jc w:val="both"/>
      </w:pPr>
      <w:r>
        <w:rPr>
          <w:rFonts w:ascii="Arial" w:hAnsi="Arial"/>
          <w:sz w:val="22"/>
        </w:rPr>
        <w:t xml:space="preserve">El desarrollo de un </w:t>
      </w:r>
      <w:r>
        <w:rPr>
          <w:b/>
        </w:rPr>
        <w:t>módulo de notificaciones automáticas por correo electrónico</w:t>
      </w:r>
      <w:r>
        <w:rPr>
          <w:rFonts w:ascii="Arial" w:hAnsi="Arial"/>
          <w:sz w:val="22"/>
        </w:rPr>
        <w:t xml:space="preserve"> mejoraría la experiencia del candidato al comunicar cambios de estado en su proceso sin requerir que acceda activamente a la plataforma.</w:t>
      </w:r>
    </w:p>
    <w:p>
      <w:pPr>
        <w:jc w:val="both"/>
      </w:pPr>
      <w:r>
        <w:rPr>
          <w:rFonts w:ascii="Arial" w:hAnsi="Arial"/>
          <w:sz w:val="22"/>
        </w:rPr>
        <w:t xml:space="preserve">La </w:t>
      </w:r>
      <w:r>
        <w:rPr>
          <w:b/>
        </w:rPr>
        <w:t>validación psicométrica formal del instrumento de veinte ítems</w:t>
      </w:r>
      <w:r>
        <w:rPr>
          <w:rFonts w:ascii="Arial" w:hAnsi="Arial"/>
          <w:sz w:val="22"/>
        </w:rPr>
        <w:t xml:space="preserve"> aportaría respaldo metodológico a los resultados del módulo psicométrico y permitiría a la institución utilizar los datos del sistema con mayor rigor en sus decisiones de selección.</w:t>
      </w:r>
    </w:p>
    <w:p>
      <w:pPr>
        <w:jc w:val="both"/>
      </w:pPr>
      <w:r>
        <w:rPr>
          <w:rFonts w:ascii="Arial" w:hAnsi="Arial"/>
          <w:sz w:val="22"/>
        </w:rPr>
        <w:t xml:space="preserve">La </w:t>
      </w:r>
      <w:r>
        <w:rPr>
          <w:b/>
        </w:rPr>
        <w:t>implementación del CRUD de tareas prácticas</w:t>
      </w:r>
      <w:r>
        <w:rPr>
          <w:rFonts w:ascii="Arial" w:hAnsi="Arial"/>
          <w:sz w:val="22"/>
        </w:rPr>
        <w:t xml:space="preserve"> en el panel administrativo completaría la gestión de la tabla </w:t>
      </w:r>
      <w:r>
        <w:rPr>
          <w:rFonts w:ascii="Courier New" w:hAnsi="Courier New"/>
          <w:sz w:val="18"/>
        </w:rPr>
        <w:t>practical_tasks</w:t>
      </w:r>
      <w:r>
        <w:rPr>
          <w:rFonts w:ascii="Arial" w:hAnsi="Arial"/>
          <w:sz w:val="22"/>
        </w:rPr>
        <w:t>, actualmente configurada solo mediante SQL directo.</w:t>
      </w:r>
    </w:p>
    <w:p>
      <w:pPr>
        <w:pStyle w:val="Heading2"/>
      </w:pPr>
      <w:r>
        <w:t>7.9 Reflexión final</w:t>
      </w:r>
    </w:p>
    <w:p>
      <w:pPr>
        <w:jc w:val="both"/>
      </w:pPr>
      <w:r>
        <w:rPr>
          <w:rFonts w:ascii="Arial" w:hAnsi="Arial"/>
          <w:sz w:val="22"/>
        </w:rP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sistema construido.</w:t>
      </w:r>
    </w:p>
    <w:p>
      <w:pPr>
        <w:jc w:val="both"/>
      </w:pPr>
      <w:r>
        <w:rPr>
          <w:rFonts w:ascii="Arial" w:hAnsi="Arial"/>
          <w:sz w:val="22"/>
        </w:rP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rPr>
          <w:rFonts w:ascii="Arial" w:hAnsi="Arial"/>
          <w:sz w:val="22"/>
        </w:rP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pPr>
        <w:jc w:val="both"/>
      </w:pPr>
      <w:r>
        <w:rPr>
          <w:rFonts w:ascii="Arial" w:hAnsi="Arial"/>
          <w:sz w:val="22"/>
        </w:rP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claridad las responsabilidades del servidor y del cliente.</w:t>
      </w:r>
    </w:p>
    <w:p>
      <w:pPr>
        <w:jc w:val="both"/>
      </w:pPr>
      <w:r>
        <w:rPr>
          <w:rFonts w:ascii="Arial" w:hAnsi="Arial"/>
          <w:sz w:val="22"/>
        </w:rP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r>
        <w:br w:type="page"/>
      </w:r>
    </w:p>
    <w:p>
      <w:pPr>
        <w:pStyle w:val="Heading1"/>
      </w:pPr>
      <w:r>
        <w:t>REFERENCIAS BIBLIOGRÁFICAS</w:t>
      </w:r>
    </w:p>
    <w:p>
      <w:r>
        <w:rPr>
          <w:i/>
          <w:color w:val="B40000"/>
          <w:sz w:val="18"/>
        </w:rPr>
        <w:t>[NOTA: 8 referencias marcadas como (PENDIENTE) requieren verificación manual antes de la versión definitiva. Ver 08b-validacion-referencias.md §4.]</w:t>
      </w:r>
    </w:p>
    <w:p/>
    <w:p>
      <w:pPr>
        <w:spacing w:after="120"/>
        <w:ind w:left="709" w:hanging="709"/>
      </w:pPr>
      <w:r>
        <w:rPr>
          <w:b/>
        </w:rPr>
        <w:t>Formato:</w:t>
      </w:r>
      <w:r>
        <w:rPr>
          <w:rFonts w:ascii="Arial" w:hAnsi="Arial"/>
          <w:sz w:val="22"/>
        </w:rPr>
        <w:t xml:space="preserve"> APA 7ª edición</w:t>
      </w:r>
    </w:p>
    <w:p>
      <w:pPr>
        <w:spacing w:after="120"/>
        <w:ind w:left="709" w:hanging="709"/>
      </w:pPr>
      <w:r>
        <w:rPr>
          <w:b/>
        </w:rPr>
        <w:t>Fecha de compilación:</w:t>
      </w:r>
      <w:r>
        <w:rPr>
          <w:rFonts w:ascii="Arial" w:hAnsi="Arial"/>
          <w:sz w:val="22"/>
        </w:rPr>
        <w:t xml:space="preserve"> 2026-10-23</w:t>
      </w:r>
    </w:p>
    <w:p>
      <w:pPr>
        <w:spacing w:after="120"/>
        <w:ind w:left="709" w:hanging="709"/>
      </w:pPr>
      <w:r>
        <w:rPr>
          <w:b/>
        </w:rPr>
        <w:t>Total de referencias:</w:t>
      </w:r>
      <w:r>
        <w:rPr>
          <w:rFonts w:ascii="Arial" w:hAnsi="Arial"/>
          <w:sz w:val="22"/>
        </w:rPr>
        <w:t xml:space="preserve"> 33 entradas (31 fuentes únicas; Supabase tiene 4 entradas a, b, c, d; Vercel tiene 2 entradas a, b; Meta Open Source tiene 2 entradas a, b)</w:t>
      </w:r>
    </w:p>
    <w:p>
      <w:pPr>
        <w:spacing w:after="120"/>
        <w:ind w:left="709" w:hanging="709"/>
      </w:pPr>
      <w:r>
        <w:rPr>
          <w:rFonts w:ascii="Arial" w:hAnsi="Arial"/>
          <w:sz w:val="22"/>
        </w:rPr>
        <w:t xml:space="preserve">&gt; </w:t>
      </w:r>
      <w:r>
        <w:rPr>
          <w:b/>
        </w:rPr>
        <w:t>Nota de verificación:</w:t>
      </w:r>
      <w:r>
        <w:rPr>
          <w:rFonts w:ascii="Arial" w:hAnsi="Arial"/>
          <w:sz w:val="22"/>
        </w:rPr>
        <w:t xml:space="preserve"> Las referencias marcadas con </w:t>
      </w:r>
      <w:r>
        <w:rPr>
          <w:i/>
        </w:rPr>
        <w:t>(PENDIENTE)</w:t>
      </w:r>
      <w:r>
        <w:rPr>
          <w:rFonts w:ascii="Arial" w:hAnsi="Arial"/>
          <w:sz w:val="22"/>
        </w:rP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rPr>
          <w:rFonts w:ascii="Arial" w:hAnsi="Arial"/>
          <w:sz w:val="22"/>
        </w:rPr>
        <w:t>.</w:t>
      </w:r>
    </w:p>
    <w:p>
      <w:pPr>
        <w:spacing w:after="120"/>
        <w:ind w:left="709" w:hanging="709"/>
      </w:pPr>
      <w:r>
        <w:rPr>
          <w:rFonts w:ascii="Arial" w:hAnsi="Arial"/>
          <w:sz w:val="22"/>
        </w:rPr>
        <w:t xml:space="preserve">Arciniega Robles, F. D. (2026). </w:t>
      </w:r>
      <w:r>
        <w:rPr>
          <w:i/>
        </w:rPr>
        <w:t>Análisis y diseño de una plataforma de reclutamiento para la Universidad Capital de Estudios Superiores (UCES)</w:t>
      </w:r>
      <w:r>
        <w:rPr>
          <w:rFonts w:ascii="Arial" w:hAnsi="Arial"/>
          <w:sz w:val="22"/>
        </w:rPr>
        <w:t xml:space="preserve"> [Reporte de residencias profesionales, Ingeniería en Sistemas Computacionales]. Universidad Capital de Estudios Superiores. </w:t>
      </w:r>
      <w:r>
        <w:rPr>
          <w:i/>
        </w:rPr>
        <w:t>(PENDIENTE — confirmar título exacto, nombre completo y año en portada del PDF)</w:t>
      </w:r>
    </w:p>
    <w:p>
      <w:pPr>
        <w:spacing w:after="120"/>
        <w:ind w:left="709" w:hanging="709"/>
      </w:pPr>
      <w:r>
        <w:rPr>
          <w:rFonts w:ascii="Arial" w:hAnsi="Arial"/>
          <w:sz w:val="22"/>
        </w:rPr>
        <w:t xml:space="preserve">Barrick, M. R., &amp; Mount, M. K. (1991). The big five personality dimensions and job performance: A meta-analysis. </w:t>
      </w:r>
      <w:r>
        <w:rPr>
          <w:i/>
        </w:rPr>
        <w:t>Personnel Psychology, 44</w:t>
      </w:r>
      <w:r>
        <w:rPr>
          <w:rFonts w:ascii="Arial" w:hAnsi="Arial"/>
          <w:sz w:val="22"/>
        </w:rPr>
        <w:t>(1), 1–26. https://doi.org/10.1111/j.1744-6570.1991.tb00688.x</w:t>
      </w:r>
    </w:p>
    <w:p>
      <w:pPr>
        <w:spacing w:after="120"/>
        <w:ind w:left="709" w:hanging="709"/>
      </w:pPr>
      <w:r>
        <w:rPr>
          <w:rFonts w:ascii="Arial" w:hAnsi="Arial"/>
          <w:sz w:val="22"/>
        </w:rPr>
        <w:t xml:space="preserve">Clariana, R., &amp; Wallace, P. (2002). Paper-based versus computer-based assessment: Key factors associated with the test mode effect. </w:t>
      </w:r>
      <w:r>
        <w:rPr>
          <w:i/>
        </w:rPr>
        <w:t>British Journal of Educational Technology, 33</w:t>
      </w:r>
      <w:r>
        <w:rPr>
          <w:rFonts w:ascii="Arial" w:hAnsi="Arial"/>
          <w:sz w:val="22"/>
        </w:rPr>
        <w:t xml:space="preserve">(5), 593–602. https://doi.org/10.1111/1467-8535.00294 </w:t>
      </w:r>
      <w:r>
        <w:rPr>
          <w:i/>
        </w:rPr>
        <w:t>(PENDIENTE — verificar pertinencia exacta de la afirmación en §3.7)</w:t>
      </w:r>
    </w:p>
    <w:p>
      <w:pPr>
        <w:spacing w:after="120"/>
        <w:ind w:left="709" w:hanging="709"/>
      </w:pPr>
      <w:r>
        <w:rPr>
          <w:rFonts w:ascii="Arial" w:hAnsi="Arial"/>
          <w:sz w:val="22"/>
        </w:rPr>
        <w:t xml:space="preserve">Congreso de la Unión. (2010). </w:t>
      </w:r>
      <w:r>
        <w:rPr>
          <w:i/>
        </w:rPr>
        <w:t>Ley Federal de Protección de Datos Personales en Posesión de los Particulares</w:t>
      </w:r>
      <w:r>
        <w:rPr>
          <w:rFonts w:ascii="Arial" w:hAnsi="Arial"/>
          <w:sz w:val="22"/>
        </w:rPr>
        <w:t>. Diario Oficial de la Federación. https://www.diputados.gob.mx/LeyesBiblio/pdf/LFPDPPP.pdf</w:t>
      </w:r>
    </w:p>
    <w:p>
      <w:pPr>
        <w:spacing w:after="120"/>
        <w:ind w:left="709" w:hanging="709"/>
      </w:pPr>
      <w:r>
        <w:rPr>
          <w:rFonts w:ascii="Arial" w:hAnsi="Arial"/>
          <w:sz w:val="22"/>
        </w:rPr>
        <w:t xml:space="preserve">Donnellan, M. B., Oswald, F. L., Baird, B. M., &amp; Lucas, R. E. (2006). The Mini-IPIP scales: Tiny-yet-effective measures of the big five factors of personality. </w:t>
      </w:r>
      <w:r>
        <w:rPr>
          <w:i/>
        </w:rPr>
        <w:t>Psychological Assessment, 18</w:t>
      </w:r>
      <w:r>
        <w:rPr>
          <w:rFonts w:ascii="Arial" w:hAnsi="Arial"/>
          <w:sz w:val="22"/>
        </w:rPr>
        <w:t>(2), 192–203. https://doi.org/10.1037/1040-3590.18.2.192</w:t>
      </w:r>
    </w:p>
    <w:p>
      <w:pPr>
        <w:spacing w:after="120"/>
        <w:ind w:left="709" w:hanging="709"/>
      </w:pPr>
      <w:r>
        <w:rPr>
          <w:rFonts w:ascii="Arial" w:hAnsi="Arial"/>
          <w:sz w:val="22"/>
        </w:rPr>
        <w:t xml:space="preserve">Ferraiolo, D. F., &amp; Kuhn, D. R. (1992). Role-based access controls. </w:t>
      </w:r>
      <w:r>
        <w:rPr>
          <w:i/>
        </w:rPr>
        <w:t>Proceedings of the 15th NIST-NCSC National Computer Security Conference</w:t>
      </w:r>
      <w:r>
        <w:rPr>
          <w:rFonts w:ascii="Arial" w:hAnsi="Arial"/>
          <w:sz w:val="22"/>
        </w:rPr>
        <w:t xml:space="preserve"> (pp. 554–563). National Institute of Standards and Technology.</w:t>
      </w:r>
    </w:p>
    <w:p>
      <w:pPr>
        <w:spacing w:after="120"/>
        <w:ind w:left="709" w:hanging="709"/>
      </w:pPr>
      <w:r>
        <w:rPr>
          <w:rFonts w:ascii="Arial" w:hAnsi="Arial"/>
          <w:sz w:val="22"/>
        </w:rPr>
        <w:t xml:space="preserve">Fielding, R., Gettys, J., Mogul, J., Frystyk, H., Masinter, L., Leach, P., &amp; Berners-Lee, T. (1999). </w:t>
      </w:r>
      <w:r>
        <w:rPr>
          <w:i/>
        </w:rPr>
        <w:t>Hypertext Transfer Protocol — HTTP/1.1</w:t>
      </w:r>
      <w:r>
        <w:rPr>
          <w:rFonts w:ascii="Arial" w:hAnsi="Arial"/>
          <w:sz w:val="22"/>
        </w:rPr>
        <w:t xml:space="preserve"> (RFC 2616). Internet Engineering Task Force. https://www.rfc-editor.org/rfc/rfc2616</w:t>
      </w:r>
    </w:p>
    <w:p>
      <w:pPr>
        <w:spacing w:after="120"/>
        <w:ind w:left="709" w:hanging="709"/>
      </w:pPr>
      <w:r>
        <w:rPr>
          <w:rFonts w:ascii="Arial" w:hAnsi="Arial"/>
          <w:sz w:val="22"/>
        </w:rPr>
        <w:t xml:space="preserve">Jones, M., Bradley, J., &amp; Sakimura, N. (2015). </w:t>
      </w:r>
      <w:r>
        <w:rPr>
          <w:i/>
        </w:rPr>
        <w:t>JSON Web Token (JWT)</w:t>
      </w:r>
      <w:r>
        <w:rPr>
          <w:rFonts w:ascii="Arial" w:hAnsi="Arial"/>
          <w:sz w:val="22"/>
        </w:rPr>
        <w:t xml:space="preserve"> (RFC 7519). Internet Engineering Task Force. https://www.rfc-editor.org/rfc/rfc7519</w:t>
      </w:r>
    </w:p>
    <w:p>
      <w:pPr>
        <w:spacing w:after="120"/>
        <w:ind w:left="709" w:hanging="709"/>
      </w:pPr>
      <w:r>
        <w:rPr>
          <w:rFonts w:ascii="Arial" w:hAnsi="Arial"/>
          <w:sz w:val="22"/>
        </w:rPr>
        <w:t xml:space="preserve">Kleppmann, M. (2017). </w:t>
      </w:r>
      <w:r>
        <w:rPr>
          <w:i/>
        </w:rPr>
        <w:t>Designing data-intensive applications: The big ideas behind reliable, scalable, and maintainable systems</w:t>
      </w:r>
      <w:r>
        <w:rPr>
          <w:rFonts w:ascii="Arial" w:hAnsi="Arial"/>
          <w:sz w:val="22"/>
        </w:rPr>
        <w:t>. O'Reilly Media.</w:t>
      </w:r>
    </w:p>
    <w:p>
      <w:pPr>
        <w:spacing w:after="120"/>
        <w:ind w:left="709" w:hanging="709"/>
      </w:pPr>
      <w:r>
        <w:rPr>
          <w:rFonts w:ascii="Arial" w:hAnsi="Arial"/>
          <w:sz w:val="22"/>
        </w:rPr>
        <w:t xml:space="preserve">Krawczyk, H., Bellare, M., &amp; Canetti, R. (1997). </w:t>
      </w:r>
      <w:r>
        <w:rPr>
          <w:i/>
        </w:rPr>
        <w:t>HMAC: Keyed-hashing for message authentication</w:t>
      </w:r>
      <w:r>
        <w:rPr>
          <w:rFonts w:ascii="Arial" w:hAnsi="Arial"/>
          <w:sz w:val="22"/>
        </w:rPr>
        <w:t xml:space="preserve"> (RFC 2104). Internet Engineering Task Force. https://www.rfc-editor.org/rfc/rfc2104</w:t>
      </w:r>
    </w:p>
    <w:p>
      <w:pPr>
        <w:spacing w:after="120"/>
        <w:ind w:left="709" w:hanging="709"/>
      </w:pPr>
      <w:r>
        <w:rPr>
          <w:rFonts w:ascii="Arial" w:hAnsi="Arial"/>
          <w:sz w:val="22"/>
        </w:rPr>
        <w:t xml:space="preserve">Likert, R. (1932). A technique for the measurement of attitudes. </w:t>
      </w:r>
      <w:r>
        <w:rPr>
          <w:i/>
        </w:rPr>
        <w:t>Archives of Psychology, 22</w:t>
      </w:r>
      <w:r>
        <w:rPr>
          <w:rFonts w:ascii="Arial" w:hAnsi="Arial"/>
          <w:sz w:val="22"/>
        </w:rPr>
        <w:t>(140), 1–55.</w:t>
      </w:r>
    </w:p>
    <w:p>
      <w:pPr>
        <w:spacing w:after="120"/>
        <w:ind w:left="709" w:hanging="709"/>
      </w:pPr>
      <w:r>
        <w:rPr>
          <w:rFonts w:ascii="Arial" w:hAnsi="Arial"/>
          <w:sz w:val="22"/>
        </w:rPr>
        <w:t xml:space="preserve">McCrae, R. R., &amp; Costa, P. T., Jr. (1992). An introduction to the five-factor model and its applications. </w:t>
      </w:r>
      <w:r>
        <w:rPr>
          <w:i/>
        </w:rPr>
        <w:t>Journal of Personality, 60</w:t>
      </w:r>
      <w:r>
        <w:rPr>
          <w:rFonts w:ascii="Arial" w:hAnsi="Arial"/>
          <w:sz w:val="22"/>
        </w:rPr>
        <w:t>(2), 175–215. https://doi.org/10.1111/j.1467-6494.1992.tb00970.x</w:t>
      </w:r>
    </w:p>
    <w:p>
      <w:pPr>
        <w:spacing w:after="120"/>
        <w:ind w:left="709" w:hanging="709"/>
      </w:pPr>
      <w:r>
        <w:rPr>
          <w:rFonts w:ascii="Arial" w:hAnsi="Arial"/>
          <w:sz w:val="22"/>
        </w:rPr>
        <w:t xml:space="preserve">Menezes, A. J., van Oorschot, P. C., &amp; Vanstone, S. A. (1997). </w:t>
      </w:r>
      <w:r>
        <w:rPr>
          <w:i/>
        </w:rPr>
        <w:t>Handbook of applied cryptography</w:t>
      </w:r>
      <w:r>
        <w:rPr>
          <w:rFonts w:ascii="Arial" w:hAnsi="Arial"/>
          <w:sz w:val="22"/>
        </w:rPr>
        <w:t>. CRC Press. https://cacr.uwaterloo.ca/hac/</w:t>
      </w:r>
    </w:p>
    <w:p>
      <w:pPr>
        <w:spacing w:after="120"/>
        <w:ind w:left="709" w:hanging="709"/>
      </w:pPr>
      <w:r>
        <w:rPr>
          <w:rFonts w:ascii="Arial" w:hAnsi="Arial"/>
          <w:sz w:val="22"/>
        </w:rPr>
        <w:t xml:space="preserve">Meta Open Source. (2024a). </w:t>
      </w:r>
      <w:r>
        <w:rPr>
          <w:i/>
        </w:rPr>
        <w:t>React documentation</w:t>
      </w:r>
      <w:r>
        <w:rPr>
          <w:rFonts w:ascii="Arial" w:hAnsi="Arial"/>
          <w:sz w:val="22"/>
        </w:rPr>
        <w:t>. Meta Platforms. https://react.dev</w:t>
      </w:r>
    </w:p>
    <w:p>
      <w:pPr>
        <w:spacing w:after="120"/>
        <w:ind w:left="709" w:hanging="709"/>
      </w:pPr>
      <w:r>
        <w:rPr>
          <w:rFonts w:ascii="Arial" w:hAnsi="Arial"/>
          <w:sz w:val="22"/>
        </w:rPr>
        <w:t xml:space="preserve">Meta Open Source. (2024b). </w:t>
      </w:r>
      <w:r>
        <w:rPr>
          <w:i/>
        </w:rPr>
        <w:t>React 19</w:t>
      </w:r>
      <w:r>
        <w:rPr>
          <w:rFonts w:ascii="Arial" w:hAnsi="Arial"/>
          <w:sz w:val="22"/>
        </w:rPr>
        <w:t xml:space="preserve">. Meta Platforms. https://react.dev/blog/2024/12/05/react-19 </w:t>
      </w:r>
      <w:r>
        <w:rPr>
          <w:i/>
        </w:rPr>
        <w:t>(PENDIENTE — confirmar URL y fecha exacta del anuncio oficial)</w:t>
      </w:r>
    </w:p>
    <w:p>
      <w:pPr>
        <w:spacing w:after="120"/>
        <w:ind w:left="709" w:hanging="709"/>
      </w:pPr>
      <w:r>
        <w:rPr>
          <w:rFonts w:ascii="Arial" w:hAnsi="Arial"/>
          <w:sz w:val="22"/>
        </w:rPr>
        <w:t xml:space="preserve">Microsoft. (2024). </w:t>
      </w:r>
      <w:r>
        <w:rPr>
          <w:i/>
        </w:rPr>
        <w:t>TypeScript documentation</w:t>
      </w:r>
      <w:r>
        <w:rPr>
          <w:rFonts w:ascii="Arial" w:hAnsi="Arial"/>
          <w:sz w:val="22"/>
        </w:rPr>
        <w:t>. Microsoft Corporation. https://www.typescriptlang.org/docs/</w:t>
      </w:r>
    </w:p>
    <w:p>
      <w:pPr>
        <w:spacing w:after="120"/>
        <w:ind w:left="709" w:hanging="709"/>
      </w:pPr>
      <w:r>
        <w:rPr>
          <w:rFonts w:ascii="Arial" w:hAnsi="Arial"/>
          <w:sz w:val="22"/>
        </w:rPr>
        <w:t xml:space="preserve">Muñiz, J. (2010). Las teorías de los tests: Teoría clásica y teoría de respuesta a los ítems. </w:t>
      </w:r>
      <w:r>
        <w:rPr>
          <w:i/>
        </w:rPr>
        <w:t>Papeles del Psicólogo, 31</w:t>
      </w:r>
      <w:r>
        <w:rPr>
          <w:rFonts w:ascii="Arial" w:hAnsi="Arial"/>
          <w:sz w:val="22"/>
        </w:rPr>
        <w:t>(1), 57–66.</w:t>
      </w:r>
    </w:p>
    <w:p>
      <w:pPr>
        <w:spacing w:after="120"/>
        <w:ind w:left="709" w:hanging="709"/>
      </w:pPr>
      <w:r>
        <w:rPr>
          <w:rFonts w:ascii="Arial" w:hAnsi="Arial"/>
          <w:sz w:val="22"/>
        </w:rPr>
        <w:t xml:space="preserve">National Institute of Standards and Technology. (2015). </w:t>
      </w:r>
      <w:r>
        <w:rPr>
          <w:i/>
        </w:rPr>
        <w:t>Secure hash standard (SHS)</w:t>
      </w:r>
      <w:r>
        <w:rPr>
          <w:rFonts w:ascii="Arial" w:hAnsi="Arial"/>
          <w:sz w:val="22"/>
        </w:rPr>
        <w:t xml:space="preserve"> (FIPS PUB 180-4). U.S. Department of Commerce. https://doi.org/10.6028/NIST.FIPS.180-4</w:t>
      </w:r>
    </w:p>
    <w:p>
      <w:pPr>
        <w:spacing w:after="120"/>
        <w:ind w:left="709" w:hanging="709"/>
      </w:pPr>
      <w:r>
        <w:rPr>
          <w:rFonts w:ascii="Arial" w:hAnsi="Arial"/>
          <w:sz w:val="22"/>
        </w:rPr>
        <w:t xml:space="preserve">Nielsen Norman Group. (2024). </w:t>
      </w:r>
      <w:r>
        <w:rPr>
          <w:i/>
        </w:rPr>
        <w:t>UX research &amp; design</w:t>
      </w:r>
      <w:r>
        <w:rPr>
          <w:rFonts w:ascii="Arial" w:hAnsi="Arial"/>
          <w:sz w:val="22"/>
        </w:rPr>
        <w:t xml:space="preserve">. Nielsen Norman Group. https://www.nngroup.com/ </w:t>
      </w:r>
      <w:r>
        <w:rPr>
          <w:i/>
        </w:rPr>
        <w:t>(PENDIENTE — identificar artículo o guía específica de NN/g que sustente la afirmación en §3.9)</w:t>
      </w:r>
    </w:p>
    <w:p>
      <w:pPr>
        <w:spacing w:after="120"/>
        <w:ind w:left="709" w:hanging="709"/>
      </w:pPr>
      <w:r>
        <w:rPr>
          <w:rFonts w:ascii="Arial" w:hAnsi="Arial"/>
          <w:sz w:val="22"/>
        </w:rPr>
        <w:t xml:space="preserve">OWASP Foundation. (2021). </w:t>
      </w:r>
      <w:r>
        <w:rPr>
          <w:i/>
        </w:rPr>
        <w:t>OWASP top ten</w:t>
      </w:r>
      <w:r>
        <w:rPr>
          <w:rFonts w:ascii="Arial" w:hAnsi="Arial"/>
          <w:sz w:val="22"/>
        </w:rPr>
        <w:t>. OWASP. https://owasp.org/www-project-top-ten/</w:t>
      </w:r>
    </w:p>
    <w:p>
      <w:pPr>
        <w:spacing w:after="120"/>
        <w:ind w:left="709" w:hanging="709"/>
      </w:pPr>
      <w:r>
        <w:rPr>
          <w:rFonts w:ascii="Arial" w:hAnsi="Arial"/>
          <w:sz w:val="22"/>
        </w:rPr>
        <w:t xml:space="preserve">Pressman, R. S., &amp; Maxim, B. R. (2015). </w:t>
      </w:r>
      <w:r>
        <w:rPr>
          <w:i/>
        </w:rPr>
        <w:t>Software engineering: A practitioner's approach</w:t>
      </w:r>
      <w:r>
        <w:rPr>
          <w:rFonts w:ascii="Arial" w:hAnsi="Arial"/>
          <w:sz w:val="22"/>
        </w:rPr>
        <w:t xml:space="preserve"> (8th ed.). McGraw-Hill.</w:t>
      </w:r>
    </w:p>
    <w:p>
      <w:pPr>
        <w:spacing w:after="120"/>
        <w:ind w:left="709" w:hanging="709"/>
      </w:pPr>
      <w:r>
        <w:rPr>
          <w:rFonts w:ascii="Arial" w:hAnsi="Arial"/>
          <w:sz w:val="22"/>
        </w:rPr>
        <w:t xml:space="preserve">Secretaría de Gobernación (SEGOB). (2024). </w:t>
      </w:r>
      <w:r>
        <w:rPr>
          <w:i/>
        </w:rPr>
        <w:t>Clave Única de Registro de Población</w:t>
      </w:r>
      <w:r>
        <w:rPr>
          <w:rFonts w:ascii="Arial" w:hAnsi="Arial"/>
          <w:sz w:val="22"/>
        </w:rPr>
        <w:t xml:space="preserve">. Gobierno de México. https://www.gob.mx/curp </w:t>
      </w:r>
      <w:r>
        <w:rPr>
          <w:i/>
        </w:rPr>
        <w:t>(PENDIENTE — confirmar si la cita correcta es a la página gob.mx, al DOF o al Acuerdo de 1996)</w:t>
      </w:r>
    </w:p>
    <w:p>
      <w:pPr>
        <w:spacing w:after="120"/>
        <w:ind w:left="709" w:hanging="709"/>
      </w:pPr>
      <w:r>
        <w:rPr>
          <w:rFonts w:ascii="Arial" w:hAnsi="Arial"/>
          <w:sz w:val="22"/>
        </w:rPr>
        <w:t xml:space="preserve">shadcn. (2024). </w:t>
      </w:r>
      <w:r>
        <w:rPr>
          <w:i/>
        </w:rPr>
        <w:t>shadcn/ui documentation</w:t>
      </w:r>
      <w:r>
        <w:rPr>
          <w:rFonts w:ascii="Arial" w:hAnsi="Arial"/>
          <w:sz w:val="22"/>
        </w:rPr>
        <w:t>. GitHub. https://ui.shadcn.com</w:t>
      </w:r>
    </w:p>
    <w:p>
      <w:pPr>
        <w:spacing w:after="120"/>
        <w:ind w:left="709" w:hanging="709"/>
      </w:pPr>
      <w:r>
        <w:rPr>
          <w:rFonts w:ascii="Arial" w:hAnsi="Arial"/>
          <w:sz w:val="22"/>
        </w:rPr>
        <w:t xml:space="preserve">Sommerville, I. (2016). </w:t>
      </w:r>
      <w:r>
        <w:rPr>
          <w:i/>
        </w:rPr>
        <w:t>Software engineering</w:t>
      </w:r>
      <w:r>
        <w:rPr>
          <w:rFonts w:ascii="Arial" w:hAnsi="Arial"/>
          <w:sz w:val="22"/>
        </w:rPr>
        <w:t xml:space="preserve"> (10th ed.). Pearson.</w:t>
      </w:r>
    </w:p>
    <w:p>
      <w:pPr>
        <w:spacing w:after="120"/>
        <w:ind w:left="709" w:hanging="709"/>
      </w:pPr>
      <w:r>
        <w:rPr>
          <w:rFonts w:ascii="Arial" w:hAnsi="Arial"/>
          <w:sz w:val="22"/>
        </w:rPr>
        <w:t xml:space="preserve">Supabase. (2024a). </w:t>
      </w:r>
      <w:r>
        <w:rPr>
          <w:i/>
        </w:rPr>
        <w:t>Supabase documentation: Overview</w:t>
      </w:r>
      <w:r>
        <w:rPr>
          <w:rFonts w:ascii="Arial" w:hAnsi="Arial"/>
          <w:sz w:val="22"/>
        </w:rPr>
        <w:t>. Supabase Inc. https://supabase.com/docs</w:t>
      </w:r>
    </w:p>
    <w:p>
      <w:pPr>
        <w:spacing w:after="120"/>
        <w:ind w:left="709" w:hanging="709"/>
      </w:pPr>
      <w:r>
        <w:rPr>
          <w:rFonts w:ascii="Arial" w:hAnsi="Arial"/>
          <w:sz w:val="22"/>
        </w:rPr>
        <w:t xml:space="preserve">Supabase. (2024b). </w:t>
      </w:r>
      <w:r>
        <w:rPr>
          <w:i/>
        </w:rPr>
        <w:t>Supabase documentation: REST API (PostgREST)</w:t>
      </w:r>
      <w:r>
        <w:rPr>
          <w:rFonts w:ascii="Arial" w:hAnsi="Arial"/>
          <w:sz w:val="22"/>
        </w:rPr>
        <w:t>. Supabase Inc. https://supabase.com/docs/guides/api</w:t>
      </w:r>
    </w:p>
    <w:p>
      <w:pPr>
        <w:spacing w:after="120"/>
        <w:ind w:left="709" w:hanging="709"/>
      </w:pPr>
      <w:r>
        <w:rPr>
          <w:rFonts w:ascii="Arial" w:hAnsi="Arial"/>
          <w:sz w:val="22"/>
        </w:rPr>
        <w:t xml:space="preserve">Supabase. (2024c). </w:t>
      </w:r>
      <w:r>
        <w:rPr>
          <w:i/>
        </w:rPr>
        <w:t>Supabase documentation: Auth</w:t>
      </w:r>
      <w:r>
        <w:rPr>
          <w:rFonts w:ascii="Arial" w:hAnsi="Arial"/>
          <w:sz w:val="22"/>
        </w:rPr>
        <w:t>. Supabase Inc. https://supabase.com/docs/guides/auth</w:t>
      </w:r>
    </w:p>
    <w:p>
      <w:pPr>
        <w:spacing w:after="120"/>
        <w:ind w:left="709" w:hanging="709"/>
      </w:pPr>
      <w:r>
        <w:rPr>
          <w:rFonts w:ascii="Arial" w:hAnsi="Arial"/>
          <w:sz w:val="22"/>
        </w:rPr>
        <w:t xml:space="preserve">Supabase. (2024d). </w:t>
      </w:r>
      <w:r>
        <w:rPr>
          <w:i/>
        </w:rPr>
        <w:t>Supabase documentation: Storage</w:t>
      </w:r>
      <w:r>
        <w:rPr>
          <w:rFonts w:ascii="Arial" w:hAnsi="Arial"/>
          <w:sz w:val="22"/>
        </w:rPr>
        <w:t>. Supabase Inc. https://supabase.com/docs/guides/storage</w:t>
      </w:r>
    </w:p>
    <w:p>
      <w:pPr>
        <w:spacing w:after="120"/>
        <w:ind w:left="709" w:hanging="709"/>
      </w:pPr>
      <w:r>
        <w:rPr>
          <w:rFonts w:ascii="Arial" w:hAnsi="Arial"/>
          <w:sz w:val="22"/>
        </w:rPr>
        <w:t xml:space="preserve">Tailwind Labs. (2024). </w:t>
      </w:r>
      <w:r>
        <w:rPr>
          <w:i/>
        </w:rPr>
        <w:t>Tailwind CSS documentation</w:t>
      </w:r>
      <w:r>
        <w:rPr>
          <w:rFonts w:ascii="Arial" w:hAnsi="Arial"/>
          <w:sz w:val="22"/>
        </w:rPr>
        <w:t>. Tailwind Labs. https://tailwindcss.com/docs</w:t>
      </w:r>
    </w:p>
    <w:p>
      <w:pPr>
        <w:spacing w:after="120"/>
        <w:ind w:left="709" w:hanging="709"/>
      </w:pPr>
      <w:r>
        <w:rPr>
          <w:rFonts w:ascii="Arial" w:hAnsi="Arial"/>
          <w:sz w:val="22"/>
        </w:rPr>
        <w:t xml:space="preserve">The PostgreSQL Global Development Group. (2024). </w:t>
      </w:r>
      <w:r>
        <w:rPr>
          <w:i/>
        </w:rPr>
        <w:t>PostgreSQL 16 documentation</w:t>
      </w:r>
      <w:r>
        <w:rPr>
          <w:rFonts w:ascii="Arial" w:hAnsi="Arial"/>
          <w:sz w:val="22"/>
        </w:rPr>
        <w:t>. https://www.postgresql.org/docs/16/</w:t>
      </w:r>
    </w:p>
    <w:p>
      <w:pPr>
        <w:spacing w:after="120"/>
        <w:ind w:left="709" w:hanging="709"/>
      </w:pPr>
      <w:r>
        <w:rPr>
          <w:rFonts w:ascii="Arial" w:hAnsi="Arial"/>
          <w:sz w:val="22"/>
        </w:rPr>
        <w:t xml:space="preserve">Vercel. (2024a). </w:t>
      </w:r>
      <w:r>
        <w:rPr>
          <w:i/>
        </w:rPr>
        <w:t>Next.js App Router documentation</w:t>
      </w:r>
      <w:r>
        <w:rPr>
          <w:rFonts w:ascii="Arial" w:hAnsi="Arial"/>
          <w:sz w:val="22"/>
        </w:rPr>
        <w:t>. Vercel. https://nextjs.org/docs/app</w:t>
      </w:r>
    </w:p>
    <w:p>
      <w:pPr>
        <w:spacing w:after="120"/>
        <w:ind w:left="709" w:hanging="709"/>
      </w:pPr>
      <w:r>
        <w:rPr>
          <w:rFonts w:ascii="Arial" w:hAnsi="Arial"/>
          <w:sz w:val="22"/>
        </w:rPr>
        <w:t xml:space="preserve">Vercel. (2024b). </w:t>
      </w:r>
      <w:r>
        <w:rPr>
          <w:i/>
        </w:rPr>
        <w:t>Vercel platform documentation</w:t>
      </w:r>
      <w:r>
        <w:rPr>
          <w:rFonts w:ascii="Arial" w:hAnsi="Arial"/>
          <w:sz w:val="22"/>
        </w:rPr>
        <w:t>. Vercel. https://vercel.com/docs</w:t>
      </w:r>
    </w:p>
    <w:p>
      <w:pPr>
        <w:spacing w:after="120"/>
        <w:ind w:left="709" w:hanging="709"/>
      </w:pPr>
      <w:r>
        <w:rPr>
          <w:rFonts w:ascii="Arial" w:hAnsi="Arial"/>
          <w:sz w:val="22"/>
        </w:rPr>
        <w:t xml:space="preserve">Wiggins, A. (2011). </w:t>
      </w:r>
      <w:r>
        <w:rPr>
          <w:i/>
        </w:rPr>
        <w:t>The twelve-factor app</w:t>
      </w:r>
      <w:r>
        <w:rPr>
          <w:rFonts w:ascii="Arial" w:hAnsi="Arial"/>
          <w:sz w:val="22"/>
        </w:rPr>
        <w:t>. Heroku. https://12factor.net/</w:t>
      </w:r>
    </w:p>
    <w:p>
      <w:r>
        <w:br w:type="page"/>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3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Rule="auto" w:line="360"/>
      <w:outlineLvl w:val="3"/>
    </w:pPr>
    <w:rPr>
      <w:rFonts w:asciiTheme="majorHAnsi" w:eastAsiaTheme="majorEastAsia" w:hAnsiTheme="majorHAnsi" w:cstheme="majorBidi" w:ascii="Arial" w:hAnsi="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jc w:val="left"/>
    </w:pPr>
    <w:rPr>
      <w:rFonts w:ascii="Courier New" w:hAnsi="Courier New"/>
      <w:sz w:val="18"/>
    </w:rPr>
  </w:style>
  <w:style w:type="paragraph" w:customStyle="1" w:styleId="FigureCaption">
    <w:name w:val="Figure Caption"/>
    <w:pPr>
      <w:spacing w:before="40" w:after="160"/>
      <w:jc w:val="center"/>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