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left"/>
      </w:pPr>
      <w:r>
        <w:rPr>
          <w:rFonts w:ascii="Calibri" w:hAnsi="Calibri"/>
          <w:b/>
          <w:color w:val="B0882C"/>
          <w:sz w:val="22"/>
        </w:rPr>
        <w:t>AI X ROBOTICS ECOSYSTEM | LAYER BRIEF</w:t>
      </w:r>
    </w:p>
    <w:p>
      <w:pPr>
        <w:spacing w:after="40"/>
        <w:pBdr>
          <w:bottom w:val="single" w:sz="18" w:space="2" w:color="B0882C"/>
        </w:pBdr>
      </w:pPr>
      <w:r>
        <w:rPr>
          <w:rFonts w:ascii="Georgia" w:hAnsi="Georgia"/>
          <w:b/>
          <w:color w:val="1F3864"/>
          <w:sz w:val="60"/>
        </w:rPr>
        <w:t>L5. Software Stack and Middleware</w:t>
      </w:r>
    </w:p>
    <w:p>
      <w:r>
        <w:rPr>
          <w:rFonts w:ascii="Georgia" w:hAnsi="Georgia"/>
          <w:i/>
          <w:color w:val="595F6B"/>
          <w:sz w:val="27"/>
        </w:rPr>
        <w:t>The connective tissue. The least-funded layer, squeezed from both sides.</w:t>
      </w:r>
    </w:p>
    <w:p/>
    <w:p/>
    <w:p/>
    <w:p/>
    <w:p/>
    <w:p/>
    <w:p/>
    <w:p/>
    <w:p/>
    <w:p/>
    <w:p>
      <w:pPr>
        <w:spacing w:after="20"/>
      </w:pPr>
      <w:r>
        <w:rPr>
          <w:rFonts w:ascii="Calibri" w:hAnsi="Calibri"/>
          <w:color w:val="595F6B"/>
          <w:sz w:val="19"/>
        </w:rPr>
        <w:t>Phase 2 analytical brief</w:t>
      </w:r>
    </w:p>
    <w:p>
      <w:pPr>
        <w:spacing w:after="20"/>
      </w:pPr>
      <w:r>
        <w:rPr>
          <w:rFonts w:ascii="Calibri" w:hAnsi="Calibri"/>
          <w:color w:val="595F6B"/>
          <w:sz w:val="19"/>
        </w:rPr>
        <w:t>Coverage: 27 in-scope companies</w:t>
      </w:r>
    </w:p>
    <w:p>
      <w:pPr>
        <w:spacing w:after="20"/>
      </w:pPr>
      <w:r>
        <w:rPr>
          <w:rFonts w:ascii="Calibri" w:hAnsi="Calibri"/>
          <w:color w:val="595F6B"/>
          <w:sz w:val="19"/>
        </w:rPr>
        <w:t>Data as of June 2026</w:t>
      </w:r>
    </w:p>
    <w:p>
      <w:pPr>
        <w:spacing w:after="20"/>
      </w:pPr>
      <w:r>
        <w:rPr>
          <w:rFonts w:ascii="Calibri" w:hAnsi="Calibri"/>
          <w:color w:val="595F6B"/>
          <w:sz w:val="19"/>
        </w:rPr>
        <w:t>Prepared from the AI x Robotics census (286 companies, 25 fields)</w:t>
      </w:r>
    </w:p>
    <w:p>
      <w:pPr>
        <w:spacing w:before="160"/>
      </w:pPr>
      <w:r>
        <w:rPr>
          <w:rFonts w:ascii="Calibri" w:hAnsi="Calibri"/>
          <w:b/>
          <w:color w:val="1F3864"/>
          <w:sz w:val="17"/>
        </w:rPr>
        <w:t>STRICTLY CONFIDENTIAL</w:t>
      </w:r>
    </w:p>
    <w:p>
      <w:pPr>
        <w:sectPr>
          <w:pgSz w:w="12240" w:h="15840"/>
          <w:pgMar w:top="1152" w:right="1008" w:bottom="1008" w:left="1008" w:header="720" w:footer="720" w:gutter="0"/>
          <w:cols w:space="720"/>
          <w:docGrid w:linePitch="360"/>
        </w:sectPr>
      </w:pPr>
    </w:p>
    <w:p>
      <w:pPr>
        <w:pStyle w:val="Heading1"/>
        <w:pBdr>
          <w:bottom w:val="single" w:sz="12" w:space="2" w:color="B0882C"/>
        </w:pBdr>
      </w:pPr>
      <w:r>
        <w:rPr>
          <w:rFonts w:ascii="Georgia" w:hAnsi="Georgia"/>
        </w:rPr>
        <w:t>1.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16"/>
            <w:shd w:val="clear" w:fill="FFFFFF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Georgia" w:hAnsi="Georgia"/>
                <w:b/>
                <w:i w:val="0"/>
                <w:color w:val="1F3864"/>
                <w:sz w:val="30"/>
              </w:rPr>
              <w:t>27</w:t>
            </w:r>
          </w:p>
        </w:tc>
        <w:tc>
          <w:tcPr>
            <w:tcW w:type="dxa" w:w="2016"/>
            <w:shd w:val="clear" w:fill="FFFFFF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Georgia" w:hAnsi="Georgia"/>
                <w:b/>
                <w:i w:val="0"/>
                <w:color w:val="1F3864"/>
                <w:sz w:val="30"/>
              </w:rPr>
              <w:t>$648M</w:t>
            </w:r>
          </w:p>
        </w:tc>
        <w:tc>
          <w:tcPr>
            <w:tcW w:type="dxa" w:w="2016"/>
            <w:shd w:val="clear" w:fill="FFFFFF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Georgia" w:hAnsi="Georgia"/>
                <w:b/>
                <w:i w:val="0"/>
                <w:color w:val="1F3864"/>
                <w:sz w:val="30"/>
              </w:rPr>
              <w:t>56%</w:t>
            </w:r>
          </w:p>
        </w:tc>
        <w:tc>
          <w:tcPr>
            <w:tcW w:type="dxa" w:w="2016"/>
            <w:shd w:val="clear" w:fill="FFFFFF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Georgia" w:hAnsi="Georgia"/>
                <w:b/>
                <w:i w:val="0"/>
                <w:color w:val="1F3864"/>
                <w:sz w:val="30"/>
              </w:rPr>
              <w:t>14 / 1 / 12</w:t>
            </w:r>
          </w:p>
        </w:tc>
        <w:tc>
          <w:tcPr>
            <w:tcW w:type="dxa" w:w="2016"/>
            <w:shd w:val="clear" w:fill="FFFFFF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Georgia" w:hAnsi="Georgia"/>
                <w:b/>
                <w:i w:val="0"/>
                <w:color w:val="1F3864"/>
                <w:sz w:val="30"/>
              </w:rPr>
              <w:t>2020</w:t>
            </w:r>
          </w:p>
        </w:tc>
      </w:tr>
      <w:tr>
        <w:tc>
          <w:tcPr>
            <w:tcW w:type="dxa" w:w="2016"/>
            <w:shd w:val="clear" w:fill="FFFFFF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F6B"/>
                <w:sz w:val="16"/>
              </w:rPr>
              <w:t>Companies</w:t>
            </w:r>
          </w:p>
        </w:tc>
        <w:tc>
          <w:tcPr>
            <w:tcW w:type="dxa" w:w="2016"/>
            <w:shd w:val="clear" w:fill="FFFFFF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F6B"/>
                <w:sz w:val="16"/>
              </w:rPr>
              <w:t>Disclosed funding</w:t>
            </w:r>
          </w:p>
        </w:tc>
        <w:tc>
          <w:tcPr>
            <w:tcW w:type="dxa" w:w="2016"/>
            <w:shd w:val="clear" w:fill="FFFFFF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F6B"/>
                <w:sz w:val="16"/>
              </w:rPr>
              <w:t>Top-3 funding share</w:t>
            </w:r>
          </w:p>
        </w:tc>
        <w:tc>
          <w:tcPr>
            <w:tcW w:type="dxa" w:w="2016"/>
            <w:shd w:val="clear" w:fill="FFFFFF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F6B"/>
                <w:sz w:val="16"/>
              </w:rPr>
              <w:t>US / CN / RoW</w:t>
            </w:r>
          </w:p>
        </w:tc>
        <w:tc>
          <w:tcPr>
            <w:tcW w:type="dxa" w:w="2016"/>
            <w:shd w:val="clear" w:fill="FFFFFF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95F6B"/>
                <w:sz w:val="16"/>
              </w:rPr>
              <w:t>Median founded</w:t>
            </w:r>
          </w:p>
        </w:tc>
      </w:tr>
    </w:tbl>
    <w:p/>
    <w:p>
      <w:pPr>
        <w:spacing w:after="100"/>
      </w:pPr>
      <w:r>
        <w:rPr>
          <w:rFonts w:ascii="Georgia" w:hAnsi="Georgia"/>
          <w:b/>
          <w:color w:val="1F3864"/>
          <w:sz w:val="21"/>
        </w:rPr>
        <w:t xml:space="preserve">Revenue mix.  </w:t>
      </w:r>
      <w:r>
        <w:rPr>
          <w:rFonts w:ascii="Georgia" w:hAnsi="Georgia"/>
          <w:sz w:val="21"/>
        </w:rPr>
        <w:t>early-revenue 19, pre-revenue 4, scaling 2, n/a 1, undisclosed 1</w:t>
      </w:r>
    </w:p>
    <w:p>
      <w:pPr>
        <w:spacing w:after="100"/>
      </w:pPr>
      <w:r>
        <w:rPr>
          <w:rFonts w:ascii="Georgia" w:hAnsi="Georgia"/>
          <w:b/>
          <w:color w:val="1F3864"/>
          <w:sz w:val="21"/>
        </w:rPr>
        <w:t xml:space="preserve">Founding wave.  </w:t>
      </w:r>
      <w:r>
        <w:rPr>
          <w:rFonts w:ascii="Georgia" w:hAnsi="Georgia"/>
          <w:sz w:val="21"/>
        </w:rPr>
        <w:t>6 of 24 companies (25%) were founded in 2023 or later.</w:t>
      </w:r>
    </w:p>
    <w:p>
      <w:pPr>
        <w:pStyle w:val="Heading1"/>
        <w:pBdr>
          <w:bottom w:val="single" w:sz="12" w:space="2" w:color="B0882C"/>
        </w:pBdr>
      </w:pPr>
      <w:r>
        <w:rPr>
          <w:rFonts w:ascii="Georgia" w:hAnsi="Georgia"/>
        </w:rPr>
        <w:t>2. Market structure</w:t>
      </w:r>
    </w:p>
    <w:p>
      <w:pPr>
        <w:spacing w:after="120"/>
      </w:pPr>
      <w:r>
        <w:rPr>
          <w:rFonts w:ascii="Georgia" w:hAnsi="Georgia"/>
          <w:b w:val="0"/>
          <w:i w:val="0"/>
          <w:sz w:val="21"/>
        </w:rPr>
        <w:t>At 27 companies and roughly $0.65B, this is the least-funded layer by an order of magnitude. It is the software between a trained policy and a robot running in production: fleet orchestration, edge inference, observability, safety runtime and ROS2-native tooling. Top three near 56% (Dexmal, Viam, Rapyuta).</w:t>
      </w:r>
    </w:p>
    <w:p>
      <w:pPr>
        <w:spacing w:after="120"/>
      </w:pPr>
      <w:r>
        <w:rPr>
          <w:rFonts w:ascii="Georgia" w:hAnsi="Georgia"/>
          <w:b w:val="0"/>
          <w:i w:val="0"/>
          <w:sz w:val="21"/>
        </w:rPr>
        <w:t>Entry barriers are low on capital but high on trust: the software is cheap to start but hard to get into a safety-critical robot stack. The layer is quietly maturing (median founding 2020) and almost entirely early-revenue (19 of 27), selling real tools to real fleets but on small contracts.</w:t>
      </w:r>
    </w:p>
    <w:p>
      <w:pPr>
        <w:spacing w:after="120"/>
      </w:pPr>
      <w:r>
        <w:rPr>
          <w:rFonts w:ascii="Georgia" w:hAnsi="Georgia"/>
          <w:b w:val="0"/>
          <w:i w:val="0"/>
          <w:sz w:val="21"/>
        </w:rPr>
        <w:t>Capital is seed and Series A venture with little strategic interest, reflecting that the buyers, robot fleets at scale, barely exist yet.</w:t>
      </w:r>
    </w:p>
    <w:p>
      <w:pPr>
        <w:spacing w:after="100"/>
      </w:pPr>
      <w:r>
        <w:rPr>
          <w:rFonts w:ascii="Georgia" w:hAnsi="Georgia"/>
          <w:b/>
          <w:color w:val="1F3864"/>
          <w:sz w:val="21"/>
        </w:rPr>
        <w:t xml:space="preserve">Bottleneck.  </w:t>
      </w:r>
      <w:r>
        <w:rPr>
          <w:rFonts w:ascii="Georgia" w:hAnsi="Georgia"/>
          <w:sz w:val="21"/>
        </w:rPr>
        <w:t>It is squeezed from both sides: L1 and L4 players build their own deployment stacks in-house, so independent middleware must be radically better or genuinely horizontal across fleets to survive.</w:t>
      </w:r>
    </w:p>
    <w:p>
      <w:pPr>
        <w:pStyle w:val="Heading1"/>
        <w:pBdr>
          <w:bottom w:val="single" w:sz="12" w:space="2" w:color="B0882C"/>
        </w:pBdr>
      </w:pPr>
      <w:r>
        <w:rPr>
          <w:rFonts w:ascii="Georgia" w:hAnsi="Georgia"/>
        </w:rPr>
        <w:t>3. Company roster</w:t>
      </w:r>
    </w:p>
    <w:p>
      <w:pPr>
        <w:spacing w:after="120"/>
      </w:pPr>
      <w:r>
        <w:rPr>
          <w:rFonts w:ascii="Georgia" w:hAnsi="Georgia"/>
          <w:b w:val="0"/>
          <w:i/>
          <w:color w:val="595F6B"/>
          <w:sz w:val="18"/>
        </w:rPr>
        <w:t>Sorted by disclosed total funding. Full text for every field, plus sources, is in ai_robotics_census_enriched.csv.</w:t>
      </w:r>
    </w:p>
    <w:p>
      <w:pPr>
        <w:sectPr>
          <w:footerReference w:type="default" r:id="rId9"/>
          <w:headerReference w:type="default" r:id="rId10"/>
          <w:pgSz w:w="12240" w:h="15840"/>
          <w:pgMar w:top="1152" w:right="1008" w:bottom="1008" w:left="1008" w:header="720" w:footer="720" w:gutter="0"/>
          <w:cols w:space="720"/>
          <w:docGrid w:linePitch="360"/>
        </w:sectPr>
      </w:pPr>
    </w:p>
    <w:p>
      <w:pPr>
        <w:pStyle w:val="Heading3"/>
      </w:pPr>
      <w:r>
        <w:rPr>
          <w:rFonts w:ascii="Georgia" w:hAnsi="Georgia"/>
        </w:rPr>
        <w:t>Funded companies (21)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6"/>
        <w:gridCol w:w="1536"/>
        <w:gridCol w:w="1536"/>
        <w:gridCol w:w="1536"/>
        <w:gridCol w:w="1536"/>
        <w:gridCol w:w="1536"/>
        <w:gridCol w:w="1536"/>
        <w:gridCol w:w="1536"/>
        <w:gridCol w:w="1536"/>
      </w:tblGrid>
      <w:tr>
        <w:trPr>
          <w:tblHeader w:val="true"/>
        </w:trPr>
        <w:tc>
          <w:tcPr>
            <w:tcW w:type="dxa" w:w="1800"/>
            <w:shd w:val="clear" w:fill="1F3864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Company</w:t>
            </w:r>
          </w:p>
        </w:tc>
        <w:tc>
          <w:tcPr>
            <w:tcW w:type="dxa" w:w="547"/>
            <w:shd w:val="clear" w:fill="1F3864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HQ</w:t>
            </w:r>
          </w:p>
        </w:tc>
        <w:tc>
          <w:tcPr>
            <w:tcW w:type="dxa" w:w="605"/>
            <w:shd w:val="clear" w:fill="1F3864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Fnd</w:t>
            </w:r>
          </w:p>
        </w:tc>
        <w:tc>
          <w:tcPr>
            <w:tcW w:type="dxa" w:w="893"/>
            <w:shd w:val="clear" w:fill="1F3864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Funding</w:t>
            </w:r>
          </w:p>
        </w:tc>
        <w:tc>
          <w:tcPr>
            <w:tcW w:type="dxa" w:w="1512"/>
            <w:shd w:val="clear" w:fill="1F3864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Revenue status</w:t>
            </w:r>
          </w:p>
        </w:tc>
        <w:tc>
          <w:tcPr>
            <w:tcW w:type="dxa" w:w="2232"/>
            <w:shd w:val="clear" w:fill="1F3864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What they do</w:t>
            </w:r>
          </w:p>
        </w:tc>
        <w:tc>
          <w:tcPr>
            <w:tcW w:type="dxa" w:w="2232"/>
            <w:shd w:val="clear" w:fill="1F3864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Business model</w:t>
            </w:r>
          </w:p>
        </w:tc>
        <w:tc>
          <w:tcPr>
            <w:tcW w:type="dxa" w:w="1800"/>
            <w:shd w:val="clear" w:fill="1F3864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Customers</w:t>
            </w:r>
          </w:p>
        </w:tc>
        <w:tc>
          <w:tcPr>
            <w:tcW w:type="dxa" w:w="2059"/>
            <w:shd w:val="clear" w:fill="1F3864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Technical differentiation</w:t>
            </w:r>
          </w:p>
        </w:tc>
      </w:tr>
      <w:tr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Dexmal</w:t>
            </w:r>
          </w:p>
        </w:tc>
        <w:tc>
          <w:tcPr>
            <w:tcW w:type="dxa" w:w="547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CN</w:t>
            </w:r>
          </w:p>
        </w:tc>
        <w:tc>
          <w:tcPr>
            <w:tcW w:type="dxa" w:w="605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</w:t>
            </w:r>
          </w:p>
        </w:tc>
        <w:tc>
          <w:tcPr>
            <w:tcW w:type="dxa" w:w="893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$165M</w:t>
            </w:r>
          </w:p>
        </w:tc>
        <w:tc>
          <w:tcPr>
            <w:tcW w:type="dxa" w:w="151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pre-revenue (no public revenue/ARR figure; raised ~1B RMB / ~$140M across A and A+ rounds led by NIO Capital and Alibaba, Nov 2025)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End-to-end embodied-intelligence company; co-launched RoboChallenge with Hugging Face, the first large-scale real-robot benchmark evaluating VLA policies on physical hardware for reproducible, comparable scoring.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Early-stage commercialization. Plans to monetize its proprietary end-to-end multimodal embodied-AI foundation model (MMLA) plus robot hardware/software stack, sold to robotics OEMs and industrial/logistics operators (team has prior AI logistics-robot and flexible warehouse automation deployment experience). Its Dexbotic VLA toolkit, DOS-W1 hardware, and the RoboChallenge benchmark (co-launched with Hugging Face) are open-source / community ecosystem plays rather than direct revenue products. Specific pricing/contract terms not publicly disclosed.</w:t>
            </w:r>
          </w:p>
        </w:tc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Undisclosed. No named paying customers publicly identified; the company (founded March 2025) is pre-commercial. Ecosystem partners on the RoboChallenge committee include BAAI (Zhiyuan), Unitree, Qwen/Alibaba, and Xinghai Technology, but these are collaborators, not disclosed paying customers.</w:t>
            </w:r>
          </w:p>
        </w:tc>
        <w:tc>
          <w:tcPr>
            <w:tcW w:type="dxa" w:w="2059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Differentiates via an end-to-end multimodal "MMLA" model fusing LLM/VLM/VLA with a world model for cross-scene/cross-embodiment generalization, plus owning RoboChallenge, the first large-scale real-robot VLA benchmark (with Hugging Face). Versus peers like Physical Intelligence (pi) and Figure AI, Dexmal leans open-source (Dexbotic toolkit, DOS-W1 hardware) and benchmark/standard-setting; founding team are Megvii (旷视) veterans led by Tang Wenbin, giving deep CV/AI-native productization pedigree.</w:t>
            </w:r>
          </w:p>
        </w:tc>
      </w:tr>
      <w:tr>
        <w:tc>
          <w:tcPr>
            <w:tcW w:type="dxa" w:w="1800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Viam</w:t>
            </w:r>
          </w:p>
        </w:tc>
        <w:tc>
          <w:tcPr>
            <w:tcW w:type="dxa" w:w="547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</w:t>
            </w:r>
          </w:p>
        </w:tc>
        <w:tc>
          <w:tcPr>
            <w:tcW w:type="dxa" w:w="605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2020</w:t>
            </w:r>
          </w:p>
        </w:tc>
        <w:tc>
          <w:tcPr>
            <w:tcW w:type="dxa" w:w="893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$117M</w:t>
            </w:r>
          </w:p>
        </w:tc>
        <w:tc>
          <w:tcPr>
            <w:tcW w:type="dxa" w:w="151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early-revenue (no public revenue/ARR figure disclosed; raised ~$117M total incl. $30M Series C in March 2025 led by Union Square Ventures)</w:t>
            </w:r>
          </w:p>
        </w:tc>
        <w:tc>
          <w:tcPr>
            <w:tcW w:type="dxa" w:w="223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Modular open-source software platform for building, deploying, and managing robot/smart-machine apps across heterogeneous hardware, with integrated data capture and ML model fleet deployment.</w:t>
            </w:r>
          </w:p>
        </w:tc>
        <w:tc>
          <w:tcPr>
            <w:tcW w:type="dxa" w:w="223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Open-core/freemium: the on-machine viam-server SDK is open source and free, while Viam monetizes consumption-based cloud services (fleet management, data capture/sync, ML model deployment, remote control) billed usage-based after a $5/month free tier, primarily to enterprises building and operating fleets of robots/smart machines. It also sells vertical turnkey solutions like SurfaceAI sanding cells (~$120K/year per two-arm cell) and offers $10K platform credits to startups.</w:t>
            </w:r>
          </w:p>
        </w:tc>
        <w:tc>
          <w:tcPr>
            <w:tcW w:type="dxa" w:w="1800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Named customers/partners include the New York Islanders &amp; UBS Arena (Official AI Technology Partner), Viking Yachts, Kongsberg Discovery, Sbarro, Transmutex, Appetronix, and CompScience; spans robotics, QSR, marine, climate tech, and industrial manufacturing.</w:t>
            </w:r>
          </w:p>
        </w:tc>
        <w:tc>
          <w:tcPr>
            <w:tcW w:type="dxa" w:w="2059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Unlike ROS (open-source middleware requiring heavy integration/self-hosting), Viam provides an integrated, hardware-agnostic platform with built-in cloud fleet/data management and an extensible module registry out of the box. Vs cloud-ops competitors Formant and Freedom Robotics, Viam differentiates by combining the on-device runtime/SDK and the cloud control plane in one stack rather than layering ops tooling on top of an existing robot framework.</w:t>
            </w:r>
          </w:p>
        </w:tc>
      </w:tr>
      <w:tr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Rapyuta Robotics</w:t>
            </w:r>
          </w:p>
        </w:tc>
        <w:tc>
          <w:tcPr>
            <w:tcW w:type="dxa" w:w="547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JP</w:t>
            </w:r>
          </w:p>
        </w:tc>
        <w:tc>
          <w:tcPr>
            <w:tcW w:type="dxa" w:w="605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2014</w:t>
            </w:r>
          </w:p>
        </w:tc>
        <w:tc>
          <w:tcPr>
            <w:tcW w:type="dxa" w:w="893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$81M</w:t>
            </w:r>
          </w:p>
        </w:tc>
        <w:tc>
          <w:tcPr>
            <w:tcW w:type="dxa" w:w="151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scaling (~$38M revenue 2025, third-party estimate, unverified; ~$81-91M total funding raised incl. $51M Series C led by Goldman Sachs)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Cloud-robotics middleware (rapyuta.io) orchestrating multi-robot fleets, localization, motion planning, task assignment, route planning, across hardware-agnostic warehouse robots; also builds own PA-AMR, ASRS, and forklift robots.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Sells warehouse automation built on its rapyuta.io cloud-robotics middleware: flagship pick-assist AMRs (PA-AMR) and an ASRS, primarily under a Robots-as-a-Service (RaaS) subscription model with zero-upfront-cost options and an "ROI guarantee" tying fees to productivity targets, plus hardware sales, software licensing, and integration/consultancy services. Buyers are logistics operators (3PLs, e-commerce, manufacturing), with partner integrators like SVT Robotics extending reach.</w:t>
            </w:r>
          </w:p>
        </w:tc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Named: ASKUL Corporation / ASKUL LOGIST (LOHACO e-commerce fulfillment, 34 + 12 PA-AMRs across Saitama and western Japan hubs), Nestlé Japan (end client at an ASKUL LOGIST center), and Nippon Express (early pick-assist pilot, a top Japanese 3PL). Strong PA-AMR share in the Japanese warehouse market.</w:t>
            </w:r>
          </w:p>
        </w:tc>
        <w:tc>
          <w:tcPr>
            <w:tcW w:type="dxa" w:w="2059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Unlike pure fleet-ops/observability middleware peers InOrbit and Formant (ex-Freedom Robotics), Rapyuta couples its rapyuta.io cloud platform (cloud-offloaded localization, motion/route planning, task assignment, multi-robot orchestration) with its own AMR/ASRS hardware delivered as RaaS, making it a vertically integrated warehouse solution rather than a hardware-agnostic software layer. ETH Zurich/RoboEarth research lineage underpins the cloud-robotics stack.</w:t>
            </w:r>
          </w:p>
        </w:tc>
      </w:tr>
      <w:tr>
        <w:tc>
          <w:tcPr>
            <w:tcW w:type="dxa" w:w="1800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Sift</w:t>
            </w:r>
          </w:p>
        </w:tc>
        <w:tc>
          <w:tcPr>
            <w:tcW w:type="dxa" w:w="547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</w:t>
            </w:r>
          </w:p>
        </w:tc>
        <w:tc>
          <w:tcPr>
            <w:tcW w:type="dxa" w:w="605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2022</w:t>
            </w:r>
          </w:p>
        </w:tc>
        <w:tc>
          <w:tcPr>
            <w:tcW w:type="dxa" w:w="893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$67M</w:t>
            </w:r>
          </w:p>
        </w:tc>
        <w:tc>
          <w:tcPr>
            <w:tcW w:type="dxa" w:w="151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early-revenue (no public revenue/ARR figure; $42M Series B raised March 2026 at $274M post-money valuation, total funding ~$67M)</w:t>
            </w:r>
          </w:p>
        </w:tc>
        <w:tc>
          <w:tcPr>
            <w:tcW w:type="dxa" w:w="223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Unified observability platform turning high-frequency multimodal sensor telemetry from mission-critical hardware and robots into real-time, AI-ready insights, replacing brittle custom scripts and dashboards.</w:t>
            </w:r>
          </w:p>
        </w:tc>
        <w:tc>
          <w:tcPr>
            <w:tcW w:type="dxa" w:w="223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Enterprise SaaS: Sift sells its unified observability platform (data ingestion, purpose-built high-cardinality telemetry storage, no-code visualization, rule-based anomaly detection, root-cause analysis, and certification/reporting) to engineering teams building mission-critical hardware in aerospace, defense, robotics, and energy. Buyers are hardware/test/systems-engineering orgs; pricing is via custom enterprise annual contracts (specific list pricing not publicly disclosed).</w:t>
            </w:r>
          </w:p>
        </w:tc>
        <w:tc>
          <w:tcPr>
            <w:tcW w:type="dxa" w:w="1800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Named customers include ULA, Astranis, K2 Space, Parallel Systems, True Anomaly, Mach Industries, Astrolab, Impulse, and TEC, plus undisclosed enterprise defense programs.</w:t>
            </w:r>
          </w:p>
        </w:tc>
        <w:tc>
          <w:tcPr>
            <w:tcW w:type="dxa" w:w="2059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Versus Foxglove (robotics multimodal data platform) and Memfault (embedded firmware/device observability), Sift differentiates by targeting high-frequency, high-cardinality telemetry from mission-critical aerospace/defense hardware with purpose-built time-series storage, no-code analysis, and certification/hardware-genealogy workflows derived from its founders' SpaceX rocket-telemetry background, rather than Memfault's OTA/firmware focus or Foxglove's ROS-centric robotics visualization.</w:t>
            </w:r>
          </w:p>
        </w:tc>
      </w:tr>
      <w:tr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FORT Robotics</w:t>
            </w:r>
          </w:p>
        </w:tc>
        <w:tc>
          <w:tcPr>
            <w:tcW w:type="dxa" w:w="547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</w:t>
            </w:r>
          </w:p>
        </w:tc>
        <w:tc>
          <w:tcPr>
            <w:tcW w:type="dxa" w:w="605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2018</w:t>
            </w:r>
          </w:p>
        </w:tc>
        <w:tc>
          <w:tcPr>
            <w:tcW w:type="dxa" w:w="893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$60M</w:t>
            </w:r>
          </w:p>
        </w:tc>
        <w:tc>
          <w:tcPr>
            <w:tcW w:type="dxa" w:w="151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scaling (~$33.2M revenue/ARR per Getlatka, 2023, unverified third-party estimate); raised $18.9M added to Series B in Aug 2025, total funding $60.5M (Tiger Global, Prologis Ventures).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Safety and trust platform for physical AI: SIL 3-certified machine control plus supervised-autonomy layer (teleoperation, active safety) so autonomous machines operate reliably in the real world.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Sells safety/control hardware-plus-software for autonomous machines: wireless emergency stops, SIL 3-certified vehicle safety controllers, and remote/teleoperation control systems, plus the cloud-based FORT Manager / Vehicle Safety Controller subscription (configure, monitor, manage access to fleet devices). Buyers are robot OEMs and industrial fleet operators in defense, agriculture, logistics, and warehousing; revenue comes from device unit sales plus recurring SaaS/platform and design-services contracts (specific list pricing not publicly disclosed).</w:t>
            </w:r>
          </w:p>
        </w:tc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Named customers include Amazon, Toyota, John Deere, Boston Dynamics, and Agility Robotics; reported 550-600+ customers including 60+ Fortune 1000 firms across defense, agriculture, logistics, construction, and warehousing.</w:t>
            </w:r>
          </w:p>
        </w:tc>
        <w:tc>
          <w:tcPr>
            <w:tcW w:type="dxa" w:w="2059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Differentiates on functional-safety certification (SIL 3 / PLd machine-control hardware) combined with a software supervised-autonomy and cybersecurity layer (active safety, teleoperation, secure device management), which it bundles as a vendor-agnostic safety platform across heterogeneous robot fleets. Closest named competitors are Sea Machines-style autonomy controllers and traditional industrial safety-PLC vendors like Pilz and Sick AG; FORT's edge is wireless E-stop plus a cloud trust/management layer rather than fixed-installation safety PLCs.</w:t>
            </w:r>
          </w:p>
        </w:tc>
      </w:tr>
      <w:tr>
        <w:tc>
          <w:tcPr>
            <w:tcW w:type="dxa" w:w="1800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Formant</w:t>
            </w:r>
          </w:p>
        </w:tc>
        <w:tc>
          <w:tcPr>
            <w:tcW w:type="dxa" w:w="547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</w:t>
            </w:r>
          </w:p>
        </w:tc>
        <w:tc>
          <w:tcPr>
            <w:tcW w:type="dxa" w:w="605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2017</w:t>
            </w:r>
          </w:p>
        </w:tc>
        <w:tc>
          <w:tcPr>
            <w:tcW w:type="dxa" w:w="893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$45M</w:t>
            </w:r>
          </w:p>
        </w:tc>
        <w:tc>
          <w:tcPr>
            <w:tcW w:type="dxa" w:w="151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early-revenue (~$5M ARR as of 2023, per GetLatka/third-party estimate, unverified; company reports 400pct YoY growth in active devices on platform)</w:t>
            </w:r>
          </w:p>
        </w:tc>
        <w:tc>
          <w:tcPr>
            <w:tcW w:type="dxa" w:w="223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Cloud data and operations platform for managing heterogeneous robot fleets: teleoperation, fleet management, data ingestion, observability, and customer data portals for scaling deployed robots.</w:t>
            </w:r>
          </w:p>
        </w:tc>
        <w:tc>
          <w:tcPr>
            <w:tcW w:type="dxa" w:w="223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SaaS subscription for its cloud robot-operations platform (teleoperation, fleet management, data ingestion/observability, customer data portals), sold to robotics OEMs and enterprises operating heterogeneous robot fleets. Pricing is subscription-based, oriented around devices/robots and outcomes rather than user seats; exact contract terms are not publicly disclosed.</w:t>
            </w:r>
          </w:p>
        </w:tc>
        <w:tc>
          <w:tcPr>
            <w:tcW w:type="dxa" w:w="1800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Named customers include SoftBank Robotics America (20,000+ deployed robots, expanded partnership Dec 2023), John Deere / Blue River Technology, BP, Knightscope, Burro, and Scythe Robotics.</w:t>
            </w:r>
          </w:p>
        </w:tc>
        <w:tc>
          <w:tcPr>
            <w:tcW w:type="dxa" w:w="2059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Differentiates from InOrbit and Freedom Robotics via deep data pipelines/observability and remote-control teleoperation for constantly-evolving R&amp;D fleets, with strong security posture (zero-trust auth, end-to-end encryption, SOC 2 Type II). InOrbit is more multi-brand/ROS2-native RobOps; Freedom Robotics targets SMB fleets with OTA/task management; Formant leans toward enterprise data analytics and remote operation.</w:t>
            </w:r>
          </w:p>
        </w:tc>
      </w:tr>
      <w:tr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Ati Robotics</w:t>
            </w:r>
          </w:p>
        </w:tc>
        <w:tc>
          <w:tcPr>
            <w:tcW w:type="dxa" w:w="547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IN</w:t>
            </w:r>
          </w:p>
        </w:tc>
        <w:tc>
          <w:tcPr>
            <w:tcW w:type="dxa" w:w="605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2017</w:t>
            </w:r>
          </w:p>
        </w:tc>
        <w:tc>
          <w:tcPr>
            <w:tcW w:type="dxa" w:w="893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$37M</w:t>
            </w:r>
          </w:p>
        </w:tc>
        <w:tc>
          <w:tcPr>
            <w:tcW w:type="dxa" w:w="151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early-revenue (~$8.9M annual revenue 2025, per Tracxn; unverified)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Agentic Material Orchestration software with AI agents coordinating heterogeneous robot fleets and factory material flow above ERP/MES; also builds its own tugging, pallet, and lifting AMRs.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Sells material-orchestration for factories combining its Ati Flow / Ativerse AI-agent software platform (sitting above ERP/MES) with its Sherpa autonomous mobile robots (Sherpa Tug, Lifter, Pivot, XT, 10K). Primary go-to-market is Robots-as-a-Service (RaaS), manufacturers pay recurring monthly subscription fees with no capex, bundling hardware, software orchestration, support, and free replacement/upgrades; outright hardware purchase is also available.</w:t>
            </w:r>
          </w:p>
        </w:tc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Named manufacturing customers (50+ globally, ~70 factories) include Hyundai, Bosch, Forvia, Airbus, Samsung, Daimler, Toyota Tsusho, Harley-Davidson, Cummins, Autoliv, Pirelli, Electrolux, CEAT Tyres, and TVS Motor; ~80% are automotive and the US dominates revenue.</w:t>
            </w:r>
          </w:p>
        </w:tc>
        <w:tc>
          <w:tcPr>
            <w:tcW w:type="dxa" w:w="2059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Differentiates by being full-stack, owning both the AI orchestration software layer AND the physical AMR fleet, positioning above ERP/MES as an "agentic material orchestration" layer, vs software-only fleet orchestrators that coordinate third-party robots. Versus pure-software middleware players like Freedom Robotics (acquired by Formant) or interoperability layers, Ati pairs its own factory-hardened robots and shop-floor IoT sensing; versus hardware-centric AMR vendors like Locus Robotics or Geek+, Ati's edge is the heterogeneous-fleet, ERP-integrated AI agent layer and 2M+ missions / 99% success-rate operating data.</w:t>
            </w:r>
          </w:p>
        </w:tc>
      </w:tr>
      <w:tr>
        <w:tc>
          <w:tcPr>
            <w:tcW w:type="dxa" w:w="1800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Rerun</w:t>
            </w:r>
          </w:p>
        </w:tc>
        <w:tc>
          <w:tcPr>
            <w:tcW w:type="dxa" w:w="547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SE</w:t>
            </w:r>
          </w:p>
        </w:tc>
        <w:tc>
          <w:tcPr>
            <w:tcW w:type="dxa" w:w="605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2022</w:t>
            </w:r>
          </w:p>
        </w:tc>
        <w:tc>
          <w:tcPr>
            <w:tcW w:type="dxa" w:w="893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$20M</w:t>
            </w:r>
          </w:p>
        </w:tc>
        <w:tc>
          <w:tcPr>
            <w:tcW w:type="dxa" w:w="151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early-revenue (~$7.5M revenue 2025, third-party estimate via GetLatka, unverified)</w:t>
            </w:r>
          </w:p>
        </w:tc>
        <w:tc>
          <w:tcPr>
            <w:tcW w:type="dxa" w:w="223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Open-source visualization and a purpose-built database/cloud platform for Physical AI, managing multimodal robot data (video, 3D scenes, tensors) for robotics, drones and AVs.</w:t>
            </w:r>
          </w:p>
        </w:tc>
        <w:tc>
          <w:tcPr>
            <w:tcW w:type="dxa" w:w="223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Open-core: the Rerun SDKs and Viewer for multimodal robot data visualization are free (MIT/Apache 2.0), while monetization comes from a commercial, cloud-hosted database/data platform purpose-built for Physical AI (ingesting, storing, querying video/3D/tensor data), sold to robotics, drone, and AV teams. As of 2025 the commercial product was in development with select design partners; pricing is expected to be a subscription/usage-based cloud model but specifics are not publicly disclosed.</w:t>
            </w:r>
          </w:p>
        </w:tc>
        <w:tc>
          <w:tcPr>
            <w:tcW w:type="dxa" w:w="1800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Named paying customers for the commercial cloud are undisclosed (it was in private partner/development phase). The open-source tool is used/integrated by Meta, Google, Hugging Face, and Unitree, and adopted broadly across robotics and AV teams, but these are open-source users rather than confirmed paying accounts.</w:t>
            </w:r>
          </w:p>
        </w:tc>
        <w:tc>
          <w:tcPr>
            <w:tcW w:type="dxa" w:w="2059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Differentiated as a Physical-AI-native data stack: a single open-source visualizer/SDK plus a from-scratch database/cloud optimized for time-aligned multimodal robot data (video, 3D scenes, tensors), versus general experiment/MLOps tooling like Weights &amp; Biases and Foxglove. Closest competitor Foxglove targets robotics observability/visualization (ROS-centric); Rerun extends beyond visualization into a purpose-built storage/query database layer.</w:t>
            </w:r>
          </w:p>
        </w:tc>
      </w:tr>
      <w:tr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MOV.AI</w:t>
            </w:r>
          </w:p>
        </w:tc>
        <w:tc>
          <w:tcPr>
            <w:tcW w:type="dxa" w:w="547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IL</w:t>
            </w:r>
          </w:p>
        </w:tc>
        <w:tc>
          <w:tcPr>
            <w:tcW w:type="dxa" w:w="605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2016</w:t>
            </w:r>
          </w:p>
        </w:tc>
        <w:tc>
          <w:tcPr>
            <w:tcW w:type="dxa" w:w="893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$15M</w:t>
            </w:r>
          </w:p>
        </w:tc>
        <w:tc>
          <w:tcPr>
            <w:tcW w:type="dxa" w:w="151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early-revenue (~$5M annual revenue 2025, third-party estimate, unverified)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ROS-based Robotics Engine Platform that lets AMR manufacturers develop, deploy, navigate, and manage autonomous mobile robot fleets via one low-code, hardware-agnostic web stack.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Sells the ROS-based Robotics Engine Platform (a low-code visual IDE, navigation/perception stack, and fleet-management suite) to AMR manufacturers and automation integrators, monetized via subscription/per-robot software licensing fees plus support services. The platform lets OEMs build and deploy AMRs in days instead of months without building software from scratch.</w:t>
            </w:r>
          </w:p>
        </w:tc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Named customer/OEM Qisda (integrated the platform into the Qisda Robot Platform for logistics, health, and retail AMRs). Hardware/ecosystem partners include Advantech, Lanner Electronics, and Velodyne Lidar; investor Bowe Group (Böwe Systec) is also a strategic deployment partner. Broader customer base spans logistics and manufacturing in Western Europe, Singapore, and the US.</w:t>
            </w:r>
          </w:p>
        </w:tc>
        <w:tc>
          <w:tcPr>
            <w:tcW w:type="dxa" w:w="2059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Positions as the "Android for robotics" - a hardware-agnostic, ROS-based low-code platform spanning development (visual IDE, 3D physics/sensor simulation), autonomous navigation, and fleet management in one stack, versus navigation-only point solutions like BlueBotics ANT (now Zapata/BlueBotics) and broader robotics-OS players like ROS-based Freedom Robotics. Differentiation is the end-to-end "build-to-fleet" toolchain rather than navigation alone, though it competes on execution against well-capitalized AMR-software incumbents.</w:t>
            </w:r>
          </w:p>
        </w:tc>
      </w:tr>
      <w:tr>
        <w:tc>
          <w:tcPr>
            <w:tcW w:type="dxa" w:w="1800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InOrbit, Inc.</w:t>
            </w:r>
          </w:p>
        </w:tc>
        <w:tc>
          <w:tcPr>
            <w:tcW w:type="dxa" w:w="547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</w:t>
            </w:r>
          </w:p>
        </w:tc>
        <w:tc>
          <w:tcPr>
            <w:tcW w:type="dxa" w:w="605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2017</w:t>
            </w:r>
          </w:p>
        </w:tc>
        <w:tc>
          <w:tcPr>
            <w:tcW w:type="dxa" w:w="893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$13M</w:t>
            </w:r>
          </w:p>
        </w:tc>
        <w:tc>
          <w:tcPr>
            <w:tcW w:type="dxa" w:w="151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early-revenue (~$4.7M revenue, unverified third-party estimate per Growjo; raised ~$10M Series A in Sept 2025, ~$12.8-13.5M total funding)</w:t>
            </w:r>
          </w:p>
        </w:tc>
        <w:tc>
          <w:tcPr>
            <w:tcW w:type="dxa" w:w="223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Cloud RobOps platform ('DevOps for robotics') with agentic-AI Space Intelligence orchestrating heterogeneous multi-vendor robot fleets, humans, and enterprise systems across sites.</w:t>
            </w:r>
          </w:p>
        </w:tc>
        <w:tc>
          <w:tcPr>
            <w:tcW w:type="dxa" w:w="223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B2B SaaS subscription to its cloud RobOps platform, sold to robot manufacturers and enterprise fleet operators; usage-based pricing with a free starter tier escalating to a variable monthly fee keyed to the high-water-mark of daily-unique active robots, plus tiered subscriptions (Standard Edition base tier). It also released OpenRobOps (ORO) as an Apache-2.0 open-source fleet manager, with monetization via the hosted/commercial InOrbit platform layered on top.</w:t>
            </w:r>
          </w:p>
        </w:tc>
        <w:tc>
          <w:tcPr>
            <w:tcW w:type="dxa" w:w="1800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Named customers/partners include Relay Robotics, Bossa Nova Robotics, Brain Corp, plus reported relationships with Google, Qualcomm, and Sprint; InOrbit cites a dozen-plus robot manufacturers and "thousands of robots in production."</w:t>
            </w:r>
          </w:p>
        </w:tc>
        <w:tc>
          <w:tcPr>
            <w:tcW w:type="dxa" w:w="2059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Vs. Formant (data/teleoperation/fleet management) and Foxglove (robotics observability/data visualization), InOrbit differentiates on vendor-agnostic multi-fleet orchestration of heterogeneous robots plus humans, native support for interoperability standards (VDA 5050, MassRobotics AMR, Open-RMF), agentic-AI "Space Intelligence," and an open-source play (OpenRobOps/ORO under Apache 2.0) that neither core competitor matches.</w:t>
            </w:r>
          </w:p>
        </w:tc>
      </w:tr>
      <w:tr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Cyberwave</w:t>
            </w:r>
          </w:p>
        </w:tc>
        <w:tc>
          <w:tcPr>
            <w:tcW w:type="dxa" w:w="547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IT</w:t>
            </w:r>
          </w:p>
        </w:tc>
        <w:tc>
          <w:tcPr>
            <w:tcW w:type="dxa" w:w="605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2025</w:t>
            </w:r>
          </w:p>
        </w:tc>
        <w:tc>
          <w:tcPr>
            <w:tcW w:type="dxa" w:w="893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$8M</w:t>
            </w:r>
          </w:p>
        </w:tc>
        <w:tc>
          <w:tcPr>
            <w:tcW w:type="dxa" w:w="151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pre-revenue (early commercial pilots only; no revenue/ARR figure publicly disclosed. Raised ~€7M seed in Oct 2025 led by United Ventures, with The TechShop, Vento (Exor), Pi Campus; total funding reported ~$8.2M)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AI-Defined Robotics platform that packages trained models, dependencies and policies into lightweight edge runtimes, turning any robot or sensor into a programmable digital twin controllable via code.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SaaS subscription (monthly/annual) sold to enterprise customers for the Cyberwave AI-Defined Robotics platform, one API to connect, simulate (digital twins), and orchestrate fleets of robots/sensors, with edge runtimes packaging models, dependencies, and policies. Buyers are manufacturers/automation teams; the platform also runs a two-sided digital-twin marketplace where hardware vendors integrate devices once and developers access a plug-and-play library (~50 twins catalogued at launch).</w:t>
            </w:r>
          </w:p>
        </w:tc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Undisclosed. The company states it is running early commercial pilots with major European manufacturers in automotive, construction, and logistics (defect rework, logistics optimization, drone inspections, construction-site monitoring) but does not name them publicly.</w:t>
            </w:r>
          </w:p>
        </w:tc>
        <w:tc>
          <w:tcPr>
            <w:tcW w:type="dxa" w:w="2059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Positions as the "Hugging Face of robotics", a unified, vendor-agnostic API plus simulation/digital-twin marketplace abstracting heterogeneous robot stacks, versus lower-level open frameworks (ROS/ROS2) it integrates with rather than competes with, and versus NVIDIA Isaac/Omniprise simulation which lacks Cyberwave's two-sided plug-and-play twin marketplace and managed edge runtime packaging. Differentiation is on the integration/marketplace layer; defensibility is early-stage and execution-dependent.</w:t>
            </w:r>
          </w:p>
        </w:tc>
      </w:tr>
      <w:tr>
        <w:tc>
          <w:tcPr>
            <w:tcW w:type="dxa" w:w="1800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Freedom Robotics</w:t>
            </w:r>
          </w:p>
        </w:tc>
        <w:tc>
          <w:tcPr>
            <w:tcW w:type="dxa" w:w="547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</w:t>
            </w:r>
          </w:p>
        </w:tc>
        <w:tc>
          <w:tcPr>
            <w:tcW w:type="dxa" w:w="605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2018</w:t>
            </w:r>
          </w:p>
        </w:tc>
        <w:tc>
          <w:tcPr>
            <w:tcW w:type="dxa" w:w="893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$7M</w:t>
            </w:r>
          </w:p>
        </w:tc>
        <w:tc>
          <w:tcPr>
            <w:tcW w:type="dxa" w:w="151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early-revenue (no public revenue/ARR figure disclosed; raised ~$6.6M seed in 2019, ~$8-17M total per third-party trackers, unverified)</w:t>
            </w:r>
          </w:p>
        </w:tc>
        <w:tc>
          <w:tcPr>
            <w:tcW w:type="dxa" w:w="223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Cloud, platform-agnostic robotics management software for building, operating, monitoring, teleoperating, and scaling heterogeneous robot fleets without developing a full software stack in-house.</w:t>
            </w:r>
          </w:p>
        </w:tc>
        <w:tc>
          <w:tcPr>
            <w:tcW w:type="dxa" w:w="223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B2B SaaS: sells a cloud, platform-agnostic robot fleet-management platform (the Freedom Robotics control/monitoring/teleoperation software, installed via a one-line agent) to robotics companies on subscription/usage-based contracts; pricing is custom/enterprise (per-robot/fleet) rather than published tiers. Buyers are robotics OEMs and robot-operating teams who pay to monitor, operate, debug, and scale their fleets.</w:t>
            </w:r>
          </w:p>
        </w:tc>
        <w:tc>
          <w:tcPr>
            <w:tcW w:type="dxa" w:w="1800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Named paying customers are largely undisclosed; publicly the company describes serving robotics teams across agriculture, manufacturing, logistics, delivery, and restaurants, ranging from "the largest entertainment companies to sidewalk delivery startups and multibillion-dollar delivery companies" (specific named logos not publicly confirmed).</w:t>
            </w:r>
          </w:p>
        </w:tc>
        <w:tc>
          <w:tcPr>
            <w:tcW w:type="dxa" w:w="2059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Differentiates on being fully platform-agnostic with a one-line-of-code install and a real-time "single pane of glass" control tower spanning heterogeneous, multi-manufacturer fleets, versus closest competitors Formant and InOrbit (formerly Rocos), which offer similar cloud robot ops/observability platforms; Freedom competes mainly on developer ease-of-integration and breadth rather than a clear proprietary moat.</w:t>
            </w:r>
          </w:p>
        </w:tc>
      </w:tr>
      <w:tr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OLO Robotics</w:t>
            </w:r>
          </w:p>
        </w:tc>
        <w:tc>
          <w:tcPr>
            <w:tcW w:type="dxa" w:w="547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GB</w:t>
            </w:r>
          </w:p>
        </w:tc>
        <w:tc>
          <w:tcPr>
            <w:tcW w:type="dxa" w:w="605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2020</w:t>
            </w:r>
          </w:p>
        </w:tc>
        <w:tc>
          <w:tcPr>
            <w:tcW w:type="dxa" w:w="893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$5M</w:t>
            </w:r>
          </w:p>
        </w:tc>
        <w:tc>
          <w:tcPr>
            <w:tcW w:type="dxa" w:w="151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early-revenue (no public revenue/ARR figure disclosed; raised ~£4M / €4.7M / ~$5.3M seed Jan 2025 led by Northern Gritstone)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Browser-based accessibility layer over ROS 2 giving non-roboticist developers cloud simulation, AI-assisted coding, visualization, and sim-to-real deployment without in-house ROS2 expertise.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Seat-based SaaS subscription to the OLO browser-based ROS 2 platform: Free tier, Standard (£23/seat/mo or £275/yr), Premium (£69/seat/mo or £825/yr), and custom Enterprise, plus usage-based add-ons (cloud simulator £2/hr, AI tokens, storage £2.50/GB). Secondary channel is OEM/hardware bundling, where robot manufacturers and distributors offer OLO as an optional bundle with their hardware (e.g., Fiction Lab's LEO Rover ordered with OLO).</w:t>
            </w:r>
          </w:p>
        </w:tc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Commercial launch (May 2026) named three manufacturing/distribution partners: Deep Robotics (China), inMotion Robotic (Germany), and Fiction Lab (Poland). Website also lists Sarcomere Dynamics and Production Park; University of Nottingham cited as an academic user. Distinction between paying vs. piloting/distribution partners is not publicly broken out.</w:t>
            </w:r>
          </w:p>
        </w:tc>
        <w:tc>
          <w:tcPr>
            <w:tcW w:type="dxa" w:w="2059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Positions as a fully browser-based, zero-install accessibility layer over ROS 2 (cloud sim, AI-assisted coding, JS/Python SDKs, sim-to-real) aimed at non-roboticist developers, versus The Construct (cloud ROS development/learning environment) and Foxglove (ROS visualization/observability) which each cover only part of the stack; OLO bundles dev environment, simulation, visualization, and deployment plus an OEM hardware-bundling go-to-market. Differentiation is more on integrated breadth and ease-of-onboarding than a defensible technical moat.</w:t>
            </w:r>
          </w:p>
        </w:tc>
      </w:tr>
      <w:tr>
        <w:tc>
          <w:tcPr>
            <w:tcW w:type="dxa" w:w="1800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3Laws Robotics</w:t>
            </w:r>
          </w:p>
        </w:tc>
        <w:tc>
          <w:tcPr>
            <w:tcW w:type="dxa" w:w="547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</w:t>
            </w:r>
          </w:p>
        </w:tc>
        <w:tc>
          <w:tcPr>
            <w:tcW w:type="dxa" w:w="605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2022</w:t>
            </w:r>
          </w:p>
        </w:tc>
        <w:tc>
          <w:tcPr>
            <w:tcW w:type="dxa" w:w="893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$4M</w:t>
            </w:r>
          </w:p>
        </w:tc>
        <w:tc>
          <w:tcPr>
            <w:tcW w:type="dxa" w:w="151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early-revenue (no public revenue/ARR figure disclosed; $4.1M seed raised 2024)</w:t>
            </w:r>
          </w:p>
        </w:tc>
        <w:tc>
          <w:tcPr>
            <w:tcW w:type="dxa" w:w="223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Plug-and-play software safety layer ('Supervisor') sitting between a robot's autonomy stack and actuators, using control-barrier-function guardrails to modulate commands so only safe actions reach hardware.</w:t>
            </w:r>
          </w:p>
        </w:tc>
        <w:tc>
          <w:tcPr>
            <w:tcW w:type="dxa" w:w="223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Sells annual software licenses for its "Supervisor" / "Supervisor Pro" safety layer to robot OEMs and integrators, who embed the control-barrier-function guardrail between their autonomy stack and actuators. Two tiers: self-serve Supervisor for ROS 2/Nav2 AMR platforms (e.g., resold as a 1-year license via Rover Robotics) and Supervisor Pro for custom/complex platforms requiring per-integration engineering engagements.</w:t>
            </w:r>
          </w:p>
        </w:tc>
        <w:tc>
          <w:tcPr>
            <w:tcW w:type="dxa" w:w="1800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Friendly Robots Company (autonomous industrial vacuums) uses its collision-avoidance software; Rover Robotics resells a 1-year Supervisor license; deployed on the USAF VISTA F-16 testbed for geofencing/load-constraint enforcement. Strategic backer Amazon (Industrial Innovation Fund) has signaled interest in deploying it across Amazon automation, though a paid Amazon contract is not confirmed.</w:t>
            </w:r>
          </w:p>
        </w:tc>
        <w:tc>
          <w:tcPr>
            <w:tcW w:type="dxa" w:w="2059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Differentiates via control-barrier-function (CBF) math (rooted in co-founder/Caltech Prof. Aaron Ames' research) delivered as a vendor-agnostic, plug-and-play modulation layer that requires no changes to the existing autonomy stack. Versus functional-safety/middleware peers such as Apex.AI (safety-certified ROS-based OS/SDK) and Foretellix (scenario-based verification), 3Laws focuses on real-time runtime guardrails that actively override unsafe commands rather than certifying or testing the stack.</w:t>
            </w:r>
          </w:p>
        </w:tc>
      </w:tr>
      <w:tr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robolaunch</w:t>
            </w:r>
          </w:p>
        </w:tc>
        <w:tc>
          <w:tcPr>
            <w:tcW w:type="dxa" w:w="547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TR</w:t>
            </w:r>
          </w:p>
        </w:tc>
        <w:tc>
          <w:tcPr>
            <w:tcW w:type="dxa" w:w="605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2020</w:t>
            </w:r>
          </w:p>
        </w:tc>
        <w:tc>
          <w:tcPr>
            <w:tcW w:type="dxa" w:w="893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$2M</w:t>
            </w:r>
          </w:p>
        </w:tc>
        <w:tc>
          <w:tcPr>
            <w:tcW w:type="dxa" w:w="151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early-revenue (no public revenue/ARR figure disclosed; total funding ~$1.5M from Türkiye Development Fund and Simya, unverified)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Kubernetes-native open-source cloud robotics platform to develop, simulate, deploy, and orchestrate ROS/ROS2 robots and GPU-accelerated AI across cloud, edge, and real hardware.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B2B sales of "robolaunch Vision AI" / robolaunch VIA, inline surface-defect inspection systems (Press, Body, Paint, Final Assembly) layered on robolaunch's Kubernetes-native AI Infrastructure, to automotive/industrial manufacturers via custom-quote deployment and managed-service contracts (no public list pricing). The underlying cloud robotics platform and Kubernetes Robot Operator remain open-source, serving as a funnel/foundation rather than the primary revenue line.</w:t>
            </w:r>
          </w:p>
        </w:tc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Undisclosed by name; the company cites "20+ Vision AI in Production" and live automotive surface-inspection deployments (Press/Body/Paint/Final Assembly) but its case-studies page lists no named customers ("coming soon"). No specific named paying org is publicly findable.</w:t>
            </w:r>
          </w:p>
        </w:tc>
        <w:tc>
          <w:tcPr>
            <w:tcW w:type="dxa" w:w="2059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vs Cogniac (~$8.8M ARR, $40.7M raised) and Landing AI, robolaunch differentiates by coupling vision inspection with a Kubernetes-native, open-source cloud-robotics stack (Robot Operator, multicluster GPU orchestration, ROS/ROS2) spanning cloud and edge, rather than offering inspection as a standalone SaaS, and by a regional/automotive-OEM focus out of Turkey. Otherwise it is a small, late-entrant challenger competing largely on execution and capital against better-funded vision-AI incumbents.</w:t>
            </w:r>
          </w:p>
        </w:tc>
      </w:tr>
      <w:tr>
        <w:tc>
          <w:tcPr>
            <w:tcW w:type="dxa" w:w="1800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Mbodi AI</w:t>
            </w:r>
          </w:p>
        </w:tc>
        <w:tc>
          <w:tcPr>
            <w:tcW w:type="dxa" w:w="547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</w:t>
            </w:r>
          </w:p>
        </w:tc>
        <w:tc>
          <w:tcPr>
            <w:tcW w:type="dxa" w:w="605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2024</w:t>
            </w:r>
          </w:p>
        </w:tc>
        <w:tc>
          <w:tcPr>
            <w:tcW w:type="dxa" w:w="893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$1M</w:t>
            </w:r>
          </w:p>
        </w:tc>
        <w:tc>
          <w:tcPr>
            <w:tcW w:type="dxa" w:w="151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early-revenue (no public revenue/ARR figure disclosed; paid PoC plus $30K ABB challenge grant and ~$500K+ seed funding are the only public figures)</w:t>
            </w:r>
          </w:p>
        </w:tc>
        <w:tc>
          <w:tcPr>
            <w:tcW w:type="dxa" w:w="223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Cloud-to-edge embodied-AI runtime that lets anyone teach industrial robots new skills by talking or demoing, using generative AI, agent orchestration and symbolic reasoning to turn instructions into safe robot actions.</w:t>
            </w:r>
          </w:p>
        </w:tc>
        <w:tc>
          <w:tcPr>
            <w:tcW w:type="dxa" w:w="223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B2B sale of an agent-based embodied-AI runtime/software layer that runs on existing industrial robots, sold to manufacturers, system integrators, and robot makers (e.g., via a joint commercialization agreement with ABB Robotics). Monetizes through paid proof-of-concept engagements transitioning into production deployments; specific per-seat/per-robot or subscription pricing is not publicly disclosed.</w:t>
            </w:r>
          </w:p>
        </w:tc>
        <w:tc>
          <w:tcPr>
            <w:tcW w:type="dxa" w:w="1800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ABB Robotics (joint commercialization partner / 2024 ABB AI Startup Challenge winner) and an undisclosed Fortune 100 consumer goods company running a paid proof-of-concept for high-mix packaging; also cites Fortune 100 partners across manufacturing, logistics, and labs.</w:t>
            </w:r>
          </w:p>
        </w:tc>
        <w:tc>
          <w:tcPr>
            <w:tcW w:type="dxa" w:w="2059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Unlike foundation-model players Skild AI (single universal "Skild Brain" model) and Physical Intelligence (research VLA models), Mbodi offers a dynamic agent-orchestration runtime combining generative AI, multiple models, and symbolic reasoning that learns in production from natural language/demos and supports human correction, running on existing multi-brand robots rather than requiring new hardware or a single end-to-end model.</w:t>
            </w:r>
          </w:p>
        </w:tc>
      </w:tr>
      <w:tr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Ember Robotics</w:t>
            </w:r>
          </w:p>
        </w:tc>
        <w:tc>
          <w:tcPr>
            <w:tcW w:type="dxa" w:w="547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</w:t>
            </w:r>
          </w:p>
        </w:tc>
        <w:tc>
          <w:tcPr>
            <w:tcW w:type="dxa" w:w="605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2024</w:t>
            </w:r>
          </w:p>
        </w:tc>
        <w:tc>
          <w:tcPr>
            <w:tcW w:type="dxa" w:w="893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$0M</w:t>
            </w:r>
          </w:p>
        </w:tc>
        <w:tc>
          <w:tcPr>
            <w:tcW w:type="dxa" w:w="151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pre-revenue (no public revenue/ARR figure; seed-stage, ~$500K raised in a 2024 YC seed round)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Edge-first observability and diagnostics platform ("Datadog for robots") that monitors robot camera/sensor health, calibration, and telemetry to catch failures and reduce downtime for deployed robots.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B2B SaaS: sells an edge-first robot observability and diagnostics platform ("Datadog for robots") to robotics/hardware engineering teams, deployed via standard Linux packages with ROS/eCAL integration. Likely per-robot/fleet subscription with free trial and demo-led sales; specific pricing tiers not publicly disclosed.</w:t>
            </w:r>
          </w:p>
        </w:tc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Undisclosed - no paying customers or pilots named publicly. Targets robotics, drone, autonomy, aerospace/defense, automotive/ADAS, and industrial teams; backed by Y Combinator and member of NVIDIA Inception.</w:t>
            </w:r>
          </w:p>
        </w:tc>
        <w:tc>
          <w:tcPr>
            <w:tcW w:type="dxa" w:w="2059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Edge-first architecture with smart caching, prioritized sync, and offline-first data capture so diagnostics persist when the network is down, plus deep multi-camera/sensor health and calibration monitoring. Differentiates vs general robot fleet-ops platforms like Formant and Foxglove, which lean more on cloud-based teleop/visualization, by focusing on edge anomaly detection and camera/sensor reliability; still early-stage and unproven at scale.</w:t>
            </w:r>
          </w:p>
        </w:tc>
      </w:tr>
      <w:tr>
        <w:tc>
          <w:tcPr>
            <w:tcW w:type="dxa" w:w="1800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Polymath Robotics</w:t>
            </w:r>
          </w:p>
        </w:tc>
        <w:tc>
          <w:tcPr>
            <w:tcW w:type="dxa" w:w="547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</w:t>
            </w:r>
          </w:p>
        </w:tc>
        <w:tc>
          <w:tcPr>
            <w:tcW w:type="dxa" w:w="605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2021</w:t>
            </w:r>
          </w:p>
        </w:tc>
        <w:tc>
          <w:tcPr>
            <w:tcW w:type="dxa" w:w="893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$0M</w:t>
            </w:r>
          </w:p>
        </w:tc>
        <w:tc>
          <w:tcPr>
            <w:tcW w:type="dxa" w:w="151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early-revenue (~$1.7M ARR as of mid-2024, per Latka; unverified)</w:t>
            </w:r>
          </w:p>
        </w:tc>
        <w:tc>
          <w:tcPr>
            <w:tcW w:type="dxa" w:w="223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Plug-and-play autonomy software stack (AI/ML, controls, ROS, safety) letting industrial off-highway vehicles drive themselves, commandable via a simple REST API.</w:t>
            </w:r>
          </w:p>
        </w:tc>
        <w:tc>
          <w:tcPr>
            <w:tcW w:type="dxa" w:w="223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Sells a hardware- and OEM-agnostic autonomy software stack ("Caladan" simulation tool plus ~40 Autonomous Navigation Modules covering path planning, hazard/human detection, controls and safety) that customers retrofit onto or integrate into industrial off-highway vehicles; revenue is recurring software/licensing (SaaS-style subscription plus integration), sold to OEMs and fleet operators rather than per-vehicle hardware. Specific list pricing is not publicly disclosed.</w:t>
            </w:r>
          </w:p>
        </w:tc>
        <w:tc>
          <w:tcPr>
            <w:tcW w:type="dxa" w:w="1800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Specific named customers are largely undisclosed; the company describes its buyers as top off-highway OEMs, "billion-dollar" fleet operators, and U.S. government/defense programs across agriculture, mining, construction and delivery robotics. No individually named paying logo is publicly confirmed.</w:t>
            </w:r>
          </w:p>
        </w:tc>
        <w:tc>
          <w:tcPr>
            <w:tcW w:type="dxa" w:w="2059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Differentiates as a vehicle- and hardware-agnostic, plug-and-play "general autonomy" middleware (ROS-based, simulation-first via Caladan) that lets OEMs add autonomy without building an internal AV team, versus vertically integrated off-highway autonomy rivals like Forterra (formerly Robotic Research) and Outrider, which deliver full application-specific autonomous systems rather than a portable middleware stack.</w:t>
            </w:r>
          </w:p>
        </w:tc>
      </w:tr>
      <w:tr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Saphira AI</w:t>
            </w:r>
          </w:p>
        </w:tc>
        <w:tc>
          <w:tcPr>
            <w:tcW w:type="dxa" w:w="547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</w:t>
            </w:r>
          </w:p>
        </w:tc>
        <w:tc>
          <w:tcPr>
            <w:tcW w:type="dxa" w:w="605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2024</w:t>
            </w:r>
          </w:p>
        </w:tc>
        <w:tc>
          <w:tcPr>
            <w:tcW w:type="dxa" w:w="893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$0M</w:t>
            </w:r>
          </w:p>
        </w:tc>
        <w:tc>
          <w:tcPr>
            <w:tcW w:type="dxa" w:w="151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early-revenue (no public ARR/revenue figure found; YC S24, raised ~$500K pre-seed Sept 2024 led by Y Combinator)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AI software that helps hardware makers (robots, heavy machinery) achieve and maintain functional-safety certification by auto-generating HARAs, FMEAs, safety cases, and compliance reports.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B2B SaaS subscription: Saphira's compliance platform auto-generates traceable safety/cybersecurity artifacts (HARA, TARA, FMEA) and standards-aligned reports (ISO 26262, ISO 10218, IEC 61508, ISO/SAE 21434) for hardware engineering teams, sold as seat/team-based subscriptions to robotics, heavy-machinery, automotive, and aerospace makers needing certification from notified bodies (TUV, UL, CE). Specific pricing tiers are not publicly disclosed.</w:t>
            </w:r>
          </w:p>
        </w:tc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Named users include 1X Technologies (humanoid robot compliance) and RobCo (achieved ISO 10218-1 certification using Saphira); broader customer base spans industrial robotics startups, hardware/retail UL-certification needs, and aerospace/defense firms.</w:t>
            </w:r>
          </w:p>
        </w:tc>
        <w:tc>
          <w:tcPr>
            <w:tcW w:type="dxa" w:w="2059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Positions as "Vanta for hardware," differentiating from horizontal SaaS-compliance tools (Vanta, Drata) by targeting physical-product functional-safety standards rather than SOC 2/security, and using AI to auto-generate engineering safety analyses (HARA/FMEA/TARA) from design docs. Closest direct competitor is RoboCred (AI-native hardware compliance services); Saphira differentiates via a self-serve software platform with requirements-to-test traceability versus a services model.</w:t>
            </w:r>
          </w:p>
        </w:tc>
      </w:tr>
      <w:tr>
        <w:tc>
          <w:tcPr>
            <w:tcW w:type="dxa" w:w="1800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Meili Robots</w:t>
            </w:r>
          </w:p>
        </w:tc>
        <w:tc>
          <w:tcPr>
            <w:tcW w:type="dxa" w:w="547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DK</w:t>
            </w:r>
          </w:p>
        </w:tc>
        <w:tc>
          <w:tcPr>
            <w:tcW w:type="dxa" w:w="605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2019</w:t>
            </w:r>
          </w:p>
        </w:tc>
        <w:tc>
          <w:tcPr>
            <w:tcW w:type="dxa" w:w="893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$0M</w:t>
            </w:r>
          </w:p>
        </w:tc>
        <w:tc>
          <w:tcPr>
            <w:tcW w:type="dxa" w:w="151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early-revenue (~$1.6M revenue, unverified third-party estimate per Growjo)</w:t>
            </w:r>
          </w:p>
        </w:tc>
        <w:tc>
          <w:tcPr>
            <w:tcW w:type="dxa" w:w="223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Vendor-agnostic fleet management system (Meili FMS) that unifies mixed-brand autonomous mobile robot fleets onto one platform for traffic management, task allocation, and interoperability.</w:t>
            </w:r>
          </w:p>
        </w:tc>
        <w:tc>
          <w:tcPr>
            <w:tcW w:type="dxa" w:w="223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Licenses its vendor-agnostic Meili FMS fleet management software for mixed-brand AMR fleets, sold to system integrators, WMS providers, and large-scale automation customers via subscription/SaaS deployment plus a newer "Code License" tier that grants full source-code access for customers to run FMS on their own infrastructure. Pricing is positioned below OEM fleet managers; exact contract figures are not publicly disclosed.</w:t>
            </w:r>
          </w:p>
        </w:tc>
        <w:tc>
          <w:tcPr>
            <w:tcW w:type="dxa" w:w="1800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Targets system integrators, WMS/automation providers, and large-scale automation OEMs needing a fleet layer; specific named paying customers are undisclosed in public sources. Listed/partnered via Mobile Industrial Robots (MiR) and automation marketplaces (automate.org).</w:t>
            </w:r>
          </w:p>
        </w:tc>
        <w:tc>
          <w:tcPr>
            <w:tcW w:type="dxa" w:w="2059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Differentiates on true brand-agnostic interoperability across heterogeneous AMR fleets via ROS1/ROS2 and VDA 5050 protocol support plus unified traffic/route management, versus OEM-locked fleet managers like MiR Fleet and OTTO Fleet Manager; against horizontal RobOps platforms (InOrbit, Formant) it focuses specifically on multi-brand traffic coordination/orchestration rather than general observability.</w:t>
            </w:r>
          </w:p>
        </w:tc>
      </w:tr>
      <w:tr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Labellerr</w:t>
            </w:r>
          </w:p>
        </w:tc>
        <w:tc>
          <w:tcPr>
            <w:tcW w:type="dxa" w:w="547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</w:t>
            </w:r>
          </w:p>
        </w:tc>
        <w:tc>
          <w:tcPr>
            <w:tcW w:type="dxa" w:w="605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2019</w:t>
            </w:r>
          </w:p>
        </w:tc>
        <w:tc>
          <w:tcPr>
            <w:tcW w:type="dxa" w:w="893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$0M</w:t>
            </w:r>
          </w:p>
        </w:tc>
        <w:tc>
          <w:tcPr>
            <w:tcW w:type="dxa" w:w="151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early-revenue (~$1.4M revenue, Oct 2024 per getLatka; India legal entity Tensor Matics Pvt Ltd reported Rs 1.2Cr / ~$143K for FY ending Mar 2025, figures unverified). Raised only ~$225K total seed funding.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Full-stack data annotation and data-ops platform that turns raw teleoperation sessions and egocentric multi-sensor video into ML-ready training data via AI auto-labeling and a smart feedback loop.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Subscription SaaS for its cloud data-annotation/data-ops platform sold to ML and computer-vision teams: a free Researcher tier, a self-serve Pro plan at ~$499/month (20% annual discount, no minimum commitment), and custom enterprise contracts; it also resells managed human annotation services starting at ~$6/hour from a pool of 1,000+ expert annotators. Buyers are ML/AI engineering teams across healthcare, automotive, energy, security, retail, manufacturing and agriculture.</w:t>
            </w:r>
          </w:p>
        </w:tc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Spare-It (waste-segmentation CV, cited at 99% accuracy in 24 hours) is a named case-study customer; getLatka reports ~992 customers as of 2024. Specific enterprise account names are otherwise undisclosed.</w:t>
            </w:r>
          </w:p>
        </w:tc>
        <w:tc>
          <w:tcPr>
            <w:tcW w:type="dxa" w:w="2059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Competes against Encord, Labelbox and Scale AI in the same CV data-labeling layer; differentiates on affordability and ML-assisted auto-annotation (claims users need to manually label only 10-20% of data, with the rest auto-labeled), targeting small-to-mid projects where Scale AI/Encord skew enterprise. Differentiation is real but modest; largely competing on price, automation UX, and managed-annotation cost rather than a defensible technical moat.</w:t>
            </w:r>
          </w:p>
        </w:tc>
      </w:tr>
    </w:tbl>
    <w:p/>
    <w:p>
      <w:pPr>
        <w:pStyle w:val="Heading3"/>
      </w:pPr>
      <w:r>
        <w:rPr>
          <w:rFonts w:ascii="Georgia" w:hAnsi="Georgia"/>
        </w:rPr>
        <w:t>Early-stage / undisclosed funding (6)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6"/>
        <w:gridCol w:w="1536"/>
        <w:gridCol w:w="1536"/>
        <w:gridCol w:w="1536"/>
        <w:gridCol w:w="1536"/>
        <w:gridCol w:w="1536"/>
        <w:gridCol w:w="1536"/>
        <w:gridCol w:w="1536"/>
        <w:gridCol w:w="1536"/>
      </w:tblGrid>
      <w:tr>
        <w:trPr>
          <w:tblHeader w:val="true"/>
        </w:trPr>
        <w:tc>
          <w:tcPr>
            <w:tcW w:type="dxa" w:w="1800"/>
            <w:shd w:val="clear" w:fill="1F3864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Company</w:t>
            </w:r>
          </w:p>
        </w:tc>
        <w:tc>
          <w:tcPr>
            <w:tcW w:type="dxa" w:w="547"/>
            <w:shd w:val="clear" w:fill="1F3864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HQ</w:t>
            </w:r>
          </w:p>
        </w:tc>
        <w:tc>
          <w:tcPr>
            <w:tcW w:type="dxa" w:w="605"/>
            <w:shd w:val="clear" w:fill="1F3864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Fnd</w:t>
            </w:r>
          </w:p>
        </w:tc>
        <w:tc>
          <w:tcPr>
            <w:tcW w:type="dxa" w:w="893"/>
            <w:shd w:val="clear" w:fill="1F3864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Funding</w:t>
            </w:r>
          </w:p>
        </w:tc>
        <w:tc>
          <w:tcPr>
            <w:tcW w:type="dxa" w:w="1512"/>
            <w:shd w:val="clear" w:fill="1F3864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Revenue status</w:t>
            </w:r>
          </w:p>
        </w:tc>
        <w:tc>
          <w:tcPr>
            <w:tcW w:type="dxa" w:w="2232"/>
            <w:shd w:val="clear" w:fill="1F3864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What they do</w:t>
            </w:r>
          </w:p>
        </w:tc>
        <w:tc>
          <w:tcPr>
            <w:tcW w:type="dxa" w:w="2232"/>
            <w:shd w:val="clear" w:fill="1F3864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Business model</w:t>
            </w:r>
          </w:p>
        </w:tc>
        <w:tc>
          <w:tcPr>
            <w:tcW w:type="dxa" w:w="1800"/>
            <w:shd w:val="clear" w:fill="1F3864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Customers</w:t>
            </w:r>
          </w:p>
        </w:tc>
        <w:tc>
          <w:tcPr>
            <w:tcW w:type="dxa" w:w="2059"/>
            <w:shd w:val="clear" w:fill="1F3864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Technical differentiation</w:t>
            </w:r>
          </w:p>
        </w:tc>
      </w:tr>
      <w:tr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dora-rs</w:t>
            </w:r>
          </w:p>
        </w:tc>
        <w:tc>
          <w:tcPr>
            <w:tcW w:type="dxa" w:w="547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FR</w:t>
            </w:r>
          </w:p>
        </w:tc>
        <w:tc>
          <w:tcPr>
            <w:tcW w:type="dxa" w:w="605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2022</w:t>
            </w:r>
          </w:p>
        </w:tc>
        <w:tc>
          <w:tcPr>
            <w:tcW w:type="dxa" w:w="893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n/d</w:t>
            </w:r>
          </w:p>
        </w:tc>
        <w:tc>
          <w:tcPr>
            <w:tcW w:type="dxa" w:w="151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N/A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Open-source Rust middleware for AI robotics: low-latency, distributed dataflow pipelines (directed graphs) using Apache Arrow zero-copy shared memory, ~10-17x faster than ROS2.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N/A (research/open-source). dora-rs is a community-driven open-source project (Apache-2.0 licensed Rust robotics middleware) co-founded by Xavier Tao and Philipp Oppermann. It is sustained through open-source ecosystem support rather than commercial sales: GOSIM (Global Open-Source Innovation Meetup) Foundation backing/promotion, Google Summer of Code participation (2025, 2026), and contributor/community contributions. No commercial product, paid tier, or support contract is publicly disclosed.</w:t>
            </w:r>
          </w:p>
        </w:tc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undisclosed. No named paying or piloting organizations are publicly listed in the README or project site; adoption is via the open-source developer/robotics community (Discord, GitHub Discussions, GOSIM robotics hackathons).</w:t>
            </w:r>
          </w:p>
        </w:tc>
        <w:tc>
          <w:tcPr>
            <w:tcW w:type="dxa" w:w="2059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vs ROS2 (the dominant robotics middleware) and Zenoh/eCAL: dora-rs is a 100% Rust dataflow framework using Apache Arrow zero-copy shared memory and YAML-defined directed-graph pipelines, claiming ~10-17x lower latency than ROS2 Python with native (non-wrapper) Rust/Python/C/C++ node APIs and no IDL/code-generation step. Differentiation is the AI-robotics-oriented zero-copy dataflow design and native multi-language ergonomics versus ROS2's heavier DDS-based stack.</w:t>
            </w:r>
          </w:p>
        </w:tc>
      </w:tr>
      <w:tr>
        <w:tc>
          <w:tcPr>
            <w:tcW w:type="dxa" w:w="1800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Ferronyx</w:t>
            </w:r>
          </w:p>
        </w:tc>
        <w:tc>
          <w:tcPr>
            <w:tcW w:type="dxa" w:w="547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IN</w:t>
            </w:r>
          </w:p>
        </w:tc>
        <w:tc>
          <w:tcPr>
            <w:tcW w:type="dxa" w:w="605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unkn</w:t>
            </w:r>
          </w:p>
        </w:tc>
        <w:tc>
          <w:tcPr>
            <w:tcW w:type="dxa" w:w="893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n/d</w:t>
            </w:r>
          </w:p>
        </w:tc>
        <w:tc>
          <w:tcPr>
            <w:tcW w:type="dxa" w:w="151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pre-revenue (no public revenue or ARR figure findable; stealth-stage, no disclosed funding round)</w:t>
            </w:r>
          </w:p>
        </w:tc>
        <w:tc>
          <w:tcPr>
            <w:tcW w:type="dxa" w:w="223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ROS2 observability platform giving real-time fleet monitoring with AI-assisted root-cause analysis to remotely monitor, debug and fix robot fleets, cutting MTTR from hours to minutes.</w:t>
            </w:r>
          </w:p>
        </w:tc>
        <w:tc>
          <w:tcPr>
            <w:tcW w:type="dxa" w:w="223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Intended/likely B2B SaaS: a ROS2 observability and fleet-monitoring platform sold to robotics fleet operators (AMR/service-robot deployers), with AI-assisted root-cause analysis pitched on reducing robot MTTR from hours to minutes; monetization presumably via per-robot/per-fleet subscription. Specific product packaging, buyer contracts, and pricing are not publicly disclosed (stealth stage).</w:t>
            </w:r>
          </w:p>
        </w:tc>
        <w:tc>
          <w:tcPr>
            <w:tcW w:type="dxa" w:w="1800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Undisclosed. No named paying customers or pilots are public; the company is in stealth and only surfaces a marketing site and the founder's (Haarvish Chevula) personal page.</w:t>
            </w:r>
          </w:p>
        </w:tc>
        <w:tc>
          <w:tcPr>
            <w:tcW w:type="dxa" w:w="2059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Positions on AI-assisted root-cause analysis and remote debug/fix of ROS2 fleets ("runtime intelligence"), versus visualization/data-platform incumbents Foxglove (developer-focused ROS data visualization/observability) and Formant (fleet management, teleoperation, device monitoring). Differentiation claim is the automated AI diagnosis-to-fix loop reducing MTTR, but at stealth stage this is unproven; against well-funded Foxglove/Formant it is largely undifferentiated - competing on execution.</w:t>
            </w:r>
          </w:p>
        </w:tc>
      </w:tr>
      <w:tr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Intrinsic</w:t>
            </w:r>
          </w:p>
        </w:tc>
        <w:tc>
          <w:tcPr>
            <w:tcW w:type="dxa" w:w="547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</w:t>
            </w:r>
          </w:p>
        </w:tc>
        <w:tc>
          <w:tcPr>
            <w:tcW w:type="dxa" w:w="605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2021</w:t>
            </w:r>
          </w:p>
        </w:tc>
        <w:tc>
          <w:tcPr>
            <w:tcW w:type="dxa" w:w="893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n/d</w:t>
            </w:r>
          </w:p>
        </w:tc>
        <w:tc>
          <w:tcPr>
            <w:tcW w:type="dxa" w:w="151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undisclosed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AI-native software stack (Flowstate) letting industrial robots be programmed via web-based modular 'skills' for perception, motion planning, and sensor-based control without thousands of lines of code.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Sells/licenses its Flowstate web-based robotics development platform plus AI vision/intelligence models to industrial manufacturers and system integrators, who build and deploy robot applications using modular "skills"; pricing/contract terms are not publicly disclosed. As an Alphabet "Other Bet" (now folded into Google as of Feb 2026), it operated as a strategic R&amp;D/platform investment rather than a standalone P&amp;L, also monetizing via partnerships and joint ventures (e.g., Foxconn).</w:t>
            </w:r>
          </w:p>
        </w:tc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Named: Foxconn (Oct 2025 joint venture on general-purpose factory robots); integrators/manufacturers Newston Automated Solutions, Burkert Fluid Control Systems, and MartinSystems (first solutions shown at Automatica 2025); customer base described as ranging from small manufacturers to global firms. Partners include NVIDIA (Isaac/Omniverse). Pricing-level customer terms undisclosed.</w:t>
            </w:r>
          </w:p>
        </w:tc>
        <w:tc>
          <w:tcPr>
            <w:tcW w:type="dxa" w:w="2059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Differentiates via Flowstate, an AI-native, web-based, hardware-agnostic environment that abstracts robot programming into reusable perception/motion-planning "skills" with built-in simulation, now backed by Google Gemini/DeepMind models and Cloud. Vs Siemens (Tecnomatix/TIA Portal) and Rockwell Automation/RTOS-based stacks, which are vendor-locked and PLC/CAD-centric, Intrinsic targets developer accessibility and cross-vendor AI perception/planning; vs Universal Robots' Polyscope, it is hardware-neutral rather than tied to one robot arm.</w:t>
            </w:r>
          </w:p>
        </w:tc>
      </w:tr>
      <w:tr>
        <w:tc>
          <w:tcPr>
            <w:tcW w:type="dxa" w:w="1800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Robot Ops</w:t>
            </w:r>
          </w:p>
        </w:tc>
        <w:tc>
          <w:tcPr>
            <w:tcW w:type="dxa" w:w="547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US</w:t>
            </w:r>
          </w:p>
        </w:tc>
        <w:tc>
          <w:tcPr>
            <w:tcW w:type="dxa" w:w="605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unkn</w:t>
            </w:r>
          </w:p>
        </w:tc>
        <w:tc>
          <w:tcPr>
            <w:tcW w:type="dxa" w:w="893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n/d</w:t>
            </w:r>
          </w:p>
        </w:tc>
        <w:tc>
          <w:tcPr>
            <w:tcW w:type="dxa" w:w="151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early-revenue (no public revenue or ARR figure disclosed)</w:t>
            </w:r>
          </w:p>
        </w:tc>
        <w:tc>
          <w:tcPr>
            <w:tcW w:type="dxa" w:w="223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Real-time observability for production ROS2 robot fleets; an agent streams telemetry into an index queried via ROSQL plus an AI debugging assistant that root-causes failures.</w:t>
            </w:r>
          </w:p>
        </w:tc>
        <w:tc>
          <w:tcPr>
            <w:tcW w:type="dxa" w:w="223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B2B SaaS sold per-robot/month for the TraceHouse observability platform, bought by robotics/ROS2 engineering teams operating production fleets; tiers are Starter, Professional, and Enterprise with included storage and data-retention windows (7/14/30 days), a 14-day free trial, and 15-20% discounts for 1-3 year commitments. Enterprise adds SSO, white-labeling, SLAs, and custom contracts negotiated via sales with invoicing.</w:t>
            </w:r>
          </w:p>
        </w:tc>
        <w:tc>
          <w:tcPr>
            <w:tcW w:type="dxa" w:w="1800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Undisclosed. The site shows only generic deployment archetypes (warehouse AMR fleet of 100+ robots, autonomous delivery, manufacturing robotic arms), with no named paying or piloting organizations publicly findable.</w:t>
            </w:r>
          </w:p>
        </w:tc>
        <w:tc>
          <w:tcPr>
            <w:tcW w:type="dxa" w:w="2059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Differentiates from Foxglove and Roboto.ai (the closest ROS2 data/observability platforms) by being OpenTelemetry-native distributed tracing plus a purpose-built SQL-like query language (ROSQL) with first-class ROS2 semantics: nodes, actions, topics, named joints, URDF/XACRO-aware component naming, ParentSpanId message causality, and auto unit conversion. Versus Foxglove/Roboto's emphasis on multimodal log visualization and dataset curation, Robot Ops centers on live queryable telemetry plus a telemetry-grounded AI debugging assistant that drafts ROSQL and traces root cause.</w:t>
            </w:r>
          </w:p>
        </w:tc>
      </w:tr>
      <w:tr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Robotair</w:t>
            </w:r>
          </w:p>
        </w:tc>
        <w:tc>
          <w:tcPr>
            <w:tcW w:type="dxa" w:w="547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</w:t>
            </w:r>
          </w:p>
        </w:tc>
        <w:tc>
          <w:tcPr>
            <w:tcW w:type="dxa" w:w="605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2023</w:t>
            </w:r>
          </w:p>
        </w:tc>
        <w:tc>
          <w:tcPr>
            <w:tcW w:type="dxa" w:w="893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n/d</w:t>
            </w:r>
          </w:p>
        </w:tc>
        <w:tc>
          <w:tcPr>
            <w:tcW w:type="dxa" w:w="151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early-revenue (no public revenue or ARR figure findable; small early-stage startup with no disclosed funding rounds on Crunchbase)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DevOps/CI-CD platform for ROS-powered robots: containerized OTA deployment, monitoring, and scaling so shipping robot apps feels like pushing a web app live.</w:t>
            </w:r>
          </w:p>
        </w:tc>
        <w:tc>
          <w:tcPr>
            <w:tcW w:type="dxa" w:w="2232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B2B SaaS: a cloud-hosted "Auto DevOps" platform (robotair.io) sold to robotics companies / ROS engineering teams, who pay subscription fees to deploy, monitor, OTA-update and scale ROS/ROS 2 robot applications via containerized CI/CD pipelines. Specific pricing tiers (likely per-robot/per-fleet subscription) are not publicly disclosed.</w:t>
            </w:r>
          </w:p>
        </w:tc>
        <w:tc>
          <w:tcPr>
            <w:tcW w:type="dxa" w:w="1800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Undisclosed. No named paying or piloting organizations appear in the company website, blog, LinkedIn, or Crunchbase profile; the product targets ROS-based robotics startups and fleet operators.</w:t>
            </w:r>
          </w:p>
        </w:tc>
        <w:tc>
          <w:tcPr>
            <w:tcW w:type="dxa" w:w="2059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Positions itself as a ROS-native, fully managed CI/CD + OTA + monitoring stack ("push robot apps like a web app"), competing most directly with Airbotics (open-source Uptane-based ROS 2 deployment platform) and broader fleet-ops players like Formant and Transitive/Rapyuta Robotics. Differentiation is its end-to-end managed Docker-build-to-OTA-to-monitoring pipeline rather than self-hosted/open-source tooling, but the edge is largely execution-based and not clearly defensible vs. Airbotics/Formant.</w:t>
            </w:r>
          </w:p>
        </w:tc>
      </w:tr>
      <w:tr>
        <w:tc>
          <w:tcPr>
            <w:tcW w:type="dxa" w:w="1800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RovifyLab</w:t>
            </w:r>
          </w:p>
        </w:tc>
        <w:tc>
          <w:tcPr>
            <w:tcW w:type="dxa" w:w="547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KR</w:t>
            </w:r>
          </w:p>
        </w:tc>
        <w:tc>
          <w:tcPr>
            <w:tcW w:type="dxa" w:w="605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unkn</w:t>
            </w:r>
          </w:p>
        </w:tc>
        <w:tc>
          <w:tcPr>
            <w:tcW w:type="dxa" w:w="893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n/d</w:t>
            </w:r>
          </w:p>
        </w:tc>
        <w:tc>
          <w:tcPr>
            <w:tcW w:type="dxa" w:w="151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early-revenue (no public revenue or ARR figure disclosed; inferred from active multi-year mining partnership contract, but no dollar figure findable)</w:t>
            </w:r>
          </w:p>
        </w:tc>
        <w:tc>
          <w:tcPr>
            <w:tcW w:type="dxa" w:w="223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AI operating layer letting anyone deploy, orchestrate and manage heterogeneous robot fleets via natural language, spanning on-robot SLAM to cloud orchestration.</w:t>
            </w:r>
          </w:p>
        </w:tc>
        <w:tc>
          <w:tcPr>
            <w:tcW w:type="dxa" w:w="2232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Sells "Fleet OS," a software/middleware layer that orchestrates heterogeneous robot fleets via natural language, sold to enterprise robot operators (primarily mining/industrial) under multi-year technology partnership contracts. Specific pricing (per-robot, subscription, or platform license) is not publicly disclosed; deployment is described as a SaaS-style operating layer spanning on-robot SLAM to cloud orchestration.</w:t>
            </w:r>
          </w:p>
        </w:tc>
        <w:tc>
          <w:tcPr>
            <w:tcW w:type="dxa" w:w="1800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One named-but-anonymized strategic partner: a "Fortune Global 500 mining services company" with a multi-year technology partnership (used as the underground-mining beachhead). Validation done across 3+ unnamed robot OEM manufacturers. No specifically named paying customers are public; otherwise undisclosed.</w:t>
            </w:r>
          </w:p>
        </w:tc>
        <w:tc>
          <w:tcPr>
            <w:tcW w:type="dxa" w:w="2059"/>
            <w:shd w:val="clear" w:fill="EEF1F6"/>
            <w:tcBorders>
              <w:top w:val="single" w:sz="4" w:space="0" w:color="C9CFDB"/>
              <w:left w:val="single" w:sz="4" w:space="0" w:color="C9CFDB"/>
              <w:bottom w:val="single" w:sz="4" w:space="0" w:color="C9CFDB"/>
              <w:right w:val="single" w:sz="4" w:space="0" w:color="C9CFDB"/>
            </w:tcBorders>
            <w:tcMar>
              <w:top w:w="40" w:type="dxa"/>
              <w:bottom w:w="40" w:type="dxa"/>
              <w:start w:w="70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sz w:val="15"/>
              </w:rPr>
              <w:t>Differentiates via a proprietary GPS-denied/infrastructure-free SLAM stack (founder Dr. Chanoh Park, DARPA SubT Challenge 2nd place) combined with an LLM natural-language mission layer and a modular OEM-agnostic controller, spanning on-robot SLAM up to cloud orchestration. Versus InOrbit.AI and Boston Dynamics Orbit (closest fleet-orchestration competitors), Rovify's edge is owning the on-robot localization/mapping layer plus natural-language tasking rather than being a cloud-only management dashboard.</w:t>
            </w:r>
          </w:p>
        </w:tc>
      </w:tr>
    </w:tbl>
    <w:p>
      <w:pPr>
        <w:sectPr>
          <w:footerReference w:type="default" r:id="rId11"/>
          <w:headerReference w:type="default" r:id="rId12"/>
          <w:pgSz w:w="15840" w:h="12240" w:orient="landscape"/>
          <w:pgMar w:top="1152" w:right="1008" w:bottom="1008" w:left="1008" w:header="720" w:footer="720" w:gutter="0"/>
          <w:cols w:space="720"/>
          <w:docGrid w:linePitch="360"/>
        </w:sectPr>
      </w:pPr>
    </w:p>
    <w:p>
      <w:pPr>
        <w:pStyle w:val="Heading1"/>
        <w:pBdr>
          <w:bottom w:val="single" w:sz="12" w:space="2" w:color="B0882C"/>
        </w:pBdr>
      </w:pPr>
      <w:r>
        <w:rPr>
          <w:rFonts w:ascii="Georgia" w:hAnsi="Georgia"/>
        </w:rPr>
        <w:t>4. Key questions</w:t>
      </w:r>
    </w:p>
    <w:p>
      <w:pPr>
        <w:spacing w:after="100"/>
      </w:pPr>
      <w:r>
        <w:rPr>
          <w:rFonts w:ascii="Georgia" w:hAnsi="Georgia"/>
          <w:b/>
          <w:color w:val="1F3864"/>
          <w:sz w:val="21"/>
        </w:rPr>
        <w:t xml:space="preserve">Why so little capital?  </w:t>
      </w:r>
      <w:r>
        <w:rPr>
          <w:rFonts w:ascii="Georgia" w:hAnsi="Georgia"/>
          <w:sz w:val="21"/>
        </w:rPr>
        <w:t>Because the buyers, robot fleets at scale, barely exist yet and incumbents build in-house. L5 is early and scales only after L4 deployments scale.</w:t>
      </w:r>
    </w:p>
    <w:p>
      <w:pPr>
        <w:spacing w:after="100"/>
      </w:pPr>
      <w:r>
        <w:rPr>
          <w:rFonts w:ascii="Georgia" w:hAnsi="Georgia"/>
          <w:b/>
          <w:color w:val="1F3864"/>
          <w:sz w:val="21"/>
        </w:rPr>
        <w:t xml:space="preserve">Absorbed in-house or independent?  </w:t>
      </w:r>
      <w:r>
        <w:rPr>
          <w:rFonts w:ascii="Georgia" w:hAnsi="Georgia"/>
          <w:sz w:val="21"/>
        </w:rPr>
        <w:t>Today mostly at risk of in-house absorption. The survivors (Viam, Formant, Rapyuta) bet on being horizontal across heterogeneous fleets, which is the robotics-AWS opportunity if any one reaches escape velocity.</w:t>
      </w:r>
    </w:p>
    <w:p>
      <w:pPr>
        <w:spacing w:after="100"/>
      </w:pPr>
      <w:r>
        <w:rPr>
          <w:rFonts w:ascii="Georgia" w:hAnsi="Georgia"/>
          <w:b/>
          <w:color w:val="1F3864"/>
          <w:sz w:val="21"/>
        </w:rPr>
        <w:t xml:space="preserve">Is safety runtime a real category?  </w:t>
      </w:r>
      <w:r>
        <w:rPr>
          <w:rFonts w:ascii="Georgia" w:hAnsi="Georgia"/>
          <w:sz w:val="21"/>
        </w:rPr>
        <w:t>Emerging. A handful of safety and guardrail startups exist but no standard. Regulation or a high-profile failure could create the market suddenly.</w:t>
      </w:r>
    </w:p>
    <w:p>
      <w:pPr>
        <w:spacing w:after="100"/>
      </w:pPr>
      <w:r>
        <w:rPr>
          <w:rFonts w:ascii="Georgia" w:hAnsi="Georgia"/>
          <w:b/>
          <w:color w:val="1F3864"/>
          <w:sz w:val="21"/>
        </w:rPr>
        <w:t xml:space="preserve">Open ROS2 or proprietary stack, where is the defensible money?  </w:t>
      </w:r>
      <w:r>
        <w:rPr>
          <w:rFonts w:ascii="Georgia" w:hAnsi="Georgia"/>
          <w:sz w:val="21"/>
        </w:rPr>
        <w:t>ROS2 is the free default plumbing, so commercial L5 must sell what ROS2 does not: managed fleet operations, observability and edge-inference performance. The winners monetize the operational layer (uptime, SLAs, analytics) on top of open middleware, closer to Datadog-for-robots than to an operating system.</w:t>
      </w:r>
    </w:p>
    <w:p>
      <w:pPr>
        <w:pStyle w:val="Heading1"/>
        <w:pBdr>
          <w:bottom w:val="single" w:sz="12" w:space="2" w:color="B0882C"/>
        </w:pBdr>
      </w:pPr>
      <w:r>
        <w:rPr>
          <w:rFonts w:ascii="Georgia" w:hAnsi="Georgia"/>
        </w:rPr>
        <w:t>5. Outlook and signal to watch</w:t>
      </w:r>
    </w:p>
    <w:p>
      <w:pPr>
        <w:spacing w:after="120"/>
      </w:pPr>
      <w:r>
        <w:rPr>
          <w:rFonts w:ascii="Georgia" w:hAnsi="Georgia"/>
          <w:b w:val="0"/>
          <w:i w:val="0"/>
          <w:sz w:val="21"/>
        </w:rPr>
        <w:t>Watch for any independent player crossing roughly $50M ARR across heterogeneous fleets, which would prove the category, versus the integrated giants shipping closed end-to-end stacks that lock middleware out, which would make it a feature.</w:t>
      </w:r>
    </w:p>
    <w:p>
      <w:pPr>
        <w:pStyle w:val="Heading1"/>
        <w:pBdr>
          <w:bottom w:val="single" w:sz="12" w:space="2" w:color="B0882C"/>
        </w:pBdr>
      </w:pPr>
      <w:r>
        <w:rPr>
          <w:rFonts w:ascii="Georgia" w:hAnsi="Georgia"/>
        </w:rPr>
        <w:t>6. Capital in this layer</w:t>
      </w:r>
    </w:p>
    <w:sectPr w:rsidR="00FC693F" w:rsidRPr="0006063C" w:rsidSect="00034616">
      <w:footerReference w:type="default" r:id="rId13"/>
      <w:headerReference w:type="default" r:id="rId14"/>
      <w:pgSz w:w="12240" w:h="15840"/>
      <w:pgMar w:top="1152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F6B"/>
        <w:sz w:val="15"/>
      </w:rPr>
      <w:t xml:space="preserve">CONFIDENTIAL   |   L5 Software Stack and Middleware   |   </w:t>
    </w:r>
    <w:r>
      <w:rPr>
        <w:rFonts w:ascii="Calibri" w:hAnsi="Calibri"/>
        <w:color w:val="595F6B"/>
        <w:sz w:val="15"/>
      </w:rPr>
      <w:fldChar w:fldCharType="begin"/>
      <w:instrText xml:space="preserve"> PAGE 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F6B"/>
        <w:sz w:val="15"/>
      </w:rPr>
      <w:t xml:space="preserve">CONFIDENTIAL   |   L5 Software Stack and Middleware   |   </w:t>
    </w:r>
    <w:r>
      <w:rPr>
        <w:rFonts w:ascii="Calibri" w:hAnsi="Calibri"/>
        <w:color w:val="595F6B"/>
        <w:sz w:val="15"/>
      </w:rPr>
      <w:fldChar w:fldCharType="begin"/>
      <w:instrText xml:space="preserve"> PAGE </w:instrText>
      <w:fldChar w:fldCharType="separate"/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F6B"/>
        <w:sz w:val="15"/>
      </w:rPr>
      <w:t xml:space="preserve">CONFIDENTIAL   |   L5 Software Stack and Middleware   |   </w:t>
    </w:r>
    <w:r>
      <w:rPr>
        <w:rFonts w:ascii="Calibri" w:hAnsi="Calibri"/>
        <w:color w:val="595F6B"/>
        <w:sz w:val="15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color w:val="595F6B"/>
        <w:sz w:val="15"/>
      </w:rPr>
      <w:t>AI x Robotics Ecosystem | June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color w:val="595F6B"/>
        <w:sz w:val="15"/>
      </w:rPr>
      <w:t>AI x Robotics Ecosystem | June 2026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color w:val="595F6B"/>
        <w:sz w:val="15"/>
      </w:rPr>
      <w:t>AI x Robotics Ecosystem | June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Georgia" w:hAnsi="Georgia"/>
      <w:color w:val="20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Georgia" w:eastAsiaTheme="majorEastAsia" w:hAnsiTheme="majorHAnsi" w:cstheme="majorBidi" w:ascii="Georgia" w:hAnsi="Georgia"/>
      <w:b/>
      <w:bCs/>
      <w:i w:val="0"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60"/>
      <w:outlineLvl w:val="1"/>
    </w:pPr>
    <w:rPr>
      <w:rFonts w:asciiTheme="Georgia" w:eastAsiaTheme="majorEastAsia" w:hAnsiTheme="majorHAnsi" w:cstheme="majorBidi" w:ascii="Georgia" w:hAnsi="Georgia"/>
      <w:b/>
      <w:bCs/>
      <w:i w:val="0"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Georgia" w:eastAsiaTheme="majorEastAsia" w:hAnsiTheme="majorHAnsi" w:cstheme="majorBidi" w:ascii="Georgia" w:hAnsi="Georgia"/>
      <w:b/>
      <w:bCs/>
      <w:i w:val="0"/>
      <w:color w:val="1F38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