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MERIDIAN LOGISTICS CO.</w:t>
      </w:r>
    </w:p>
    <w:p>
      <w:r>
        <w:t xml:space="preserve">Security Operations Center — Investigation Report</w:t>
      </w:r>
    </w:p>
    <w:p>
      <w:pPr>
        <w:spacing w:before="200"/>
      </w:pPr>
      <w:r>
        <w:rPr>
          <w:b/>
          <w:bCs/>
          <w:sz w:val="32"/>
          <w:szCs w:val="32"/>
        </w:rPr>
        <w:t xml:space="preserve">Scenario 2: File Tampering (FIM) and Incident Response Exercise</w:t>
      </w:r>
    </w:p>
    <w:p>
      <w:pPr>
        <w:spacing w:after="2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shd w:fill="F2F2F2" w:val="clear"/>
            <w:tcMar>
              <w:top w:type="dxa" w:w="80"/>
              <w:left w:type="dxa" w:w="100"/>
              <w:bottom w:type="dxa" w:w="80"/>
              <w:right w:type="dxa" w:w="100"/>
            </w:tcMar>
          </w:tcPr>
          <w:p>
            <w:r>
              <w:rPr>
                <w:b/>
                <w:bCs/>
                <w:sz w:val="20"/>
                <w:szCs w:val="20"/>
              </w:rPr>
              <w:t xml:space="preserve">Case ID</w:t>
            </w:r>
          </w:p>
        </w:tc>
        <w:tc>
          <w:tcPr>
            <w:tcW w:type="dxa" w:w="6440"/>
            <w:tcMar>
              <w:top w:type="dxa" w:w="80"/>
              <w:left w:type="dxa" w:w="100"/>
              <w:bottom w:type="dxa" w:w="80"/>
              <w:right w:type="dxa" w:w="100"/>
            </w:tcMar>
          </w:tcPr>
          <w:p>
            <w:r>
              <w:rPr>
                <w:b w:val="false"/>
                <w:bCs w:val="false"/>
                <w:sz w:val="20"/>
                <w:szCs w:val="20"/>
              </w:rPr>
              <w:t xml:space="preserve">SCN-02-FILETAMPER</w:t>
            </w:r>
          </w:p>
        </w:tc>
      </w:tr>
      <w:tr>
        <w:tc>
          <w:tcPr>
            <w:tcW w:type="dxa" w:w="3200"/>
            <w:shd w:fill="F2F2F2" w:val="clear"/>
            <w:tcMar>
              <w:top w:type="dxa" w:w="80"/>
              <w:left w:type="dxa" w:w="100"/>
              <w:bottom w:type="dxa" w:w="80"/>
              <w:right w:type="dxa" w:w="100"/>
            </w:tcMar>
          </w:tcPr>
          <w:p>
            <w:r>
              <w:rPr>
                <w:b/>
                <w:bCs/>
                <w:sz w:val="20"/>
                <w:szCs w:val="20"/>
              </w:rPr>
              <w:t xml:space="preserve">Classification</w:t>
            </w:r>
          </w:p>
        </w:tc>
        <w:tc>
          <w:tcPr>
            <w:tcW w:type="dxa" w:w="6440"/>
            <w:tcMar>
              <w:top w:type="dxa" w:w="80"/>
              <w:left w:type="dxa" w:w="100"/>
              <w:bottom w:type="dxa" w:w="80"/>
              <w:right w:type="dxa" w:w="100"/>
            </w:tcMar>
          </w:tcPr>
          <w:p>
            <w:r>
              <w:rPr>
                <w:b w:val="false"/>
                <w:bCs w:val="false"/>
                <w:sz w:val="20"/>
                <w:szCs w:val="20"/>
              </w:rPr>
              <w:t xml:space="preserve">Internal Exercise — Detection Validation, Incident Response &amp; Gap Analysis</w:t>
            </w:r>
          </w:p>
        </w:tc>
      </w:tr>
      <w:tr>
        <w:tc>
          <w:tcPr>
            <w:tcW w:type="dxa" w:w="3200"/>
            <w:shd w:fill="F2F2F2" w:val="clear"/>
            <w:tcMar>
              <w:top w:type="dxa" w:w="80"/>
              <w:left w:type="dxa" w:w="100"/>
              <w:bottom w:type="dxa" w:w="80"/>
              <w:right w:type="dxa" w:w="100"/>
            </w:tcMar>
          </w:tcPr>
          <w:p>
            <w:r>
              <w:rPr>
                <w:b/>
                <w:bCs/>
                <w:sz w:val="20"/>
                <w:szCs w:val="20"/>
              </w:rPr>
              <w:t xml:space="preserve">Analyst</w:t>
            </w:r>
          </w:p>
        </w:tc>
        <w:tc>
          <w:tcPr>
            <w:tcW w:type="dxa" w:w="6440"/>
            <w:tcMar>
              <w:top w:type="dxa" w:w="80"/>
              <w:left w:type="dxa" w:w="100"/>
              <w:bottom w:type="dxa" w:w="80"/>
              <w:right w:type="dxa" w:w="100"/>
            </w:tcMar>
          </w:tcPr>
          <w:p>
            <w:r>
              <w:rPr>
                <w:b w:val="false"/>
                <w:bCs w:val="false"/>
                <w:sz w:val="20"/>
                <w:szCs w:val="20"/>
              </w:rPr>
              <w:t xml:space="preserve">Moses (SOC Analyst, Meridian Logistics Co.)</w:t>
            </w:r>
          </w:p>
        </w:tc>
      </w:tr>
      <w:tr>
        <w:tc>
          <w:tcPr>
            <w:tcW w:type="dxa" w:w="3200"/>
            <w:shd w:fill="F2F2F2" w:val="clear"/>
            <w:tcMar>
              <w:top w:type="dxa" w:w="80"/>
              <w:left w:type="dxa" w:w="100"/>
              <w:bottom w:type="dxa" w:w="80"/>
              <w:right w:type="dxa" w:w="100"/>
            </w:tcMar>
          </w:tcPr>
          <w:p>
            <w:r>
              <w:rPr>
                <w:b/>
                <w:bCs/>
                <w:sz w:val="20"/>
                <w:szCs w:val="20"/>
              </w:rPr>
              <w:t xml:space="preserve">Date of Exercise</w:t>
            </w:r>
          </w:p>
        </w:tc>
        <w:tc>
          <w:tcPr>
            <w:tcW w:type="dxa" w:w="6440"/>
            <w:tcMar>
              <w:top w:type="dxa" w:w="80"/>
              <w:left w:type="dxa" w:w="100"/>
              <w:bottom w:type="dxa" w:w="80"/>
              <w:right w:type="dxa" w:w="100"/>
            </w:tcMar>
          </w:tcPr>
          <w:p>
            <w:r>
              <w:rPr>
                <w:b w:val="false"/>
                <w:bCs w:val="false"/>
                <w:sz w:val="20"/>
                <w:szCs w:val="20"/>
              </w:rPr>
              <w:t xml:space="preserve">September 2026</w:t>
            </w:r>
          </w:p>
        </w:tc>
      </w:tr>
      <w:tr>
        <w:tc>
          <w:tcPr>
            <w:tcW w:type="dxa" w:w="3200"/>
            <w:shd w:fill="F2F2F2" w:val="clear"/>
            <w:tcMar>
              <w:top w:type="dxa" w:w="80"/>
              <w:left w:type="dxa" w:w="100"/>
              <w:bottom w:type="dxa" w:w="80"/>
              <w:right w:type="dxa" w:w="100"/>
            </w:tcMar>
          </w:tcPr>
          <w:p>
            <w:r>
              <w:rPr>
                <w:b/>
                <w:bCs/>
                <w:sz w:val="20"/>
                <w:szCs w:val="20"/>
              </w:rPr>
              <w:t xml:space="preserve">Target Asset</w:t>
            </w:r>
          </w:p>
        </w:tc>
        <w:tc>
          <w:tcPr>
            <w:tcW w:type="dxa" w:w="6440"/>
            <w:tcMar>
              <w:top w:type="dxa" w:w="80"/>
              <w:left w:type="dxa" w:w="100"/>
              <w:bottom w:type="dxa" w:w="80"/>
              <w:right w:type="dxa" w:w="100"/>
            </w:tcMar>
          </w:tcPr>
          <w:p>
            <w:r>
              <w:rPr>
                <w:b w:val="false"/>
                <w:bCs w:val="false"/>
                <w:sz w:val="20"/>
                <w:szCs w:val="20"/>
              </w:rPr>
              <w:t xml:space="preserve">INT-FileSrv (10.10.0.40) — internal Samba file server</w:t>
            </w:r>
          </w:p>
        </w:tc>
      </w:tr>
      <w:tr>
        <w:tc>
          <w:tcPr>
            <w:tcW w:type="dxa" w:w="3200"/>
            <w:shd w:fill="F2F2F2" w:val="clear"/>
            <w:tcMar>
              <w:top w:type="dxa" w:w="80"/>
              <w:left w:type="dxa" w:w="100"/>
              <w:bottom w:type="dxa" w:w="80"/>
              <w:right w:type="dxa" w:w="100"/>
            </w:tcMar>
          </w:tcPr>
          <w:p>
            <w:r>
              <w:rPr>
                <w:b/>
                <w:bCs/>
                <w:sz w:val="20"/>
                <w:szCs w:val="20"/>
              </w:rPr>
              <w:t xml:space="preserve">Affected File</w:t>
            </w:r>
          </w:p>
        </w:tc>
        <w:tc>
          <w:tcPr>
            <w:tcW w:type="dxa" w:w="6440"/>
            <w:tcMar>
              <w:top w:type="dxa" w:w="80"/>
              <w:left w:type="dxa" w:w="100"/>
              <w:bottom w:type="dxa" w:w="80"/>
              <w:right w:type="dxa" w:w="100"/>
            </w:tcMar>
          </w:tcPr>
          <w:p>
            <w:r>
              <w:rPr>
                <w:b w:val="false"/>
                <w:bCs w:val="false"/>
                <w:sz w:val="20"/>
                <w:szCs w:val="20"/>
              </w:rPr>
              <w:t xml:space="preserve">/srv/samba/shared/confidential.txt</w:t>
            </w:r>
          </w:p>
        </w:tc>
      </w:tr>
      <w:tr>
        <w:tc>
          <w:tcPr>
            <w:tcW w:type="dxa" w:w="3200"/>
            <w:shd w:fill="F2F2F2" w:val="clear"/>
            <w:tcMar>
              <w:top w:type="dxa" w:w="80"/>
              <w:left w:type="dxa" w:w="100"/>
              <w:bottom w:type="dxa" w:w="80"/>
              <w:right w:type="dxa" w:w="100"/>
            </w:tcMar>
          </w:tcPr>
          <w:p>
            <w:r>
              <w:rPr>
                <w:b/>
                <w:bCs/>
                <w:sz w:val="20"/>
                <w:szCs w:val="20"/>
              </w:rPr>
              <w:t xml:space="preserve">Detection Source</w:t>
            </w:r>
          </w:p>
        </w:tc>
        <w:tc>
          <w:tcPr>
            <w:tcW w:type="dxa" w:w="6440"/>
            <w:tcMar>
              <w:top w:type="dxa" w:w="80"/>
              <w:left w:type="dxa" w:w="100"/>
              <w:bottom w:type="dxa" w:w="80"/>
              <w:right w:type="dxa" w:w="100"/>
            </w:tcMar>
          </w:tcPr>
          <w:p>
            <w:r>
              <w:rPr>
                <w:b w:val="false"/>
                <w:bCs w:val="false"/>
                <w:sz w:val="20"/>
                <w:szCs w:val="20"/>
              </w:rPr>
              <w:t xml:space="preserve">Wazuh File Integrity Monitoring (agent 002)</w:t>
            </w:r>
          </w:p>
        </w:tc>
      </w:tr>
      <w:tr>
        <w:tc>
          <w:tcPr>
            <w:tcW w:type="dxa" w:w="3200"/>
            <w:shd w:fill="F2F2F2" w:val="clear"/>
            <w:tcMar>
              <w:top w:type="dxa" w:w="80"/>
              <w:left w:type="dxa" w:w="100"/>
              <w:bottom w:type="dxa" w:w="80"/>
              <w:right w:type="dxa" w:w="100"/>
            </w:tcMar>
          </w:tcPr>
          <w:p>
            <w:r>
              <w:rPr>
                <w:b/>
                <w:bCs/>
                <w:sz w:val="20"/>
                <w:szCs w:val="20"/>
              </w:rPr>
              <w:t xml:space="preserve">MITRE ATT&amp;CK</w:t>
            </w:r>
          </w:p>
        </w:tc>
        <w:tc>
          <w:tcPr>
            <w:tcW w:type="dxa" w:w="6440"/>
            <w:tcMar>
              <w:top w:type="dxa" w:w="80"/>
              <w:left w:type="dxa" w:w="100"/>
              <w:bottom w:type="dxa" w:w="80"/>
              <w:right w:type="dxa" w:w="100"/>
            </w:tcMar>
          </w:tcPr>
          <w:p>
            <w:r>
              <w:rPr>
                <w:b w:val="false"/>
                <w:bCs w:val="false"/>
                <w:sz w:val="20"/>
                <w:szCs w:val="20"/>
              </w:rPr>
              <w:t xml:space="preserve">T1565.001 — Stored Data Manipulation</w:t>
            </w:r>
          </w:p>
        </w:tc>
      </w:tr>
      <w:tr>
        <w:tc>
          <w:tcPr>
            <w:tcW w:type="dxa" w:w="3200"/>
            <w:shd w:fill="F2F2F2" w:val="clear"/>
            <w:tcMar>
              <w:top w:type="dxa" w:w="80"/>
              <w:left w:type="dxa" w:w="100"/>
              <w:bottom w:type="dxa" w:w="80"/>
              <w:right w:type="dxa" w:w="100"/>
            </w:tcMar>
          </w:tcPr>
          <w:p>
            <w:r>
              <w:rPr>
                <w:b/>
                <w:bCs/>
                <w:sz w:val="20"/>
                <w:szCs w:val="20"/>
              </w:rPr>
              <w:t xml:space="preserve">Status</w:t>
            </w:r>
          </w:p>
        </w:tc>
        <w:tc>
          <w:tcPr>
            <w:tcW w:type="dxa" w:w="6440"/>
            <w:tcMar>
              <w:top w:type="dxa" w:w="80"/>
              <w:left w:type="dxa" w:w="100"/>
              <w:bottom w:type="dxa" w:w="80"/>
              <w:right w:type="dxa" w:w="100"/>
            </w:tcMar>
          </w:tcPr>
          <w:p>
            <w:r>
              <w:rPr>
                <w:b w:val="false"/>
                <w:bCs w:val="false"/>
                <w:sz w:val="20"/>
                <w:szCs w:val="20"/>
              </w:rPr>
              <w:t xml:space="preserve">Complete — detection confirmed; centerpiece finding documented (Section 6)</w:t>
            </w:r>
          </w:p>
        </w:tc>
      </w:tr>
    </w:tbl>
    <w:p>
      <w:pPr>
        <w:spacing w:before="300"/>
      </w:pPr>
    </w:p>
    <w:p>
      <w:pPr>
        <w:pStyle w:val="Heading1"/>
        <w:spacing w:after="160" w:before="320"/>
      </w:pPr>
      <w:r>
        <w:t xml:space="preserve">1. Executive Summary</w:t>
      </w:r>
    </w:p>
    <w:p>
      <w:pPr>
        <w:spacing w:after="120"/>
      </w:pPr>
      <w:r>
        <w:t xml:space="preserve">This exercise simulated unauthorized modification of a business-critical file on the internal file server, representing the business scenario of confidential records being tampered with, whether through insider action or a compromised account. The objective was to validate Wazuh's real-time File Integrity Monitoring (FIM) capability, and to carry the exercise beyond simple detection into a self-directed incident-response lifecycle.</w:t>
      </w:r>
    </w:p>
    <w:p>
      <w:pPr>
        <w:spacing w:after="120"/>
      </w:pPr>
      <w:r>
        <w:t xml:space="preserve">Wazuh's FIM correctly detected the tampering with a precise MITRE technique match. The exercise was then extended into session verification, account isolation, evidence preservation, and hash-verified restoration — mirroring a real analyst's response workflow rather than stopping at the alert. The centerpiece finding of this scenario, however, came from the restoration step itself: Wazuh's FIM inventory silently resynchronized with no alert generated, a genuine detection-coverage gap documented in Section 6.</w:t>
      </w:r>
    </w:p>
    <w:p>
      <w:pPr>
        <w:pStyle w:val="Heading1"/>
        <w:spacing w:after="160" w:before="320"/>
      </w:pPr>
      <w:r>
        <w:t xml:space="preserve">2. Scope and Methodology</w:t>
      </w:r>
    </w:p>
    <w:p>
      <w:pPr>
        <w:spacing w:after="120"/>
      </w:pPr>
      <w:r>
        <w:t xml:space="preserve">A confidential file on the INT-FileSrv Samba share (confidential.txt, under real-time FIM monitoring per the project's &lt;syscheck&gt; configuration) was modified directly on the host, outside business hours, growing from 37 to 114 bytes. This simulates an insider or compromised-account tampering event rather than a remote attack, consistent with the file server having no direct external exposure.</w:t>
      </w:r>
    </w:p>
    <w:p>
      <w:pPr>
        <w:pStyle w:val="Heading1"/>
        <w:spacing w:after="160" w:before="320"/>
      </w:pPr>
      <w:r>
        <w:t xml:space="preserve">3. Investigation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2600"/>
            <w:shd w:fill="F2F2F2" w:val="clear"/>
            <w:tcMar>
              <w:top w:type="dxa" w:w="80"/>
              <w:left w:type="dxa" w:w="100"/>
              <w:bottom w:type="dxa" w:w="80"/>
              <w:right w:type="dxa" w:w="100"/>
            </w:tcMar>
          </w:tcPr>
          <w:p>
            <w:r>
              <w:rPr>
                <w:b/>
                <w:bCs/>
                <w:sz w:val="20"/>
                <w:szCs w:val="20"/>
              </w:rPr>
              <w:t xml:space="preserve">WHO</w:t>
            </w:r>
          </w:p>
        </w:tc>
        <w:tc>
          <w:tcPr>
            <w:tcW w:type="dxa" w:w="7040"/>
            <w:tcMar>
              <w:top w:type="dxa" w:w="80"/>
              <w:left w:type="dxa" w:w="100"/>
              <w:bottom w:type="dxa" w:w="80"/>
              <w:right w:type="dxa" w:w="100"/>
            </w:tcMar>
          </w:tcPr>
          <w:p>
            <w:r>
              <w:rPr>
                <w:b w:val="false"/>
                <w:bCs w:val="false"/>
                <w:sz w:val="20"/>
                <w:szCs w:val="20"/>
              </w:rPr>
              <w:t xml:space="preserve">Local/insider access to the file server host</w:t>
            </w:r>
          </w:p>
        </w:tc>
      </w:tr>
      <w:tr>
        <w:tc>
          <w:tcPr>
            <w:tcW w:type="dxa" w:w="2600"/>
            <w:shd w:fill="F2F2F2" w:val="clear"/>
            <w:tcMar>
              <w:top w:type="dxa" w:w="80"/>
              <w:left w:type="dxa" w:w="100"/>
              <w:bottom w:type="dxa" w:w="80"/>
              <w:right w:type="dxa" w:w="100"/>
            </w:tcMar>
          </w:tcPr>
          <w:p>
            <w:r>
              <w:rPr>
                <w:b/>
                <w:bCs/>
                <w:sz w:val="20"/>
                <w:szCs w:val="20"/>
              </w:rPr>
              <w:t xml:space="preserve">WHAT</w:t>
            </w:r>
          </w:p>
        </w:tc>
        <w:tc>
          <w:tcPr>
            <w:tcW w:type="dxa" w:w="7040"/>
            <w:tcMar>
              <w:top w:type="dxa" w:w="80"/>
              <w:left w:type="dxa" w:w="100"/>
              <w:bottom w:type="dxa" w:w="80"/>
              <w:right w:type="dxa" w:w="100"/>
            </w:tcMar>
          </w:tcPr>
          <w:p>
            <w:r>
              <w:rPr>
                <w:b w:val="false"/>
                <w:bCs w:val="false"/>
                <w:sz w:val="20"/>
                <w:szCs w:val="20"/>
              </w:rPr>
              <w:t xml:space="preserve">Modification of confidential.txt on the Samba share</w:t>
            </w:r>
          </w:p>
        </w:tc>
      </w:tr>
      <w:tr>
        <w:tc>
          <w:tcPr>
            <w:tcW w:type="dxa" w:w="2600"/>
            <w:shd w:fill="F2F2F2" w:val="clear"/>
            <w:tcMar>
              <w:top w:type="dxa" w:w="80"/>
              <w:left w:type="dxa" w:w="100"/>
              <w:bottom w:type="dxa" w:w="80"/>
              <w:right w:type="dxa" w:w="100"/>
            </w:tcMar>
          </w:tcPr>
          <w:p>
            <w:r>
              <w:rPr>
                <w:b/>
                <w:bCs/>
                <w:sz w:val="20"/>
                <w:szCs w:val="20"/>
              </w:rPr>
              <w:t xml:space="preserve">WHEN</w:t>
            </w:r>
          </w:p>
        </w:tc>
        <w:tc>
          <w:tcPr>
            <w:tcW w:type="dxa" w:w="7040"/>
            <w:tcMar>
              <w:top w:type="dxa" w:w="80"/>
              <w:left w:type="dxa" w:w="100"/>
              <w:bottom w:type="dxa" w:w="80"/>
              <w:right w:type="dxa" w:w="100"/>
            </w:tcMar>
          </w:tcPr>
          <w:p>
            <w:r>
              <w:rPr>
                <w:b w:val="false"/>
                <w:bCs w:val="false"/>
                <w:sz w:val="20"/>
                <w:szCs w:val="20"/>
              </w:rPr>
              <w:t xml:space="preserve">After hours, timestamp captured in the FIM alert</w:t>
            </w:r>
          </w:p>
        </w:tc>
      </w:tr>
      <w:tr>
        <w:tc>
          <w:tcPr>
            <w:tcW w:type="dxa" w:w="2600"/>
            <w:shd w:fill="F2F2F2" w:val="clear"/>
            <w:tcMar>
              <w:top w:type="dxa" w:w="80"/>
              <w:left w:type="dxa" w:w="100"/>
              <w:bottom w:type="dxa" w:w="80"/>
              <w:right w:type="dxa" w:w="100"/>
            </w:tcMar>
          </w:tcPr>
          <w:p>
            <w:r>
              <w:rPr>
                <w:b/>
                <w:bCs/>
                <w:sz w:val="20"/>
                <w:szCs w:val="20"/>
              </w:rPr>
              <w:t xml:space="preserve">WHERE</w:t>
            </w:r>
          </w:p>
        </w:tc>
        <w:tc>
          <w:tcPr>
            <w:tcW w:type="dxa" w:w="7040"/>
            <w:tcMar>
              <w:top w:type="dxa" w:w="80"/>
              <w:left w:type="dxa" w:w="100"/>
              <w:bottom w:type="dxa" w:w="80"/>
              <w:right w:type="dxa" w:w="100"/>
            </w:tcMar>
          </w:tcPr>
          <w:p>
            <w:r>
              <w:rPr>
                <w:b w:val="false"/>
                <w:bCs w:val="false"/>
                <w:sz w:val="20"/>
                <w:szCs w:val="20"/>
              </w:rPr>
              <w:t xml:space="preserve">INT-FileSrv (10.10.0.40), /srv/samba/shared/confidential.txt</w:t>
            </w:r>
          </w:p>
        </w:tc>
      </w:tr>
      <w:tr>
        <w:tc>
          <w:tcPr>
            <w:tcW w:type="dxa" w:w="2600"/>
            <w:shd w:fill="F2F2F2" w:val="clear"/>
            <w:tcMar>
              <w:top w:type="dxa" w:w="80"/>
              <w:left w:type="dxa" w:w="100"/>
              <w:bottom w:type="dxa" w:w="80"/>
              <w:right w:type="dxa" w:w="100"/>
            </w:tcMar>
          </w:tcPr>
          <w:p>
            <w:r>
              <w:rPr>
                <w:b/>
                <w:bCs/>
                <w:sz w:val="20"/>
                <w:szCs w:val="20"/>
              </w:rPr>
              <w:t xml:space="preserve">VERDICT</w:t>
            </w:r>
          </w:p>
        </w:tc>
        <w:tc>
          <w:tcPr>
            <w:tcW w:type="dxa" w:w="7040"/>
            <w:tcMar>
              <w:top w:type="dxa" w:w="80"/>
              <w:left w:type="dxa" w:w="100"/>
              <w:bottom w:type="dxa" w:w="80"/>
              <w:right w:type="dxa" w:w="100"/>
            </w:tcMar>
          </w:tcPr>
          <w:p>
            <w:r>
              <w:rPr>
                <w:b w:val="false"/>
                <w:bCs w:val="false"/>
                <w:sz w:val="20"/>
                <w:szCs w:val="20"/>
              </w:rPr>
              <w:t xml:space="preserve">True positive — precise match to MITRE T1565.001 (Stored Data Manipulation)</w:t>
            </w:r>
          </w:p>
        </w:tc>
      </w:tr>
      <w:tr>
        <w:tc>
          <w:tcPr>
            <w:tcW w:type="dxa" w:w="2600"/>
            <w:shd w:fill="F2F2F2" w:val="clear"/>
            <w:tcMar>
              <w:top w:type="dxa" w:w="80"/>
              <w:left w:type="dxa" w:w="100"/>
              <w:bottom w:type="dxa" w:w="80"/>
              <w:right w:type="dxa" w:w="100"/>
            </w:tcMar>
          </w:tcPr>
          <w:p>
            <w:r>
              <w:rPr>
                <w:b/>
                <w:bCs/>
                <w:sz w:val="20"/>
                <w:szCs w:val="20"/>
              </w:rPr>
              <w:t xml:space="preserve">DETECTION</w:t>
            </w:r>
          </w:p>
        </w:tc>
        <w:tc>
          <w:tcPr>
            <w:tcW w:type="dxa" w:w="7040"/>
            <w:tcMar>
              <w:top w:type="dxa" w:w="80"/>
              <w:left w:type="dxa" w:w="100"/>
              <w:bottom w:type="dxa" w:w="80"/>
              <w:right w:type="dxa" w:w="100"/>
            </w:tcMar>
          </w:tcPr>
          <w:p>
            <w:r>
              <w:rPr>
                <w:b w:val="false"/>
                <w:bCs w:val="false"/>
                <w:sz w:val="20"/>
                <w:szCs w:val="20"/>
              </w:rPr>
              <w:t xml:space="preserve">Wazuh rule 550 (FIM modification alert)</w:t>
            </w:r>
          </w:p>
        </w:tc>
      </w:tr>
      <w:tr>
        <w:tc>
          <w:tcPr>
            <w:tcW w:type="dxa" w:w="2600"/>
            <w:shd w:fill="F2F2F2" w:val="clear"/>
            <w:tcMar>
              <w:top w:type="dxa" w:w="80"/>
              <w:left w:type="dxa" w:w="100"/>
              <w:bottom w:type="dxa" w:w="80"/>
              <w:right w:type="dxa" w:w="100"/>
            </w:tcMar>
          </w:tcPr>
          <w:p>
            <w:r>
              <w:rPr>
                <w:b/>
                <w:bCs/>
                <w:sz w:val="20"/>
                <w:szCs w:val="20"/>
              </w:rPr>
              <w:t xml:space="preserve">BUSINESS IMPACT</w:t>
            </w:r>
          </w:p>
        </w:tc>
        <w:tc>
          <w:tcPr>
            <w:tcW w:type="dxa" w:w="7040"/>
            <w:tcMar>
              <w:top w:type="dxa" w:w="80"/>
              <w:left w:type="dxa" w:w="100"/>
              <w:bottom w:type="dxa" w:w="80"/>
              <w:right w:type="dxa" w:w="100"/>
            </w:tcMar>
          </w:tcPr>
          <w:p>
            <w:r>
              <w:rPr>
                <w:b w:val="false"/>
                <w:bCs w:val="false"/>
                <w:sz w:val="20"/>
                <w:szCs w:val="20"/>
              </w:rPr>
              <w:t xml:space="preserve">Undetected tampering with confidential records undermines data integrity and could mask fraud or sabotage</w:t>
            </w:r>
          </w:p>
        </w:tc>
      </w:tr>
    </w:tbl>
    <w:p>
      <w:pPr>
        <w:pStyle w:val="Heading1"/>
        <w:spacing w:after="160" w:before="320"/>
      </w:pPr>
      <w:r>
        <w:t xml:space="preserve">4. Detection Analysis</w:t>
      </w:r>
    </w:p>
    <w:p>
      <w:pPr>
        <w:spacing w:after="120"/>
      </w:pPr>
      <w:r>
        <w:t xml:space="preserve">Wazuh's FIM engine detected the modification immediately via rule 550, with file size, checksum, and timestamp all captured accurately in the alert. The MITRE mapping to T1565.001 (Stored Data Manipulation) was precise and required no adjustment — this is the one scenario in the project where the out-of-the-box detection and technique mapping needed no remediation at all.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shd w:fill="F2F2F2" w:val="clear"/>
            <w:tcMar>
              <w:top w:type="dxa" w:w="200"/>
              <w:left w:type="dxa" w:w="200"/>
              <w:bottom w:type="dxa" w:w="200"/>
              <w:right w:type="dxa" w:w="200"/>
            </w:tcMar>
          </w:tcPr>
          <w:p>
            <w:pPr>
              <w:jc w:val="center"/>
            </w:pPr>
            <w:r>
              <w:rPr>
                <w:i/>
                <w:iCs/>
                <w:color w:val="666666"/>
                <w:sz w:val="20"/>
                <w:szCs w:val="20"/>
              </w:rPr>
              <w:t xml:space="preserve">[ SCREENSHOT PLACEHOLDER — Scenario 2 — Wazuh FIM alert (rule 550) showing the file modification ]</w:t>
            </w:r>
          </w:p>
        </w:tc>
      </w:tr>
    </w:tbl>
    <w:p>
      <w:pPr>
        <w:pStyle w:val="Heading1"/>
        <w:spacing w:after="160" w:before="320"/>
      </w:pPr>
      <w:r>
        <w:t xml:space="preserve">5. Extended Incident Response Exercise</w:t>
      </w:r>
    </w:p>
    <w:p>
      <w:pPr>
        <w:spacing w:after="120"/>
      </w:pPr>
      <w:r>
        <w:t xml:space="preserve">Beyond the guide's baseline detection scenario, a short, self-directed incident-response lifecycle was layered on top, to practice the full analyst workflow rather than stopping at the alert:</w:t>
      </w:r>
    </w:p>
    <w:p>
      <w:pPr>
        <w:pStyle w:val="ListParagraph"/>
        <w:numPr>
          <w:ilvl w:val="0"/>
          <w:numId w:val="1"/>
        </w:numPr>
        <w:spacing w:after="80"/>
      </w:pPr>
      <w:r>
        <w:t xml:space="preserve">Session verification — checked active sessions on the file server via smbstatus to confirm no live unauthorized session remained.</w:t>
      </w:r>
    </w:p>
    <w:p>
      <w:pPr>
        <w:pStyle w:val="ListParagraph"/>
        <w:numPr>
          <w:ilvl w:val="0"/>
          <w:numId w:val="1"/>
        </w:numPr>
        <w:spacing w:after="80"/>
      </w:pPr>
      <w:r>
        <w:t xml:space="preserve">Account isolation — isolated access using a disposable test account created for the exercise. During this step, a real production account (the analyst's own) was very nearly locked by mistake; this was caught and reversed before any actual impact, and is noted here as an honest account of the process rather than omitted.</w:t>
      </w:r>
    </w:p>
    <w:p>
      <w:pPr>
        <w:pStyle w:val="ListParagraph"/>
        <w:numPr>
          <w:ilvl w:val="0"/>
          <w:numId w:val="1"/>
        </w:numPr>
        <w:spacing w:after="80"/>
      </w:pPr>
      <w:r>
        <w:t xml:space="preserve">Evidence preservation — captured a SHA-256 hash of the tampered file, which matched Wazuh's own recorded post-modification checksum, providing independent confirmation of the file's tampered state before remediation.</w:t>
      </w:r>
    </w:p>
    <w:p>
      <w:pPr>
        <w:pStyle w:val="ListParagraph"/>
        <w:numPr>
          <w:ilvl w:val="0"/>
          <w:numId w:val="1"/>
        </w:numPr>
        <w:spacing w:after="80"/>
      </w:pPr>
      <w:r>
        <w:t xml:space="preserve">Restoration — restored the file to its original content from a verified-clean copy, with hash verification confirming the restoration was exact.</w:t>
      </w:r>
    </w:p>
    <w:p>
      <w:pPr>
        <w:pStyle w:val="Heading1"/>
        <w:spacing w:after="160" w:before="320"/>
      </w:pPr>
      <w:r>
        <w:t xml:space="preserve">6. Key Finding — FIM Inventory / Alerting Gap</w:t>
      </w:r>
    </w:p>
    <w:p>
      <w:pPr>
        <w:spacing w:after="120"/>
      </w:pPr>
      <w:r>
        <w:t xml:space="preserve">The centerpiece finding of this scenario emerged from the restoration step itself, not from the original tampering. When the file was restored to its original state, Wazuh's FIM Inventory (its current-state database, distinct from the alerting/event pipeline) updated silently in the background — but no alert or event was generated for that restoration.</w:t>
      </w:r>
    </w:p>
    <w:p>
      <w:pPr>
        <w:spacing w:after="120"/>
      </w:pPr>
      <w:r>
        <w:t xml:space="preserve">This is a genuine, non-obvious gap between Wazuh's inventory synchronization mechanism and its alerting pipeline: a file being “quietly fixed” back to a known-good state is exactly the kind of change a SOC would also want visibility into (to confirm the fix was legitimate and not, for instance, an attacker covering their tracks with a plausible-looking restoration), and under default configuration, that visibility currently isn't provided.</w:t>
      </w:r>
    </w:p>
    <w:p>
      <w:pPr>
        <w:spacing w:after="120"/>
      </w:pPr>
      <w:r>
        <w:t xml:space="preserve">This finding was out of scope for custom remediation within this project's timeline, but is documented here as a legitimate detection-engineering observation worth raising with Wazuh's default configuration in a production deployment.</w:t>
      </w:r>
    </w:p>
    <w:p>
      <w:pPr>
        <w:pStyle w:val="Heading1"/>
        <w:spacing w:after="160" w:before="320"/>
      </w:pPr>
      <w:r>
        <w:t xml:space="preserve">7. MITRE ATT&amp;CK Mapping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shd w:fill="1F3864" w:val="clear"/>
            <w:tcMar>
              <w:top w:type="dxa" w:w="80"/>
              <w:left w:type="dxa" w:w="100"/>
              <w:bottom w:type="dxa" w:w="80"/>
              <w:right w:type="dxa" w:w="100"/>
            </w:tcMar>
          </w:tcPr>
          <w:p>
            <w:r>
              <w:rPr>
                <w:b/>
                <w:bCs/>
                <w:color w:val="FFFFFF"/>
                <w:sz w:val="20"/>
                <w:szCs w:val="20"/>
              </w:rPr>
              <w:t xml:space="preserve">Technique</w:t>
            </w:r>
          </w:p>
        </w:tc>
        <w:tc>
          <w:tcPr>
            <w:tcW w:type="dxa" w:w="6440"/>
            <w:shd w:fill="1F3864" w:val="clear"/>
            <w:tcMar>
              <w:top w:type="dxa" w:w="80"/>
              <w:left w:type="dxa" w:w="100"/>
              <w:bottom w:type="dxa" w:w="80"/>
              <w:right w:type="dxa" w:w="100"/>
            </w:tcMar>
          </w:tcPr>
          <w:p>
            <w:r>
              <w:rPr>
                <w:b/>
                <w:bCs/>
                <w:color w:val="FFFFFF"/>
                <w:sz w:val="20"/>
                <w:szCs w:val="20"/>
              </w:rPr>
              <w:t xml:space="preserve">Description</w:t>
            </w:r>
          </w:p>
        </w:tc>
      </w:tr>
      <w:tr>
        <w:tc>
          <w:tcPr>
            <w:tcW w:type="dxa" w:w="3200"/>
            <w:tcMar>
              <w:top w:type="dxa" w:w="80"/>
              <w:left w:type="dxa" w:w="100"/>
              <w:bottom w:type="dxa" w:w="80"/>
              <w:right w:type="dxa" w:w="100"/>
            </w:tcMar>
          </w:tcPr>
          <w:p>
            <w:r>
              <w:rPr>
                <w:b w:val="false"/>
                <w:bCs w:val="false"/>
                <w:sz w:val="20"/>
                <w:szCs w:val="20"/>
              </w:rPr>
              <w:t xml:space="preserve">T1565.001 — Stored Data Manipulation</w:t>
            </w:r>
          </w:p>
        </w:tc>
        <w:tc>
          <w:tcPr>
            <w:tcW w:type="dxa" w:w="6440"/>
            <w:tcMar>
              <w:top w:type="dxa" w:w="80"/>
              <w:left w:type="dxa" w:w="100"/>
              <w:bottom w:type="dxa" w:w="80"/>
              <w:right w:type="dxa" w:w="100"/>
            </w:tcMar>
          </w:tcPr>
          <w:p>
            <w:r>
              <w:rPr>
                <w:b w:val="false"/>
                <w:bCs w:val="false"/>
                <w:sz w:val="20"/>
                <w:szCs w:val="20"/>
              </w:rPr>
              <w:t xml:space="preserve">Adversaries insert, delete, or manipulate data at rest to manipulate external outcomes or hide activity. The file modification and its precise, unmodified rule-550 mapping is a clean, textbook example of this technique.</w:t>
            </w:r>
          </w:p>
        </w:tc>
      </w:tr>
    </w:tbl>
    <w:p>
      <w:pPr>
        <w:pStyle w:val="Heading1"/>
        <w:spacing w:after="160" w:before="320"/>
      </w:pPr>
      <w:r>
        <w:t xml:space="preserve">8. Business Impact and Response Action</w:t>
      </w:r>
    </w:p>
    <w:p>
      <w:pPr>
        <w:spacing w:after="120"/>
      </w:pPr>
      <w:r>
        <w:t xml:space="preserve">Undetected tampering with confidential records undermines data integrity and could mask fraud, sabotage, or data manipulation intended to influence business decisions.</w:t>
      </w:r>
    </w:p>
    <w:p>
      <w:pPr>
        <w:pStyle w:val="ListParagraph"/>
        <w:numPr>
          <w:ilvl w:val="0"/>
          <w:numId w:val="1"/>
        </w:numPr>
        <w:spacing w:after="80"/>
      </w:pPr>
      <w:r>
        <w:t xml:space="preserve">The file was restored from a verified-clean copy with hash confirmation.</w:t>
      </w:r>
    </w:p>
    <w:p>
      <w:pPr>
        <w:pStyle w:val="ListParagraph"/>
        <w:numPr>
          <w:ilvl w:val="0"/>
          <w:numId w:val="1"/>
        </w:numPr>
        <w:spacing w:after="80"/>
      </w:pPr>
      <w:r>
        <w:t xml:space="preserve">Recommend tightening share permissions (the share was found to be world-writable, 0777) to the minimum required for legitimate use.</w:t>
      </w:r>
    </w:p>
    <w:p>
      <w:pPr>
        <w:pStyle w:val="ListParagraph"/>
        <w:numPr>
          <w:ilvl w:val="0"/>
          <w:numId w:val="1"/>
        </w:numPr>
        <w:spacing w:after="80"/>
      </w:pPr>
      <w:r>
        <w:t xml:space="preserve">Recommend enabling access auditing on the share in addition to FIM, so read/access events — not just modifications — are visible.</w:t>
      </w:r>
    </w:p>
    <w:p>
      <w:pPr>
        <w:pStyle w:val="Heading1"/>
        <w:spacing w:after="160" w:before="320"/>
      </w:pPr>
      <w:r>
        <w:t xml:space="preserve">9. Conclusion</w:t>
      </w:r>
    </w:p>
    <w:p>
      <w:pPr>
        <w:spacing w:after="120"/>
      </w:pPr>
      <w:r>
        <w:t xml:space="preserve">This scenario delivered a clean, accurate baseline detection result, but its real value came from extending past the alert into a full response lifecycle — including an honest account of a near-miss during account isolation — and from a restoration step that surfaced a genuine, previously undocumented gap in Wazuh's FIM alerting coverage. That gap, more than the original detection, is the scenario's most portfolio-relevant contribution.</w:t>
      </w:r>
    </w:p>
    <w:p>
      <w:pPr>
        <w:spacing w:before="300"/>
      </w:pPr>
      <w:r>
        <w:rPr>
          <w:i/>
          <w:iCs/>
          <w:sz w:val="18"/>
          <w:szCs w:val="18"/>
        </w:rPr>
        <w:t xml:space="preserve">Screenshots: see project screenshot directory screenshots/scenario-02-file-tampering/.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2026-09-16T21:49:14.558Z</dcterms:created>
  <dcterms:modified xsi:type="dcterms:W3CDTF">2026-09-16T21:49:14.558Z</dcterms:modified>
</cp:coreProperties>
</file>

<file path=docProps/custom.xml><?xml version="1.0" encoding="utf-8"?>
<Properties xmlns="http://schemas.openxmlformats.org/officeDocument/2006/custom-properties" xmlns:vt="http://schemas.openxmlformats.org/officeDocument/2006/docPropsVTypes"/>
</file>