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MERIDIAN LOGISTICS CO.</w:t>
      </w:r>
    </w:p>
    <w:p>
      <w:r>
        <w:t xml:space="preserve">Security Operations Center — Investigation Report</w:t>
      </w:r>
    </w:p>
    <w:p>
      <w:pPr>
        <w:spacing w:before="200"/>
      </w:pPr>
      <w:r>
        <w:rPr>
          <w:b/>
          <w:bCs/>
          <w:sz w:val="32"/>
          <w:szCs w:val="32"/>
        </w:rPr>
        <w:t xml:space="preserve">Scenario 4: Vulnerable Server Detection</w:t>
      </w:r>
    </w:p>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F2F2F2" w:val="clear"/>
            <w:tcMar>
              <w:top w:type="dxa" w:w="80"/>
              <w:left w:type="dxa" w:w="100"/>
              <w:bottom w:type="dxa" w:w="80"/>
              <w:right w:type="dxa" w:w="100"/>
            </w:tcMar>
          </w:tcPr>
          <w:p>
            <w:r>
              <w:rPr>
                <w:b/>
                <w:bCs/>
                <w:sz w:val="20"/>
                <w:szCs w:val="20"/>
              </w:rPr>
              <w:t xml:space="preserve">Case ID</w:t>
            </w:r>
          </w:p>
        </w:tc>
        <w:tc>
          <w:tcPr>
            <w:tcW w:type="dxa" w:w="6440"/>
            <w:tcMar>
              <w:top w:type="dxa" w:w="80"/>
              <w:left w:type="dxa" w:w="100"/>
              <w:bottom w:type="dxa" w:w="80"/>
              <w:right w:type="dxa" w:w="100"/>
            </w:tcMar>
          </w:tcPr>
          <w:p>
            <w:r>
              <w:rPr>
                <w:b w:val="false"/>
                <w:bCs w:val="false"/>
                <w:sz w:val="20"/>
                <w:szCs w:val="20"/>
              </w:rPr>
              <w:t xml:space="preserve">SCN-04-VULNSERVER</w:t>
            </w:r>
          </w:p>
        </w:tc>
      </w:tr>
      <w:tr>
        <w:tc>
          <w:tcPr>
            <w:tcW w:type="dxa" w:w="3200"/>
            <w:shd w:fill="F2F2F2" w:val="clear"/>
            <w:tcMar>
              <w:top w:type="dxa" w:w="80"/>
              <w:left w:type="dxa" w:w="100"/>
              <w:bottom w:type="dxa" w:w="80"/>
              <w:right w:type="dxa" w:w="100"/>
            </w:tcMar>
          </w:tcPr>
          <w:p>
            <w:r>
              <w:rPr>
                <w:b/>
                <w:bCs/>
                <w:sz w:val="20"/>
                <w:szCs w:val="20"/>
              </w:rPr>
              <w:t xml:space="preserve">Classification</w:t>
            </w:r>
          </w:p>
        </w:tc>
        <w:tc>
          <w:tcPr>
            <w:tcW w:type="dxa" w:w="6440"/>
            <w:tcMar>
              <w:top w:type="dxa" w:w="80"/>
              <w:left w:type="dxa" w:w="100"/>
              <w:bottom w:type="dxa" w:w="80"/>
              <w:right w:type="dxa" w:w="100"/>
            </w:tcMar>
          </w:tcPr>
          <w:p>
            <w:r>
              <w:rPr>
                <w:b w:val="false"/>
                <w:bCs w:val="false"/>
                <w:sz w:val="20"/>
                <w:szCs w:val="20"/>
              </w:rPr>
              <w:t xml:space="preserve">Internal Exercise — Vulnerability Management &amp; Patch-Lag Analysis</w:t>
            </w:r>
          </w:p>
        </w:tc>
      </w:tr>
      <w:tr>
        <w:tc>
          <w:tcPr>
            <w:tcW w:type="dxa" w:w="3200"/>
            <w:shd w:fill="F2F2F2" w:val="clear"/>
            <w:tcMar>
              <w:top w:type="dxa" w:w="80"/>
              <w:left w:type="dxa" w:w="100"/>
              <w:bottom w:type="dxa" w:w="80"/>
              <w:right w:type="dxa" w:w="100"/>
            </w:tcMar>
          </w:tcPr>
          <w:p>
            <w:r>
              <w:rPr>
                <w:b/>
                <w:bCs/>
                <w:sz w:val="20"/>
                <w:szCs w:val="20"/>
              </w:rPr>
              <w:t xml:space="preserve">Analyst</w:t>
            </w:r>
          </w:p>
        </w:tc>
        <w:tc>
          <w:tcPr>
            <w:tcW w:type="dxa" w:w="6440"/>
            <w:tcMar>
              <w:top w:type="dxa" w:w="80"/>
              <w:left w:type="dxa" w:w="100"/>
              <w:bottom w:type="dxa" w:w="80"/>
              <w:right w:type="dxa" w:w="100"/>
            </w:tcMar>
          </w:tcPr>
          <w:p>
            <w:r>
              <w:rPr>
                <w:b w:val="false"/>
                <w:bCs w:val="false"/>
                <w:sz w:val="20"/>
                <w:szCs w:val="20"/>
              </w:rPr>
              <w:t xml:space="preserve">Moses (SOC Analyst, Meridian Logistics Co.)</w:t>
            </w:r>
          </w:p>
        </w:tc>
      </w:tr>
      <w:tr>
        <w:tc>
          <w:tcPr>
            <w:tcW w:type="dxa" w:w="3200"/>
            <w:shd w:fill="F2F2F2" w:val="clear"/>
            <w:tcMar>
              <w:top w:type="dxa" w:w="80"/>
              <w:left w:type="dxa" w:w="100"/>
              <w:bottom w:type="dxa" w:w="80"/>
              <w:right w:type="dxa" w:w="100"/>
            </w:tcMar>
          </w:tcPr>
          <w:p>
            <w:r>
              <w:rPr>
                <w:b/>
                <w:bCs/>
                <w:sz w:val="20"/>
                <w:szCs w:val="20"/>
              </w:rPr>
              <w:t xml:space="preserve">Date of Exercise</w:t>
            </w:r>
          </w:p>
        </w:tc>
        <w:tc>
          <w:tcPr>
            <w:tcW w:type="dxa" w:w="6440"/>
            <w:tcMar>
              <w:top w:type="dxa" w:w="80"/>
              <w:left w:type="dxa" w:w="100"/>
              <w:bottom w:type="dxa" w:w="80"/>
              <w:right w:type="dxa" w:w="100"/>
            </w:tcMar>
          </w:tcPr>
          <w:p>
            <w:r>
              <w:rPr>
                <w:b w:val="false"/>
                <w:bCs w:val="false"/>
                <w:sz w:val="20"/>
                <w:szCs w:val="20"/>
              </w:rPr>
              <w:t xml:space="preserve">September 2026</w:t>
            </w:r>
          </w:p>
        </w:tc>
      </w:tr>
      <w:tr>
        <w:tc>
          <w:tcPr>
            <w:tcW w:type="dxa" w:w="3200"/>
            <w:shd w:fill="F2F2F2" w:val="clear"/>
            <w:tcMar>
              <w:top w:type="dxa" w:w="80"/>
              <w:left w:type="dxa" w:w="100"/>
              <w:bottom w:type="dxa" w:w="80"/>
              <w:right w:type="dxa" w:w="100"/>
            </w:tcMar>
          </w:tcPr>
          <w:p>
            <w:r>
              <w:rPr>
                <w:b/>
                <w:bCs/>
                <w:sz w:val="20"/>
                <w:szCs w:val="20"/>
              </w:rPr>
              <w:t xml:space="preserve">Target Asset</w:t>
            </w:r>
          </w:p>
        </w:tc>
        <w:tc>
          <w:tcPr>
            <w:tcW w:type="dxa" w:w="6440"/>
            <w:tcMar>
              <w:top w:type="dxa" w:w="80"/>
              <w:left w:type="dxa" w:w="100"/>
              <w:bottom w:type="dxa" w:w="80"/>
              <w:right w:type="dxa" w:w="100"/>
            </w:tcMar>
          </w:tcPr>
          <w:p>
            <w:r>
              <w:rPr>
                <w:b w:val="false"/>
                <w:bCs w:val="false"/>
                <w:sz w:val="20"/>
                <w:szCs w:val="20"/>
              </w:rPr>
              <w:t xml:space="preserve">DMZ-Web01 (10.20.0.10)</w:t>
            </w:r>
          </w:p>
        </w:tc>
      </w:tr>
      <w:tr>
        <w:tc>
          <w:tcPr>
            <w:tcW w:type="dxa" w:w="3200"/>
            <w:shd w:fill="F2F2F2" w:val="clear"/>
            <w:tcMar>
              <w:top w:type="dxa" w:w="80"/>
              <w:left w:type="dxa" w:w="100"/>
              <w:bottom w:type="dxa" w:w="80"/>
              <w:right w:type="dxa" w:w="100"/>
            </w:tcMar>
          </w:tcPr>
          <w:p>
            <w:r>
              <w:rPr>
                <w:b/>
                <w:bCs/>
                <w:sz w:val="20"/>
                <w:szCs w:val="20"/>
              </w:rPr>
              <w:t xml:space="preserve">Detection Source</w:t>
            </w:r>
          </w:p>
        </w:tc>
        <w:tc>
          <w:tcPr>
            <w:tcW w:type="dxa" w:w="6440"/>
            <w:tcMar>
              <w:top w:type="dxa" w:w="80"/>
              <w:left w:type="dxa" w:w="100"/>
              <w:bottom w:type="dxa" w:w="80"/>
              <w:right w:type="dxa" w:w="100"/>
            </w:tcMar>
          </w:tcPr>
          <w:p>
            <w:r>
              <w:rPr>
                <w:b w:val="false"/>
                <w:bCs w:val="false"/>
                <w:sz w:val="20"/>
                <w:szCs w:val="20"/>
              </w:rPr>
              <w:t xml:space="preserve">Wazuh Vulnerability Detection module</w:t>
            </w:r>
          </w:p>
        </w:tc>
      </w:tr>
      <w:tr>
        <w:tc>
          <w:tcPr>
            <w:tcW w:type="dxa" w:w="3200"/>
            <w:shd w:fill="F2F2F2" w:val="clear"/>
            <w:tcMar>
              <w:top w:type="dxa" w:w="80"/>
              <w:left w:type="dxa" w:w="100"/>
              <w:bottom w:type="dxa" w:w="80"/>
              <w:right w:type="dxa" w:w="100"/>
            </w:tcMar>
          </w:tcPr>
          <w:p>
            <w:r>
              <w:rPr>
                <w:b/>
                <w:bCs/>
                <w:sz w:val="20"/>
                <w:szCs w:val="20"/>
              </w:rPr>
              <w:t xml:space="preserve">MITRE ATT&amp;CK</w:t>
            </w:r>
          </w:p>
        </w:tc>
        <w:tc>
          <w:tcPr>
            <w:tcW w:type="dxa" w:w="6440"/>
            <w:tcMar>
              <w:top w:type="dxa" w:w="80"/>
              <w:left w:type="dxa" w:w="100"/>
              <w:bottom w:type="dxa" w:w="80"/>
              <w:right w:type="dxa" w:w="100"/>
            </w:tcMar>
          </w:tcPr>
          <w:p>
            <w:r>
              <w:rPr>
                <w:b w:val="false"/>
                <w:bCs w:val="false"/>
                <w:sz w:val="20"/>
                <w:szCs w:val="20"/>
              </w:rPr>
              <w:t xml:space="preserve">Not applicable — vulnerability management exercise, no active attack executed</w:t>
            </w:r>
          </w:p>
        </w:tc>
      </w:tr>
      <w:tr>
        <w:tc>
          <w:tcPr>
            <w:tcW w:type="dxa" w:w="3200"/>
            <w:shd w:fill="F2F2F2" w:val="clear"/>
            <w:tcMar>
              <w:top w:type="dxa" w:w="80"/>
              <w:left w:type="dxa" w:w="100"/>
              <w:bottom w:type="dxa" w:w="80"/>
              <w:right w:type="dxa" w:w="100"/>
            </w:tcMar>
          </w:tcPr>
          <w:p>
            <w:r>
              <w:rPr>
                <w:b/>
                <w:bCs/>
                <w:sz w:val="20"/>
                <w:szCs w:val="20"/>
              </w:rPr>
              <w:t xml:space="preserve">Status</w:t>
            </w:r>
          </w:p>
        </w:tc>
        <w:tc>
          <w:tcPr>
            <w:tcW w:type="dxa" w:w="6440"/>
            <w:tcMar>
              <w:top w:type="dxa" w:w="80"/>
              <w:left w:type="dxa" w:w="100"/>
              <w:bottom w:type="dxa" w:w="80"/>
              <w:right w:type="dxa" w:w="100"/>
            </w:tcMar>
          </w:tcPr>
          <w:p>
            <w:r>
              <w:rPr>
                <w:b w:val="false"/>
                <w:bCs w:val="false"/>
                <w:sz w:val="20"/>
                <w:szCs w:val="20"/>
              </w:rPr>
              <w:t xml:space="preserve">Complete — 4 confirmed CVSS 10.0 CVEs isolated and independently verified</w:t>
            </w:r>
          </w:p>
        </w:tc>
      </w:tr>
    </w:tbl>
    <w:p>
      <w:pPr>
        <w:spacing w:before="300"/>
      </w:pPr>
    </w:p>
    <w:p>
      <w:pPr>
        <w:pStyle w:val="Heading1"/>
        <w:spacing w:after="160" w:before="320"/>
      </w:pPr>
      <w:r>
        <w:t xml:space="preserve">1. Executive Summary</w:t>
      </w:r>
    </w:p>
    <w:p>
      <w:pPr>
        <w:spacing w:after="120"/>
      </w:pPr>
      <w:r>
        <w:t xml:space="preserve">This exercise represented the business scenario of unpatched, internet-facing infrastructure — a passive review rather than a simulated attack, since the objective was to validate Wazuh's automated vulnerability detection and CVE identification capability, and to practice triaging its output the way an analyst would in a real environment.</w:t>
      </w:r>
    </w:p>
    <w:p>
      <w:pPr>
        <w:spacing w:after="120"/>
      </w:pPr>
      <w:r>
        <w:t xml:space="preserve">The review surfaced 3,680 total findings on DMZ-Web01, heavily concentrated in two coexisting kernel package versions — itself a secondary finding, since the older kernel had never been purged after a prior upgrade, effectively doubling the reported vulnerability surface. Four confirmed CVSS 10.0 (Critical) CVEs were isolated, each independently verified against the Canonical Security Tracker, illustrating a realistic real-world patch lag.</w:t>
      </w:r>
    </w:p>
    <w:p>
      <w:pPr>
        <w:pStyle w:val="Heading1"/>
        <w:spacing w:after="160" w:before="320"/>
      </w:pPr>
      <w:r>
        <w:t xml:space="preserve">2. Scope and Methodology</w:t>
      </w:r>
    </w:p>
    <w:p>
      <w:pPr>
        <w:spacing w:after="120"/>
      </w:pPr>
      <w:r>
        <w:t xml:space="preserve">No attack was executed for this scenario. The existing Wazuh Vulnerability Detection scan data for DMZ-Web01 was reviewed directly via the dashboard (Endpoint security &gt; Vulnerability Detection — not under Server management, which the original project guide's navigation description implied). The module runs enabled by default in Wazuh 4.x and requires no additional configuration.</w:t>
      </w:r>
    </w:p>
    <w:p>
      <w:pPr>
        <w:spacing w:after="120"/>
      </w:pPr>
      <w:r>
        <w:t xml:space="preserve">Within the dashboard, severity filtering required using the “Add filter” control rather than the column-header dropdown, and adding vulnerability.score.base as a column required the “48 available fields” panel rather than the default “Columns” button, which only reorders or hides existing columns rather than adding new ones — both noted here as practical navigation lessons for anyone repeating this review.</w:t>
      </w:r>
    </w:p>
    <w:p>
      <w:pPr>
        <w:pStyle w:val="Heading1"/>
        <w:spacing w:after="160" w:before="320"/>
      </w:pPr>
      <w:r>
        <w:t xml:space="preserve">3. 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b w:val="false"/>
                <w:bCs w:val="false"/>
                <w:sz w:val="20"/>
                <w:szCs w:val="20"/>
              </w:rPr>
              <w:t xml:space="preserve">DMZ-Web01 (10.20.0.10)</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b w:val="false"/>
                <w:bCs w:val="false"/>
                <w:sz w:val="20"/>
                <w:szCs w:val="20"/>
              </w:rPr>
              <w:t xml:space="preserve">True positive — confirmed via independent vendor advisory lookup</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b w:val="false"/>
                <w:bCs w:val="false"/>
                <w:sz w:val="20"/>
                <w:szCs w:val="20"/>
              </w:rPr>
              <w:t xml:space="preserve">Wazuh Vulnerability Detection module (version-comparison based; no active exploitation observed or claimed)</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b w:val="false"/>
                <w:bCs w:val="false"/>
                <w:sz w:val="20"/>
                <w:szCs w:val="20"/>
              </w:rPr>
              <w:t xml:space="preserve">An internet-facing host running kernel-level Critical vulnerabilities is a direct path to full host compromise</w:t>
            </w:r>
          </w:p>
        </w:tc>
      </w:tr>
    </w:tbl>
    <w:p>
      <w:pPr>
        <w:pStyle w:val="Heading1"/>
        <w:spacing w:after="160" w:before="320"/>
      </w:pPr>
      <w:r>
        <w:t xml:space="preserve">4. Findings</w:t>
      </w:r>
    </w:p>
    <w:p>
      <w:pPr>
        <w:spacing w:after="120"/>
      </w:pPr>
      <w:r>
        <w:t xml:space="preserve">The scan returned 3,680 total findings across severity bands: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shd w:fill="1F3864" w:val="clear"/>
            <w:tcMar>
              <w:top w:type="dxa" w:w="80"/>
              <w:left w:type="dxa" w:w="100"/>
              <w:bottom w:type="dxa" w:w="80"/>
              <w:right w:type="dxa" w:w="100"/>
            </w:tcMar>
          </w:tcPr>
          <w:p>
            <w:r>
              <w:rPr>
                <w:b/>
                <w:bCs/>
                <w:color w:val="FFFFFF"/>
                <w:sz w:val="20"/>
                <w:szCs w:val="20"/>
              </w:rPr>
              <w:t xml:space="preserve">Severity</w:t>
            </w:r>
          </w:p>
        </w:tc>
        <w:tc>
          <w:tcPr>
            <w:tcW w:type="dxa" w:w="4820"/>
            <w:shd w:fill="1F3864" w:val="clear"/>
            <w:tcMar>
              <w:top w:type="dxa" w:w="80"/>
              <w:left w:type="dxa" w:w="100"/>
              <w:bottom w:type="dxa" w:w="80"/>
              <w:right w:type="dxa" w:w="100"/>
            </w:tcMar>
          </w:tcPr>
          <w:p>
            <w:r>
              <w:rPr>
                <w:b/>
                <w:bCs/>
                <w:color w:val="FFFFFF"/>
                <w:sz w:val="20"/>
                <w:szCs w:val="20"/>
              </w:rPr>
              <w:t xml:space="preserve">Count</w:t>
            </w:r>
          </w:p>
        </w:tc>
      </w:tr>
      <w:tr>
        <w:tc>
          <w:tcPr>
            <w:tcW w:type="dxa" w:w="4820"/>
            <w:tcMar>
              <w:top w:type="dxa" w:w="80"/>
              <w:left w:type="dxa" w:w="100"/>
              <w:bottom w:type="dxa" w:w="80"/>
              <w:right w:type="dxa" w:w="100"/>
            </w:tcMar>
          </w:tcPr>
          <w:p>
            <w:r>
              <w:rPr>
                <w:b w:val="false"/>
                <w:bCs w:val="false"/>
                <w:sz w:val="20"/>
                <w:szCs w:val="20"/>
              </w:rPr>
              <w:t xml:space="preserve">Critical</w:t>
            </w:r>
          </w:p>
        </w:tc>
        <w:tc>
          <w:tcPr>
            <w:tcW w:type="dxa" w:w="4820"/>
            <w:tcMar>
              <w:top w:type="dxa" w:w="80"/>
              <w:left w:type="dxa" w:w="100"/>
              <w:bottom w:type="dxa" w:w="80"/>
              <w:right w:type="dxa" w:w="100"/>
            </w:tcMar>
          </w:tcPr>
          <w:p>
            <w:r>
              <w:rPr>
                <w:b w:val="false"/>
                <w:bCs w:val="false"/>
                <w:sz w:val="20"/>
                <w:szCs w:val="20"/>
              </w:rPr>
              <w:t xml:space="preserve">352</w:t>
            </w:r>
          </w:p>
        </w:tc>
      </w:tr>
      <w:tr>
        <w:tc>
          <w:tcPr>
            <w:tcW w:type="dxa" w:w="4820"/>
            <w:tcMar>
              <w:top w:type="dxa" w:w="80"/>
              <w:left w:type="dxa" w:w="100"/>
              <w:bottom w:type="dxa" w:w="80"/>
              <w:right w:type="dxa" w:w="100"/>
            </w:tcMar>
          </w:tcPr>
          <w:p>
            <w:r>
              <w:rPr>
                <w:b w:val="false"/>
                <w:bCs w:val="false"/>
                <w:sz w:val="20"/>
                <w:szCs w:val="20"/>
              </w:rPr>
              <w:t xml:space="preserve">High</w:t>
            </w:r>
          </w:p>
        </w:tc>
        <w:tc>
          <w:tcPr>
            <w:tcW w:type="dxa" w:w="4820"/>
            <w:tcMar>
              <w:top w:type="dxa" w:w="80"/>
              <w:left w:type="dxa" w:w="100"/>
              <w:bottom w:type="dxa" w:w="80"/>
              <w:right w:type="dxa" w:w="100"/>
            </w:tcMar>
          </w:tcPr>
          <w:p>
            <w:r>
              <w:rPr>
                <w:b w:val="false"/>
                <w:bCs w:val="false"/>
                <w:sz w:val="20"/>
                <w:szCs w:val="20"/>
              </w:rPr>
              <w:t xml:space="preserve">1,666</w:t>
            </w:r>
          </w:p>
        </w:tc>
      </w:tr>
      <w:tr>
        <w:tc>
          <w:tcPr>
            <w:tcW w:type="dxa" w:w="4820"/>
            <w:tcMar>
              <w:top w:type="dxa" w:w="80"/>
              <w:left w:type="dxa" w:w="100"/>
              <w:bottom w:type="dxa" w:w="80"/>
              <w:right w:type="dxa" w:w="100"/>
            </w:tcMar>
          </w:tcPr>
          <w:p>
            <w:r>
              <w:rPr>
                <w:b w:val="false"/>
                <w:bCs w:val="false"/>
                <w:sz w:val="20"/>
                <w:szCs w:val="20"/>
              </w:rPr>
              <w:t xml:space="preserve">Medium</w:t>
            </w:r>
          </w:p>
        </w:tc>
        <w:tc>
          <w:tcPr>
            <w:tcW w:type="dxa" w:w="4820"/>
            <w:tcMar>
              <w:top w:type="dxa" w:w="80"/>
              <w:left w:type="dxa" w:w="100"/>
              <w:bottom w:type="dxa" w:w="80"/>
              <w:right w:type="dxa" w:w="100"/>
            </w:tcMar>
          </w:tcPr>
          <w:p>
            <w:r>
              <w:rPr>
                <w:b w:val="false"/>
                <w:bCs w:val="false"/>
                <w:sz w:val="20"/>
                <w:szCs w:val="20"/>
              </w:rPr>
              <w:t xml:space="preserve">328</w:t>
            </w:r>
          </w:p>
        </w:tc>
      </w:tr>
      <w:tr>
        <w:tc>
          <w:tcPr>
            <w:tcW w:type="dxa" w:w="4820"/>
            <w:tcMar>
              <w:top w:type="dxa" w:w="80"/>
              <w:left w:type="dxa" w:w="100"/>
              <w:bottom w:type="dxa" w:w="80"/>
              <w:right w:type="dxa" w:w="100"/>
            </w:tcMar>
          </w:tcPr>
          <w:p>
            <w:r>
              <w:rPr>
                <w:b w:val="false"/>
                <w:bCs w:val="false"/>
                <w:sz w:val="20"/>
                <w:szCs w:val="20"/>
              </w:rPr>
              <w:t xml:space="preserve">Low</w:t>
            </w:r>
          </w:p>
        </w:tc>
        <w:tc>
          <w:tcPr>
            <w:tcW w:type="dxa" w:w="4820"/>
            <w:tcMar>
              <w:top w:type="dxa" w:w="80"/>
              <w:left w:type="dxa" w:w="100"/>
              <w:bottom w:type="dxa" w:w="80"/>
              <w:right w:type="dxa" w:w="100"/>
            </w:tcMar>
          </w:tcPr>
          <w:p>
            <w:r>
              <w:rPr>
                <w:b w:val="false"/>
                <w:bCs w:val="false"/>
                <w:sz w:val="20"/>
                <w:szCs w:val="20"/>
              </w:rPr>
              <w:t xml:space="preserve">6</w:t>
            </w:r>
          </w:p>
        </w:tc>
      </w:tr>
      <w:tr>
        <w:tc>
          <w:tcPr>
            <w:tcW w:type="dxa" w:w="4820"/>
            <w:tcMar>
              <w:top w:type="dxa" w:w="80"/>
              <w:left w:type="dxa" w:w="100"/>
              <w:bottom w:type="dxa" w:w="80"/>
              <w:right w:type="dxa" w:w="100"/>
            </w:tcMar>
          </w:tcPr>
          <w:p>
            <w:r>
              <w:rPr>
                <w:b w:val="false"/>
                <w:bCs w:val="false"/>
                <w:sz w:val="20"/>
                <w:szCs w:val="20"/>
              </w:rPr>
              <w:t xml:space="preserve">Pending</w:t>
            </w:r>
          </w:p>
        </w:tc>
        <w:tc>
          <w:tcPr>
            <w:tcW w:type="dxa" w:w="4820"/>
            <w:tcMar>
              <w:top w:type="dxa" w:w="80"/>
              <w:left w:type="dxa" w:w="100"/>
              <w:bottom w:type="dxa" w:w="80"/>
              <w:right w:type="dxa" w:w="100"/>
            </w:tcMar>
          </w:tcPr>
          <w:p>
            <w:r>
              <w:rPr>
                <w:b w:val="false"/>
                <w:bCs w:val="false"/>
                <w:sz w:val="20"/>
                <w:szCs w:val="20"/>
              </w:rPr>
              <w:t xml:space="preserve">1,328</w:t>
            </w:r>
          </w:p>
        </w:tc>
      </w:tr>
    </w:tbl>
    <w:p>
      <w:pPr>
        <w:spacing w:before="200"/>
      </w:pPr>
    </w:p>
    <w:p>
      <w:pPr>
        <w:spacing w:after="120"/>
      </w:pPr>
      <w:r>
        <w:t xml:space="preserve">The overwhelming majority of findings were concentrated in two coexisting kernel package versions (7.0.0-30-generic and 7.0.0-31-generic, 1,840 findings apiece) — a secondary finding in its own right, since the older kernel package was never purged after a prior upgrade, meaning the host was carrying roughly double the reported vulnerability surface for no operational benefit.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4 — Wazuh Vulnerability Detection dashboard, severity breakdown ]</w:t>
            </w:r>
          </w:p>
        </w:tc>
      </w:tr>
    </w:tbl>
    <w:p>
      <w:pPr>
        <w:pStyle w:val="Heading1"/>
        <w:spacing w:after="160" w:before="320"/>
      </w:pPr>
      <w:r>
        <w:t xml:space="preserve">5. Confirmed Critical CVEs</w:t>
      </w:r>
    </w:p>
    <w:p>
      <w:pPr>
        <w:spacing w:after="120"/>
      </w:pPr>
      <w:r>
        <w:t xml:space="preserve">Four confirmed CVSS 10.0 (Critical) findings were isolated for detailed reporting, all published mid-August 2026 and detected roughly three weeks later — used here to illustrate a real-world patch-lag pattern. Detection was version-comparison based; no active exploitation was observed or claimed. Each was verified independently against the Canonical Security Tracker.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40"/>
      </w:tblGrid>
      <w:tr>
        <w:tc>
          <w:tcPr>
            <w:tcW w:type="dxa" w:w="1900"/>
            <w:shd w:fill="1F3864" w:val="clear"/>
            <w:tcMar>
              <w:top w:type="dxa" w:w="80"/>
              <w:left w:type="dxa" w:w="100"/>
              <w:bottom w:type="dxa" w:w="80"/>
              <w:right w:type="dxa" w:w="100"/>
            </w:tcMar>
          </w:tcPr>
          <w:p>
            <w:r>
              <w:rPr>
                <w:b/>
                <w:bCs/>
                <w:color w:val="FFFFFF"/>
                <w:sz w:val="20"/>
                <w:szCs w:val="20"/>
              </w:rPr>
              <w:t xml:space="preserve">CVE</w:t>
            </w:r>
          </w:p>
        </w:tc>
        <w:tc>
          <w:tcPr>
            <w:tcW w:type="dxa" w:w="2600"/>
            <w:shd w:fill="1F3864" w:val="clear"/>
            <w:tcMar>
              <w:top w:type="dxa" w:w="80"/>
              <w:left w:type="dxa" w:w="100"/>
              <w:bottom w:type="dxa" w:w="80"/>
              <w:right w:type="dxa" w:w="100"/>
            </w:tcMar>
          </w:tcPr>
          <w:p>
            <w:r>
              <w:rPr>
                <w:b/>
                <w:bCs/>
                <w:color w:val="FFFFFF"/>
                <w:sz w:val="20"/>
                <w:szCs w:val="20"/>
              </w:rPr>
              <w:t xml:space="preserve">Affected Package</w:t>
            </w:r>
          </w:p>
        </w:tc>
        <w:tc>
          <w:tcPr>
            <w:tcW w:type="dxa" w:w="5140"/>
            <w:shd w:fill="1F3864" w:val="clear"/>
            <w:tcMar>
              <w:top w:type="dxa" w:w="80"/>
              <w:left w:type="dxa" w:w="100"/>
              <w:bottom w:type="dxa" w:w="80"/>
              <w:right w:type="dxa" w:w="100"/>
            </w:tcMar>
          </w:tcPr>
          <w:p>
            <w:r>
              <w:rPr>
                <w:b/>
                <w:bCs/>
                <w:color w:val="FFFFFF"/>
                <w:sz w:val="20"/>
                <w:szCs w:val="20"/>
              </w:rPr>
              <w:t xml:space="preserve">Summary</w:t>
            </w:r>
          </w:p>
        </w:tc>
      </w:tr>
      <w:tr>
        <w:tc>
          <w:tcPr>
            <w:tcW w:type="dxa" w:w="1900"/>
            <w:tcMar>
              <w:top w:type="dxa" w:w="80"/>
              <w:left w:type="dxa" w:w="100"/>
              <w:bottom w:type="dxa" w:w="80"/>
              <w:right w:type="dxa" w:w="100"/>
            </w:tcMar>
          </w:tcPr>
          <w:p>
            <w:r>
              <w:rPr>
                <w:b w:val="false"/>
                <w:bCs w:val="false"/>
                <w:sz w:val="20"/>
                <w:szCs w:val="20"/>
              </w:rPr>
              <w:t xml:space="preserve">CVE-2026-74475</w:t>
            </w:r>
          </w:p>
        </w:tc>
        <w:tc>
          <w:tcPr>
            <w:tcW w:type="dxa" w:w="2600"/>
            <w:tcMar>
              <w:top w:type="dxa" w:w="80"/>
              <w:left w:type="dxa" w:w="100"/>
              <w:bottom w:type="dxa" w:w="80"/>
              <w:right w:type="dxa" w:w="100"/>
            </w:tcMar>
          </w:tcPr>
          <w:p>
            <w:r>
              <w:rPr>
                <w:b w:val="false"/>
                <w:bCs w:val="false"/>
                <w:sz w:val="20"/>
                <w:szCs w:val="20"/>
              </w:rPr>
              <w:t xml:space="preserve">kernel 7.0.0-30-generic</w:t>
            </w:r>
          </w:p>
        </w:tc>
        <w:tc>
          <w:tcPr>
            <w:tcW w:type="dxa" w:w="5140"/>
            <w:tcMar>
              <w:top w:type="dxa" w:w="80"/>
              <w:left w:type="dxa" w:w="100"/>
              <w:bottom w:type="dxa" w:w="80"/>
              <w:right w:type="dxa" w:w="100"/>
            </w:tcMar>
          </w:tcPr>
          <w:p>
            <w:r>
              <w:rPr>
                <w:b w:val="false"/>
                <w:bCs w:val="false"/>
                <w:sz w:val="20"/>
                <w:szCs w:val="20"/>
              </w:rPr>
              <w:t xml:space="preserve">vxlan/neighbor subsystem race condition</w:t>
            </w:r>
          </w:p>
        </w:tc>
      </w:tr>
      <w:tr>
        <w:tc>
          <w:tcPr>
            <w:tcW w:type="dxa" w:w="1900"/>
            <w:tcMar>
              <w:top w:type="dxa" w:w="80"/>
              <w:left w:type="dxa" w:w="100"/>
              <w:bottom w:type="dxa" w:w="80"/>
              <w:right w:type="dxa" w:w="100"/>
            </w:tcMar>
          </w:tcPr>
          <w:p>
            <w:r>
              <w:rPr>
                <w:b w:val="false"/>
                <w:bCs w:val="false"/>
                <w:sz w:val="20"/>
                <w:szCs w:val="20"/>
              </w:rPr>
              <w:t xml:space="preserve">CVE-2026-72421</w:t>
            </w:r>
          </w:p>
        </w:tc>
        <w:tc>
          <w:tcPr>
            <w:tcW w:type="dxa" w:w="2600"/>
            <w:tcMar>
              <w:top w:type="dxa" w:w="80"/>
              <w:left w:type="dxa" w:w="100"/>
              <w:bottom w:type="dxa" w:w="80"/>
              <w:right w:type="dxa" w:w="100"/>
            </w:tcMar>
          </w:tcPr>
          <w:p>
            <w:r>
              <w:rPr>
                <w:b w:val="false"/>
                <w:bCs w:val="false"/>
                <w:sz w:val="20"/>
                <w:szCs w:val="20"/>
              </w:rPr>
              <w:t xml:space="preserve">kernel 7.0.0-31-generic</w:t>
            </w:r>
          </w:p>
        </w:tc>
        <w:tc>
          <w:tcPr>
            <w:tcW w:type="dxa" w:w="5140"/>
            <w:tcMar>
              <w:top w:type="dxa" w:w="80"/>
              <w:left w:type="dxa" w:w="100"/>
              <w:bottom w:type="dxa" w:w="80"/>
              <w:right w:type="dxa" w:w="100"/>
            </w:tcMar>
          </w:tcPr>
          <w:p>
            <w:r>
              <w:rPr>
                <w:b w:val="false"/>
                <w:bCs w:val="false"/>
                <w:sz w:val="20"/>
                <w:szCs w:val="20"/>
              </w:rPr>
              <w:t xml:space="preserve">IPv4/fib table overwrite issue</w:t>
            </w:r>
          </w:p>
        </w:tc>
      </w:tr>
      <w:tr>
        <w:tc>
          <w:tcPr>
            <w:tcW w:type="dxa" w:w="1900"/>
            <w:tcMar>
              <w:top w:type="dxa" w:w="80"/>
              <w:left w:type="dxa" w:w="100"/>
              <w:bottom w:type="dxa" w:w="80"/>
              <w:right w:type="dxa" w:w="100"/>
            </w:tcMar>
          </w:tcPr>
          <w:p>
            <w:r>
              <w:rPr>
                <w:b w:val="false"/>
                <w:bCs w:val="false"/>
                <w:sz w:val="20"/>
                <w:szCs w:val="20"/>
              </w:rPr>
              <w:t xml:space="preserve">CVE-2026-74279</w:t>
            </w:r>
          </w:p>
        </w:tc>
        <w:tc>
          <w:tcPr>
            <w:tcW w:type="dxa" w:w="2600"/>
            <w:tcMar>
              <w:top w:type="dxa" w:w="80"/>
              <w:left w:type="dxa" w:w="100"/>
              <w:bottom w:type="dxa" w:w="80"/>
              <w:right w:type="dxa" w:w="100"/>
            </w:tcMar>
          </w:tcPr>
          <w:p>
            <w:r>
              <w:rPr>
                <w:b w:val="false"/>
                <w:bCs w:val="false"/>
                <w:sz w:val="20"/>
                <w:szCs w:val="20"/>
              </w:rPr>
              <w:t xml:space="preserve">kernel 7.0.0-31-generic</w:t>
            </w:r>
          </w:p>
        </w:tc>
        <w:tc>
          <w:tcPr>
            <w:tcW w:type="dxa" w:w="5140"/>
            <w:tcMar>
              <w:top w:type="dxa" w:w="80"/>
              <w:left w:type="dxa" w:w="100"/>
              <w:bottom w:type="dxa" w:w="80"/>
              <w:right w:type="dxa" w:w="100"/>
            </w:tcMar>
          </w:tcPr>
          <w:p>
            <w:r>
              <w:rPr>
                <w:b w:val="false"/>
                <w:bCs w:val="false"/>
                <w:sz w:val="20"/>
                <w:szCs w:val="20"/>
              </w:rPr>
              <w:t xml:space="preserve">crypto/cavium DMA memory leak</w:t>
            </w:r>
          </w:p>
        </w:tc>
      </w:tr>
      <w:tr>
        <w:tc>
          <w:tcPr>
            <w:tcW w:type="dxa" w:w="1900"/>
            <w:tcMar>
              <w:top w:type="dxa" w:w="80"/>
              <w:left w:type="dxa" w:w="100"/>
              <w:bottom w:type="dxa" w:w="80"/>
              <w:right w:type="dxa" w:w="100"/>
            </w:tcMar>
          </w:tcPr>
          <w:p>
            <w:r>
              <w:rPr>
                <w:b w:val="false"/>
                <w:bCs w:val="false"/>
                <w:sz w:val="20"/>
                <w:szCs w:val="20"/>
              </w:rPr>
              <w:t xml:space="preserve">CVE-2026-72408</w:t>
            </w:r>
          </w:p>
        </w:tc>
        <w:tc>
          <w:tcPr>
            <w:tcW w:type="dxa" w:w="2600"/>
            <w:tcMar>
              <w:top w:type="dxa" w:w="80"/>
              <w:left w:type="dxa" w:w="100"/>
              <w:bottom w:type="dxa" w:w="80"/>
              <w:right w:type="dxa" w:w="100"/>
            </w:tcMar>
          </w:tcPr>
          <w:p>
            <w:r>
              <w:rPr>
                <w:b w:val="false"/>
                <w:bCs w:val="false"/>
                <w:sz w:val="20"/>
                <w:szCs w:val="20"/>
              </w:rPr>
              <w:t xml:space="preserve">kernel 7.0.0-31-generic</w:t>
            </w:r>
          </w:p>
        </w:tc>
        <w:tc>
          <w:tcPr>
            <w:tcW w:type="dxa" w:w="5140"/>
            <w:tcMar>
              <w:top w:type="dxa" w:w="80"/>
              <w:left w:type="dxa" w:w="100"/>
              <w:bottom w:type="dxa" w:w="80"/>
              <w:right w:type="dxa" w:w="100"/>
            </w:tcMar>
          </w:tcPr>
          <w:p>
            <w:r>
              <w:rPr>
                <w:b w:val="false"/>
                <w:bCs w:val="false"/>
                <w:sz w:val="20"/>
                <w:szCs w:val="20"/>
              </w:rPr>
              <w:t xml:space="preserve">geneve GRO-hint handling bug</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4 — CVE detail views for the four confirmed CVSS 10.0 findings ]</w:t>
            </w:r>
          </w:p>
        </w:tc>
      </w:tr>
    </w:tbl>
    <w:p>
      <w:pPr>
        <w:pStyle w:val="Heading1"/>
        <w:spacing w:after="160" w:before="320"/>
      </w:pPr>
      <w:r>
        <w:t xml:space="preserve">6. MITRE ATT&amp;CK Mapping</w:t>
      </w:r>
    </w:p>
    <w:p>
      <w:pPr>
        <w:spacing w:after="120"/>
      </w:pPr>
      <w:r>
        <w:t xml:space="preserve">Not applicable in the standard sense — this scenario is a vulnerability-management exercise rather than a simulated adversary technique. The relevant framing is CVE/CVSS-based risk identification rather than MITRE ATT&amp;CK technique detection.</w:t>
      </w:r>
    </w:p>
    <w:p>
      <w:pPr>
        <w:pStyle w:val="Heading1"/>
        <w:spacing w:after="160" w:before="320"/>
      </w:pPr>
      <w:r>
        <w:t xml:space="preserve">7. Business Impact and Response Action</w:t>
      </w:r>
    </w:p>
    <w:p>
      <w:pPr>
        <w:spacing w:after="120"/>
      </w:pPr>
      <w:r>
        <w:t xml:space="preserve">An internet-facing host running kernel-level Critical vulnerabilities represents a direct path to full host compromise if any of the identified CVEs were to be actively exploited.</w:t>
      </w:r>
    </w:p>
    <w:p>
      <w:pPr>
        <w:pStyle w:val="ListParagraph"/>
        <w:numPr>
          <w:ilvl w:val="0"/>
          <w:numId w:val="1"/>
        </w:numPr>
        <w:spacing w:after="80"/>
      </w:pPr>
      <w:r>
        <w:t xml:space="preserve">Recommend patching to the current kernel package and removing the superseded package version entirely, eliminating the doubled vulnerability surface.</w:t>
      </w:r>
    </w:p>
    <w:p>
      <w:pPr>
        <w:pStyle w:val="ListParagraph"/>
        <w:numPr>
          <w:ilvl w:val="0"/>
          <w:numId w:val="1"/>
        </w:numPr>
        <w:spacing w:after="80"/>
      </w:pPr>
      <w:r>
        <w:t xml:space="preserve">Recommend establishing a defined patch-lag SLA for Critical findings on internet-facing systems, informed by the roughly three-week publish-to-detection gap observed here.</w:t>
      </w:r>
    </w:p>
    <w:p>
      <w:pPr>
        <w:pStyle w:val="Heading1"/>
        <w:spacing w:after="160" w:before="320"/>
      </w:pPr>
      <w:r>
        <w:t xml:space="preserve">8. Conclusion</w:t>
      </w:r>
    </w:p>
    <w:p>
      <w:pPr>
        <w:spacing w:after="120"/>
      </w:pPr>
      <w:r>
        <w:t xml:space="preserve">This scenario required no active attack to produce a meaningful result — it demonstrated that passive vulnerability data, properly triaged, surfaces real operational findings on its own, in this case an unnecessarily doubled vulnerability surface caused by routine upgrade hygiene being skipped. The four confirmed Critical CVEs and their independently verified patch-lag timeline round out a complete vulnerability-management narrative for the portfolio.</w:t>
      </w:r>
    </w:p>
    <w:p>
      <w:pPr>
        <w:spacing w:before="300"/>
      </w:pPr>
      <w:r>
        <w:rPr>
          <w:i/>
          <w:iCs/>
          <w:sz w:val="18"/>
          <w:szCs w:val="18"/>
        </w:rPr>
        <w:t xml:space="preserve">Screenshots: see project screenshot directory screenshots/scenario-04-vulnerable-server/.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2026-09-16T21:49:14.564Z</dcterms:created>
  <dcterms:modified xsi:type="dcterms:W3CDTF">2026-09-16T21:49:14.564Z</dcterms:modified>
</cp:coreProperties>
</file>

<file path=docProps/custom.xml><?xml version="1.0" encoding="utf-8"?>
<Properties xmlns="http://schemas.openxmlformats.org/officeDocument/2006/custom-properties" xmlns:vt="http://schemas.openxmlformats.org/officeDocument/2006/docPropsVTypes"/>
</file>