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24"/>
          <w:szCs w:val="24"/>
        </w:rPr>
      </w:pPr>
      <w:bookmarkStart w:colFirst="0" w:colLast="0" w:name="_fd8prxjvk5se" w:id="0"/>
      <w:bookmarkEnd w:id="0"/>
      <w:r w:rsidDel="00000000" w:rsidR="00000000" w:rsidRPr="00000000">
        <w:rPr>
          <w:b w:val="1"/>
          <w:sz w:val="28"/>
          <w:szCs w:val="28"/>
          <w:rtl w:val="0"/>
        </w:rPr>
        <w:t xml:space="preserve">Spectogram  (10 min) </w:t>
        <w:br w:type="textWrapping"/>
      </w:r>
      <w:r w:rsidDel="00000000" w:rsidR="00000000" w:rsidRPr="00000000">
        <w:rPr>
          <w:sz w:val="24"/>
          <w:szCs w:val="24"/>
          <w:rtl w:val="0"/>
        </w:rPr>
        <w:t xml:space="preserve">Introduction + Activity </w:t>
        <w:br w:type="textWrapping"/>
      </w:r>
    </w:p>
    <w:p w:rsidR="00000000" w:rsidDel="00000000" w:rsidP="00000000" w:rsidRDefault="00000000" w:rsidRPr="00000000">
      <w:pPr>
        <w:contextualSpacing w:val="0"/>
        <w:rPr/>
      </w:pPr>
      <w:r w:rsidDel="00000000" w:rsidR="00000000" w:rsidRPr="00000000">
        <w:rPr>
          <w:rtl w:val="0"/>
        </w:rPr>
        <w:t xml:space="preserve">This is an interactive activity - we call is Spectrogram - to introduce some ideas around high speed internet connections, gauge understanding within the larger group, and begin to begin a discussion around high speed networks for community benefit.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This activity is a great way to get people “talking” without necessarily having to speak.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There are two options for running this activity: </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Option 1: Ask participants to stand. Call out three spots in the room - one for agree; one for disagree; and one for neutral.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Option 2:Give each participant three cards - one red, one yellow, and one green, with green representing agreement, yellow representing neutral, and red representing disagreement.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a prompt and ask participants to respond by moving/showing a colored card.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After they’ve had time to respond, ask if anyone wants to share why they agreed/disagreed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you go through these and discuss responses/reactions, let everyone know they should feel free to move/ change their color cards if they change their minds while hearing from others.  </w:t>
      </w:r>
    </w:p>
    <w:p w:rsidR="00000000" w:rsidDel="00000000" w:rsidP="00000000" w:rsidRDefault="00000000" w:rsidRPr="00000000">
      <w:pPr>
        <w:contextualSpacing w:val="0"/>
        <w:rPr>
          <w:sz w:val="18"/>
          <w:szCs w:val="1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w:t>
      </w:r>
      <w:r w:rsidDel="00000000" w:rsidR="00000000" w:rsidRPr="00000000">
        <w:rPr>
          <w:rtl w:val="0"/>
        </w:rPr>
        <w:t xml:space="preserve">tart with an easy one as an example (tailor to audience)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Use as an Example: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Joe’s has the best barbeque in Kansas City.</w:t>
      </w:r>
      <w:r w:rsidDel="00000000" w:rsidR="00000000" w:rsidRPr="00000000">
        <w:rPr>
          <w:rtl w:val="0"/>
        </w:rPr>
        <w:t xml:space="preserve"> [Customize for your setting.]</w:t>
      </w: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Gig 101 Prompts: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High speed networks are improving quality of life and impacting communities in positive ways.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High speed internet networks are creating new opportunities for my students/community.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Technology has the largest influence in shaping the future of learning.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 feel comfortable talking about emerging technologies. </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It's easy to find people and resources to help me understand, build with, and </w:t>
      </w:r>
      <w:r w:rsidDel="00000000" w:rsidR="00000000" w:rsidRPr="00000000">
        <w:rPr>
          <w:b w:val="1"/>
          <w:rtl w:val="0"/>
        </w:rPr>
        <w:t xml:space="preserve">use </w:t>
      </w:r>
      <w:r w:rsidDel="00000000" w:rsidR="00000000" w:rsidRPr="00000000">
        <w:rPr>
          <w:b w:val="1"/>
          <w:rtl w:val="0"/>
        </w:rPr>
        <w:t xml:space="preserve">emerging </w:t>
      </w: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People I work with are excited about the potential of technology.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Facilitation tips:</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you move from question to question, do a think-aloud so participants know you’re paying attention to what interests them. For example, say something like, “Wow, there was a lot of heat around that last question, so let’s consider a related prompt...,” and then ask a question that makes sense as a follow-up.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Follow the group’s interest in your topics; avoid rushing to cover every prompt; let go of the specific prompts or order of questions you picked before the event.</w:t>
      </w:r>
    </w:p>
    <w:p w:rsidR="00000000" w:rsidDel="00000000" w:rsidP="00000000" w:rsidRDefault="00000000" w:rsidRPr="00000000">
      <w:pPr>
        <w:pStyle w:val="Heading1"/>
        <w:contextualSpacing w:val="0"/>
        <w:rPr>
          <w:b w:val="1"/>
          <w:sz w:val="28"/>
          <w:szCs w:val="28"/>
        </w:rPr>
      </w:pPr>
      <w:bookmarkStart w:colFirst="0" w:colLast="0" w:name="_ae3vy6qh0p2i" w:id="1"/>
      <w:bookmarkEnd w:id="1"/>
      <w:r w:rsidDel="00000000" w:rsidR="00000000" w:rsidRPr="00000000">
        <w:rPr>
          <w:b w:val="1"/>
          <w:sz w:val="28"/>
          <w:szCs w:val="28"/>
          <w:rtl w:val="0"/>
        </w:rPr>
        <w:t xml:space="preserve">Quick Reflection (2 min) </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Facilitation tip:</w:t>
      </w:r>
      <w:r w:rsidDel="00000000" w:rsidR="00000000" w:rsidRPr="00000000">
        <w:rPr>
          <w:rtl w:val="0"/>
        </w:rPr>
        <w:t xml:space="preserve"> Thank the group for participating and emphasize how great it was to see all the energy in the room; </w:t>
      </w:r>
      <w:r w:rsidDel="00000000" w:rsidR="00000000" w:rsidRPr="00000000">
        <w:rPr>
          <w:rtl w:val="0"/>
        </w:rPr>
        <w:t xml:space="preserve">don’t overpraise the spoken conversation</w:t>
      </w:r>
      <w:r w:rsidDel="00000000" w:rsidR="00000000" w:rsidRPr="00000000">
        <w:rPr>
          <w:rtl w:val="0"/>
        </w:rPr>
        <w:t xml:space="preserve">; this is supposed to be a safe activity for people to speak and vote with their cards, as well.</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Connect the dots</w:t>
      </w:r>
      <w:r w:rsidDel="00000000" w:rsidR="00000000" w:rsidRPr="00000000">
        <w:rPr>
          <w:b w:val="1"/>
          <w:rtl w:val="0"/>
        </w:rPr>
        <w:t xml:space="preserve">:</w:t>
      </w:r>
      <w:r w:rsidDel="00000000" w:rsidR="00000000" w:rsidRPr="00000000">
        <w:rPr>
          <w:rtl w:val="0"/>
        </w:rPr>
        <w:t xml:space="preserve"> If you had a lot of groupings around community benefits, say something like, “We spent a lot of time considering how high speed networks could impact our communities. Keep those things in mind tonight when we’re discussing the role you could play teaching others about what you’ve learned tonight.” If there were a lot of folks who understood about next gen tech already, consider discussing their current mode of finding resources that could help them learn how more about next gen technologies.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This is a remix of the </w:t>
      </w:r>
      <w:hyperlink r:id="rId5">
        <w:r w:rsidDel="00000000" w:rsidR="00000000" w:rsidRPr="00000000">
          <w:rPr>
            <w:color w:val="1155cc"/>
            <w:u w:val="single"/>
            <w:rtl w:val="0"/>
          </w:rPr>
          <w:t xml:space="preserve">spectogram activity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CC-BY </w:t>
      </w:r>
      <w:hyperlink r:id="rId6">
        <w:r w:rsidDel="00000000" w:rsidR="00000000" w:rsidRPr="00000000">
          <w:rPr>
            <w:rFonts w:ascii="Courier New" w:cs="Courier New" w:eastAsia="Courier New" w:hAnsi="Courier New"/>
            <w:color w:val="1155cc"/>
            <w:sz w:val="16"/>
            <w:szCs w:val="16"/>
            <w:u w:val="single"/>
            <w:rtl w:val="0"/>
          </w:rPr>
          <w:t xml:space="preserve">Mozilla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6"/>
          <w:szCs w:val="16"/>
          <w:rtl w:val="0"/>
        </w:rPr>
        <w:t xml:space="preserve">Help us improve this activity! Contact </w:t>
      </w:r>
      <w:hyperlink r:id="rId7">
        <w:r w:rsidDel="00000000" w:rsidR="00000000" w:rsidRPr="00000000">
          <w:rPr>
            <w:rFonts w:ascii="Courier New" w:cs="Courier New" w:eastAsia="Courier New" w:hAnsi="Courier New"/>
            <w:color w:val="1155cc"/>
            <w:sz w:val="16"/>
            <w:szCs w:val="16"/>
            <w:u w:val="single"/>
            <w:rtl w:val="0"/>
          </w:rPr>
          <w:t xml:space="preserve">the Gigabit Team</w:t>
        </w:r>
      </w:hyperlink>
      <w:r w:rsidDel="00000000" w:rsidR="00000000" w:rsidRPr="00000000">
        <w:rPr>
          <w:rFonts w:ascii="Courier New" w:cs="Courier New" w:eastAsia="Courier New" w:hAnsi="Courier New"/>
          <w:sz w:val="16"/>
          <w:szCs w:val="16"/>
          <w:rtl w:val="0"/>
        </w:rPr>
        <w:t xml:space="preserve"> at Mozilla.</w:t>
      </w: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4224338</wp:posOffset>
          </wp:positionH>
          <wp:positionV relativeFrom="paragraph">
            <wp:posOffset>66675</wp:posOffset>
          </wp:positionV>
          <wp:extent cx="1719263" cy="511132"/>
          <wp:effectExtent b="0" l="0" r="0" t="0"/>
          <wp:wrapSquare wrapText="bothSides" distB="0" distT="0" distL="0" distR="0"/>
          <wp:docPr descr="mozillanewlogo.jpg" id="1" name="image2.jpg"/>
          <a:graphic>
            <a:graphicData uri="http://schemas.openxmlformats.org/drawingml/2006/picture">
              <pic:pic>
                <pic:nvPicPr>
                  <pic:cNvPr descr="mozillanewlogo.jpg" id="0" name="image2.jpg"/>
                  <pic:cNvPicPr preferRelativeResize="0"/>
                </pic:nvPicPr>
                <pic:blipFill>
                  <a:blip r:embed="rId1"/>
                  <a:srcRect b="19117" l="0" r="0" t="25000"/>
                  <a:stretch>
                    <a:fillRect/>
                  </a:stretch>
                </pic:blipFill>
                <pic:spPr>
                  <a:xfrm>
                    <a:off x="0" y="0"/>
                    <a:ext cx="1719263" cy="51113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uDILpx2I6rQIdtsZv5X05roiCQQkjgiLFhIbvLLWBLk/edit?usp=sharing" TargetMode="External"/><Relationship Id="rId6" Type="http://schemas.openxmlformats.org/officeDocument/2006/relationships/hyperlink" Target="https://learning.mozilla.org" TargetMode="External"/><Relationship Id="rId7" Type="http://schemas.openxmlformats.org/officeDocument/2006/relationships/hyperlink" Target="mailto:gigabit@mozilla.com"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