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F74CE5" w14:textId="77777777" w:rsidR="0038556F" w:rsidRDefault="00FD4B78">
      <w:pPr>
        <w:pStyle w:val="Title"/>
      </w:pPr>
      <w:r>
        <w:t>Microbiota-based model improves the sensitivity for detecting colonic lesions</w:t>
      </w:r>
    </w:p>
    <w:p w14:paraId="564DAF47" w14:textId="77777777" w:rsidR="0038556F" w:rsidRDefault="00FD4B78" w:rsidP="006E4AA0">
      <w:pPr>
        <w:jc w:val="left"/>
      </w:pPr>
      <w:r>
        <w:rPr>
          <w:b/>
        </w:rPr>
        <w:t>Authors:</w:t>
      </w:r>
      <w:r>
        <w:t xml:space="preserve"> 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14:paraId="7D4A1892" w14:textId="77777777" w:rsidR="0038556F" w:rsidRDefault="00FD4B78" w:rsidP="006E4AA0">
      <w:pPr>
        <w:jc w:val="left"/>
      </w:pPr>
      <w:r>
        <w:rPr>
          <w:b/>
        </w:rPr>
        <w:t>Affiliations:</w:t>
      </w:r>
      <w:r>
        <w:br/>
      </w:r>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 xml:space="preserve">To whom correspondence should be addressed: </w:t>
      </w:r>
      <w:hyperlink r:id="rId8">
        <w:r>
          <w:rPr>
            <w:rStyle w:val="Link"/>
          </w:rPr>
          <w:t>pschloss@umich.edu</w:t>
        </w:r>
      </w:hyperlink>
    </w:p>
    <w:p w14:paraId="1E9D9AD1" w14:textId="77777777" w:rsidR="006E4AA0" w:rsidRDefault="006E4AA0">
      <w:pPr>
        <w:pStyle w:val="Heading3"/>
        <w:sectPr w:rsidR="006E4AA0" w:rsidSect="00A77E29">
          <w:footerReference w:type="even" r:id="rId9"/>
          <w:footerReference w:type="default" r:id="rId10"/>
          <w:pgSz w:w="12240" w:h="15840"/>
          <w:pgMar w:top="1440" w:right="1440" w:bottom="1440" w:left="1440" w:header="720" w:footer="720" w:gutter="0"/>
          <w:lnNumType w:countBy="1" w:restart="continuous"/>
          <w:cols w:space="720"/>
        </w:sectPr>
      </w:pPr>
      <w:bookmarkStart w:id="0" w:name="abstract"/>
      <w:bookmarkEnd w:id="0"/>
    </w:p>
    <w:p w14:paraId="1F490E7B" w14:textId="77777777" w:rsidR="0038556F" w:rsidRDefault="00FD4B78" w:rsidP="006E4AA0">
      <w:pPr>
        <w:pStyle w:val="Heading3"/>
        <w:spacing w:before="360" w:after="180"/>
      </w:pPr>
      <w:r>
        <w:lastRenderedPageBreak/>
        <w:t>Abstract</w:t>
      </w:r>
    </w:p>
    <w:p w14:paraId="50BD5442" w14:textId="77777777" w:rsidR="0038556F" w:rsidRDefault="00FD4B78" w:rsidP="006E4AA0">
      <w:pPr>
        <w:spacing w:before="360"/>
      </w:pPr>
      <w:r>
        <w:rPr>
          <w:b/>
        </w:rPr>
        <w:t>Background</w:t>
      </w:r>
      <w:r>
        <w:br/>
        <w:t xml:space="preserve">Colorectal cancer is the second leading cause of death among cancers in the United States. Although individuals diagnosed early have a greater than 90% chance of survival, more than one-third of individuals do not adhere to screening recommendations partly because the standard diagnostics, colonoscopy and </w:t>
      </w:r>
      <w:proofErr w:type="spellStart"/>
      <w:r>
        <w:t>sigmoidoscopy</w:t>
      </w:r>
      <w:proofErr w:type="spellEnd"/>
      <w:r>
        <w:t>, are expensive and invasive. Thus, there is a great need to improve the sensitivity of non-invasive tests to detect early stage cancers and adenomas. Numerous studies have identified shifts in the composition of the gut microbiota associated with the progression of colorectal cancer, suggesting that the gut microbiota may represent a reservoir of biomarkers that would complement existing non-invasive methods such as the widely used fecal immunochemical test (FIT).</w:t>
      </w:r>
    </w:p>
    <w:p w14:paraId="0A563E13" w14:textId="77777777" w:rsidR="0038556F" w:rsidRDefault="00FD4B78" w:rsidP="006E4AA0">
      <w:pPr>
        <w:spacing w:before="360"/>
      </w:pPr>
      <w:r>
        <w:rPr>
          <w:b/>
        </w:rPr>
        <w:t>Methods</w:t>
      </w:r>
      <w:r>
        <w:br/>
        <w:t>We sequenced the 16S rRNA genes from the stool samples of 490 patients. We used the relative abundances of the bacterial populations within each sample to develop a cross-validated random forest classification model that detects colonic lesions using the relative abundance of gut microbiota and the concentration of hemoglobin in stool.</w:t>
      </w:r>
    </w:p>
    <w:p w14:paraId="29980711" w14:textId="77777777" w:rsidR="0038556F" w:rsidRDefault="00FD4B78" w:rsidP="006E4AA0">
      <w:pPr>
        <w:spacing w:before="360"/>
      </w:pPr>
      <w:r>
        <w:rPr>
          <w:b/>
        </w:rPr>
        <w:t>Results</w:t>
      </w:r>
      <w:r>
        <w:br/>
        <w:t xml:space="preserve">The microbiota-based random forest model detected 95.0% of cancers and 57.1% of adenomas while FIT alone detected 75.0% and 15.7%, respectively. Of the colonic lesions missed by FIT, the model detected 80.0% of cancers and 49.1% of adenomas. We confirmed known </w:t>
      </w:r>
      <w:proofErr w:type="spellStart"/>
      <w:r>
        <w:t>assocaitions</w:t>
      </w:r>
      <w:proofErr w:type="spellEnd"/>
      <w:r>
        <w:t xml:space="preserve"> of </w:t>
      </w:r>
      <w:proofErr w:type="spellStart"/>
      <w:r>
        <w:rPr>
          <w:i/>
        </w:rPr>
        <w:t>Porphyromonas</w:t>
      </w:r>
      <w:proofErr w:type="spellEnd"/>
      <w:r>
        <w:rPr>
          <w:i/>
        </w:rPr>
        <w:t xml:space="preserve"> </w:t>
      </w:r>
      <w:proofErr w:type="spellStart"/>
      <w:r>
        <w:rPr>
          <w:i/>
        </w:rPr>
        <w:t>assaccharolytica</w:t>
      </w:r>
      <w:proofErr w:type="spellEnd"/>
      <w:r>
        <w:t xml:space="preserve">, </w:t>
      </w:r>
      <w:proofErr w:type="spellStart"/>
      <w:r>
        <w:rPr>
          <w:i/>
        </w:rPr>
        <w:t>Peptostreptococcus</w:t>
      </w:r>
      <w:proofErr w:type="spellEnd"/>
      <w:r>
        <w:rPr>
          <w:i/>
        </w:rPr>
        <w:t xml:space="preserve"> </w:t>
      </w:r>
      <w:proofErr w:type="spellStart"/>
      <w:r>
        <w:rPr>
          <w:i/>
        </w:rPr>
        <w:t>stomatis</w:t>
      </w:r>
      <w:proofErr w:type="spellEnd"/>
      <w:r>
        <w:t xml:space="preserve">, </w:t>
      </w:r>
      <w:proofErr w:type="spellStart"/>
      <w:r>
        <w:rPr>
          <w:i/>
        </w:rPr>
        <w:lastRenderedPageBreak/>
        <w:t>Parvimonas</w:t>
      </w:r>
      <w:proofErr w:type="spellEnd"/>
      <w:r>
        <w:rPr>
          <w:i/>
        </w:rPr>
        <w:t xml:space="preserve"> </w:t>
      </w:r>
      <w:proofErr w:type="spellStart"/>
      <w:r>
        <w:rPr>
          <w:i/>
        </w:rPr>
        <w:t>micra</w:t>
      </w:r>
      <w:proofErr w:type="spellEnd"/>
      <w:r>
        <w:t xml:space="preserve">, and </w:t>
      </w:r>
      <w:r>
        <w:rPr>
          <w:i/>
        </w:rPr>
        <w:t>Fusobacterium nucleatum</w:t>
      </w:r>
      <w:r>
        <w:t xml:space="preserve"> with CRC. Yet, we found that the loss of potentially beneficial organisms, such as members of the Lachnospiraceae, was more predictive for identifying patients with adenomas when used in combination with FIT.</w:t>
      </w:r>
    </w:p>
    <w:p w14:paraId="4A2990C4" w14:textId="39952835" w:rsidR="00783DE5" w:rsidRDefault="00FD4B78" w:rsidP="006E4AA0">
      <w:pPr>
        <w:spacing w:before="360"/>
        <w:sectPr w:rsidR="00783DE5" w:rsidSect="00A77E29">
          <w:pgSz w:w="12240" w:h="15840"/>
          <w:pgMar w:top="1440" w:right="1440" w:bottom="1440" w:left="1440" w:header="720" w:footer="720" w:gutter="0"/>
          <w:lnNumType w:countBy="1" w:restart="continuous"/>
          <w:cols w:space="720"/>
        </w:sectPr>
      </w:pPr>
      <w:r>
        <w:rPr>
          <w:b/>
        </w:rPr>
        <w:t>Conclusions</w:t>
      </w:r>
      <w:r>
        <w:br/>
        <w:t>These findings demonstrate the potential for microbiota analysis to complement existing screening methods to improve detection of colonic lesions.</w:t>
      </w:r>
    </w:p>
    <w:p w14:paraId="53A3228B" w14:textId="77777777" w:rsidR="0038556F" w:rsidRDefault="00FD4B78" w:rsidP="006E4AA0">
      <w:pPr>
        <w:pStyle w:val="Heading3"/>
        <w:spacing w:before="360" w:after="180"/>
      </w:pPr>
      <w:bookmarkStart w:id="1" w:name="background"/>
      <w:bookmarkEnd w:id="1"/>
      <w:r>
        <w:lastRenderedPageBreak/>
        <w:t>Background</w:t>
      </w:r>
    </w:p>
    <w:p w14:paraId="347110E1" w14:textId="77777777" w:rsidR="0038556F" w:rsidRDefault="00FD4B78" w:rsidP="006E4AA0">
      <w:pPr>
        <w:spacing w:before="360"/>
      </w:pPr>
      <w:r>
        <w:t xml:space="preserve">Colorectal cancer mortality has steadily declined in recent decades, due in large part to increased screening [1]. Yet current screening tests, the fecal immunochemical test (FIT) and the </w:t>
      </w:r>
      <w:proofErr w:type="spellStart"/>
      <w:r>
        <w:t>multitarget</w:t>
      </w:r>
      <w:proofErr w:type="spellEnd"/>
      <w:r>
        <w:t xml:space="preserve"> DNA test, have a sensitivity of 7.6% and 17.2%, respectively, for detecting non-advanced adenoma – just the type of early lesion that screening is meant to identify [2]. Although structural exams including colonoscopy and </w:t>
      </w:r>
      <w:proofErr w:type="spellStart"/>
      <w:r>
        <w:t>sigmoidoscopy</w:t>
      </w:r>
      <w:proofErr w:type="spellEnd"/>
      <w:r>
        <w:t xml:space="preserve"> are able to detect both adenomas and carcinomas, the high cost and invasive nature are barriers for many people. Fear, discomfort, and embarrassment are among the most cited reasons patients choose to forego CRC screening [3]. Likewise the large disparity in screening rates between those with and without health insurance highlights the need for inexpensive screening methods [1, 4, 5]. Unfortunately cheaper, less invasive stool-based tests like </w:t>
      </w:r>
      <w:proofErr w:type="spellStart"/>
      <w:r>
        <w:t>guaic</w:t>
      </w:r>
      <w:proofErr w:type="spellEnd"/>
      <w:r>
        <w:t xml:space="preserve"> fecal occult blood test and FIT are unable to reliably detect adenomas [6]. The newly introduced stool DNA panel has improved accuracy compared to FIT, but is still limited in its ability to accurately detect adenomas [2]. Thus there is need for novel screening methods that are inexpensive and capable of detecting both cancer and adenomas.</w:t>
      </w:r>
    </w:p>
    <w:p w14:paraId="70A14E2B" w14:textId="77777777" w:rsidR="0038556F" w:rsidRDefault="00FD4B78" w:rsidP="006E4AA0">
      <w:pPr>
        <w:spacing w:before="360"/>
      </w:pPr>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 [7–11]. Experiments in animal models have demonstrated that such alterations have the potential to accelerate tumorigenesis [12]. Furthermore, several members of the gut microbiota have been shown to potentiate both the development and progression of CRC by a variety of mechanisms [13–15]. Although each of these organisms may play a role in certain cases of </w:t>
      </w:r>
      <w:r>
        <w:lastRenderedPageBreak/>
        <w:t xml:space="preserve">CRC, none of them is present in every case. Therefore we postulate that no one organism is an effective biomarker on its own and that focusing on a single bacterial population excludes the potential that the microbial etiology of the disease is actually </w:t>
      </w:r>
      <w:proofErr w:type="spellStart"/>
      <w:r>
        <w:t>polymicrobial</w:t>
      </w:r>
      <w:proofErr w:type="spellEnd"/>
      <w:r>
        <w:t>.</w:t>
      </w:r>
    </w:p>
    <w:p w14:paraId="7740BDEE" w14:textId="50F54B7D" w:rsidR="0038556F" w:rsidRDefault="00FD4B78" w:rsidP="006E4AA0">
      <w:pPr>
        <w:spacing w:before="360"/>
      </w:pPr>
      <w:r>
        <w:t xml:space="preserve">Two recent studies used statistical models that take into account the abundances of multiple bacterial species and the results of </w:t>
      </w:r>
      <w:proofErr w:type="spellStart"/>
      <w:r>
        <w:t>guaic</w:t>
      </w:r>
      <w:proofErr w:type="spellEnd"/>
      <w:r>
        <w:t xml:space="preserve"> fecal occult blood test (</w:t>
      </w:r>
      <w:proofErr w:type="spellStart"/>
      <w:r>
        <w:t>gFOBT</w:t>
      </w:r>
      <w:proofErr w:type="spellEnd"/>
      <w:r>
        <w:t xml:space="preserve">) to distinguish healthy individuals from those with CRC [16, 17]. The analysis by </w:t>
      </w:r>
      <w:proofErr w:type="spellStart"/>
      <w:r>
        <w:t>Zackular</w:t>
      </w:r>
      <w:proofErr w:type="spellEnd"/>
      <w:r>
        <w:t xml:space="preserve"> et al. [16] used samples from a limited number of subjects (N=30 normal, 30 adenoma, and 30 carcinoma), while that of Zeller et al [17] had a larger cohort from multiple clinical sites (N=156 and N=335). A shortcoming of the Zeller study was the pooling of subjects with non-advanced adenomas with control subjects as well as the exclusion of subjects with advanced adenomas. A limitation of both studies was that they relied on </w:t>
      </w:r>
      <w:proofErr w:type="spellStart"/>
      <w:r>
        <w:t>gFOBT</w:t>
      </w:r>
      <w:proofErr w:type="spellEnd"/>
      <w:r>
        <w:t xml:space="preserve"> rather than FIT to detect hemoglobin in stool. FIT provides a </w:t>
      </w:r>
      <w:proofErr w:type="spellStart"/>
      <w:r>
        <w:t>quantitatve</w:t>
      </w:r>
      <w:proofErr w:type="spellEnd"/>
      <w:r>
        <w:t xml:space="preserve"> </w:t>
      </w:r>
      <w:r w:rsidR="00A77E29">
        <w:t xml:space="preserve">measure </w:t>
      </w:r>
      <w:r>
        <w:t xml:space="preserve">of hemoglobin concentrations and has largely replaced </w:t>
      </w:r>
      <w:proofErr w:type="spellStart"/>
      <w:r>
        <w:t>gFOBT</w:t>
      </w:r>
      <w:proofErr w:type="spellEnd"/>
      <w:r>
        <w:t xml:space="preserve"> clinically because of its improved sensitivity.</w:t>
      </w:r>
      <w:r w:rsidR="00A77E29">
        <w:t xml:space="preserve"> Regardless of their weaknesses, these studies demonstrated the feasibility of using microbiome data identify subjects with colonic lesions.</w:t>
      </w:r>
    </w:p>
    <w:p w14:paraId="09C34C79" w14:textId="225BB14A" w:rsidR="0038556F" w:rsidRDefault="00FD4B78" w:rsidP="006E4AA0">
      <w:pPr>
        <w:spacing w:before="360"/>
      </w:pPr>
      <w:r>
        <w:t>In the present study we demonstrat</w:t>
      </w:r>
      <w:r w:rsidR="00A77E29">
        <w:t>e</w:t>
      </w:r>
      <w:r>
        <w:t xml:space="preserve">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w:t>
      </w:r>
      <w:proofErr w:type="spellStart"/>
      <w:r>
        <w:t>overfitting</w:t>
      </w:r>
      <w:proofErr w:type="spellEnd"/>
      <w:r>
        <w:t xml:space="preserve"> [18]. With this method we identified bacterial populations that could distinguish healthy individuals from those with adenomas or carcinomas. In doing so, we confirmed previously observed associations of </w:t>
      </w:r>
      <w:r>
        <w:lastRenderedPageBreak/>
        <w:t xml:space="preserve">certain bacterial taxa with CRC. Many lesions detected using the microbiota were distinct from those detected by FIT, suggesting the microbiota could complement FIT to improve sensitivity. By incorporating data on hemoglobin and bacterial abundances into a single model (labeled the </w:t>
      </w:r>
      <w:proofErr w:type="spellStart"/>
      <w:r>
        <w:t>Multitarget</w:t>
      </w:r>
      <w:proofErr w:type="spellEnd"/>
      <w:r>
        <w:t xml:space="preserve"> Microbiota Test or MMT), we were able to improve the sensitivity for adenomas and cancer compared to FIT alone.</w:t>
      </w:r>
    </w:p>
    <w:p w14:paraId="24597EEC" w14:textId="77777777" w:rsidR="0038556F" w:rsidRDefault="00FD4B78" w:rsidP="006E4AA0">
      <w:pPr>
        <w:pStyle w:val="Heading3"/>
        <w:spacing w:before="360" w:after="180"/>
      </w:pPr>
      <w:bookmarkStart w:id="2" w:name="methods"/>
      <w:bookmarkEnd w:id="2"/>
      <w:r>
        <w:t>Methods</w:t>
      </w:r>
    </w:p>
    <w:p w14:paraId="1866E9B8" w14:textId="30AC7F8F" w:rsidR="0038556F" w:rsidRDefault="00FD4B78" w:rsidP="006E4AA0">
      <w:pPr>
        <w:spacing w:before="360"/>
      </w:pPr>
      <w:r>
        <w:rPr>
          <w:b/>
        </w:rPr>
        <w:t>Study Design/Patient sampling.</w:t>
      </w:r>
      <w:r>
        <w:t xml:space="preserve"> Eligible patients for this study were at least 18 years old, willing to sign informed consent, able to tolerate removal of 58 </w:t>
      </w:r>
      <w:r w:rsidR="00A77E29">
        <w:t xml:space="preserve">mL </w:t>
      </w:r>
      <w:r>
        <w:t xml:space="preserve">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w:t>
      </w:r>
      <w:proofErr w:type="spellStart"/>
      <w:r>
        <w:t>colonoscopic</w:t>
      </w:r>
      <w:proofErr w:type="spellEnd"/>
      <w:r>
        <w:t xml:space="preserve"> examination and </w:t>
      </w:r>
      <w:proofErr w:type="spellStart"/>
      <w:r>
        <w:t>histopathological</w:t>
      </w:r>
      <w:proofErr w:type="spellEnd"/>
      <w:r>
        <w:t xml:space="preserve"> review of any biopsies taken. Patients with an adenoma greater than 1</w:t>
      </w:r>
      <w:r w:rsidR="00A77E29">
        <w:t xml:space="preserve"> </w:t>
      </w:r>
      <w:r>
        <w:t>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w:t>
      </w:r>
      <w:r w:rsidR="00A77E29">
        <w:t xml:space="preserve"> </w:t>
      </w:r>
      <w:r>
        <w:t xml:space="preserve">[19]. Stool samples were packed in ice, shipped to a processing </w:t>
      </w:r>
      <w:r>
        <w:lastRenderedPageBreak/>
        <w:t xml:space="preserve">center via next day delivery and stored at -80˚C. </w:t>
      </w:r>
      <w:r w:rsidR="00A77E29">
        <w:t>The University of Michigan Institutional Review Board approved this study</w:t>
      </w:r>
      <w:r w:rsidR="00293F0B">
        <w:t>,</w:t>
      </w:r>
      <w:r>
        <w:t xml:space="preserve"> and all subjects provided informed consent.</w:t>
      </w:r>
    </w:p>
    <w:p w14:paraId="3F210459" w14:textId="77777777" w:rsidR="0038556F" w:rsidRDefault="00FD4B78" w:rsidP="006E4AA0">
      <w:pPr>
        <w:spacing w:before="360"/>
      </w:pPr>
      <w:r>
        <w:rPr>
          <w:b/>
        </w:rPr>
        <w:t>Fecal Immunochemical Tests.</w:t>
      </w:r>
      <w:r>
        <w:t xml:space="preserve"> Fecal material for FIT was collected from frozen stool aliquots using OC FIT-CHEK sampling bottles (</w:t>
      </w:r>
      <w:proofErr w:type="spellStart"/>
      <w:r>
        <w:t>Polymedco</w:t>
      </w:r>
      <w:proofErr w:type="spellEnd"/>
      <w:r>
        <w:t xml:space="preserve"> Inc.) and processed using an OC-Auto Micro 80 automated system (</w:t>
      </w:r>
      <w:proofErr w:type="spellStart"/>
      <w:r>
        <w:t>Polymedco</w:t>
      </w:r>
      <w:proofErr w:type="spellEnd"/>
      <w:r>
        <w:t xml:space="preserve"> Inc.). Hemoglobin concentrations were used for generating ROC curves for FIT and for building the MMT.</w:t>
      </w:r>
    </w:p>
    <w:p w14:paraId="70B08F43" w14:textId="12767B9E" w:rsidR="0038556F" w:rsidRDefault="00FD4B78" w:rsidP="006E4AA0">
      <w:pPr>
        <w:spacing w:before="360"/>
      </w:pPr>
      <w:r>
        <w:rPr>
          <w:b/>
        </w:rPr>
        <w:t>16S rRNA Gene Sequencing.</w:t>
      </w:r>
      <w:r>
        <w:t xml:space="preserve"> DNA was extracted from </w:t>
      </w:r>
      <w:r w:rsidR="00A77E29">
        <w:t xml:space="preserve">approximately </w:t>
      </w:r>
      <w:r>
        <w:t xml:space="preserve">50 mg of fecal material from each subject using the </w:t>
      </w:r>
      <w:proofErr w:type="spellStart"/>
      <w:r>
        <w:t>PowerSoil-htp</w:t>
      </w:r>
      <w:proofErr w:type="spellEnd"/>
      <w:r>
        <w:t xml:space="preserve"> 96 Well Soil DNA isolation kit (MO BIO Laboratories) and an </w:t>
      </w:r>
      <w:proofErr w:type="spellStart"/>
      <w:r>
        <w:t>epMotion</w:t>
      </w:r>
      <w:proofErr w:type="spellEnd"/>
      <w:r>
        <w:t xml:space="preserve"> 5075 automated pipetting system (</w:t>
      </w:r>
      <w:proofErr w:type="spellStart"/>
      <w:r>
        <w:t>Eppendorf</w:t>
      </w:r>
      <w:proofErr w:type="spellEnd"/>
      <w:r>
        <w:t xml:space="preserve">). The V4 region of the bacterial 16S rRNA gene was amplified using custom barcoded primers and sequenced as described previously using an </w:t>
      </w:r>
      <w:proofErr w:type="spellStart"/>
      <w:r>
        <w:t>Illumina</w:t>
      </w:r>
      <w:proofErr w:type="spellEnd"/>
      <w:r>
        <w:t xml:space="preserve"> </w:t>
      </w:r>
      <w:proofErr w:type="spellStart"/>
      <w:r>
        <w:t>MiSeq</w:t>
      </w:r>
      <w:proofErr w:type="spellEnd"/>
      <w:r>
        <w:t xml:space="preserve"> sequencer [20]. The 490 samples were divided into three sequencing runs to increase the</w:t>
      </w:r>
      <w:r w:rsidR="00372C58">
        <w:t xml:space="preserve"> </w:t>
      </w:r>
      <w:r>
        <w:t>per sample sequencing depth. Although the same percentage of samples from the three groups were represented on each sequencing run, samples were randomly assigned to the sequencing runs to avoid confounding our analysis based on diagnosis or demographics.</w:t>
      </w:r>
    </w:p>
    <w:p w14:paraId="407501BD" w14:textId="38CD235D" w:rsidR="0038556F" w:rsidRDefault="00FD4B78" w:rsidP="006E4AA0">
      <w:pPr>
        <w:spacing w:before="360"/>
      </w:pPr>
      <w:r>
        <w:rPr>
          <w:b/>
        </w:rPr>
        <w:t xml:space="preserve">Sequence </w:t>
      </w:r>
      <w:proofErr w:type="spellStart"/>
      <w:r>
        <w:rPr>
          <w:b/>
        </w:rPr>
        <w:t>Curation</w:t>
      </w:r>
      <w:proofErr w:type="spellEnd"/>
      <w:r>
        <w:rPr>
          <w:b/>
        </w:rPr>
        <w:t>.</w:t>
      </w:r>
      <w:r>
        <w:t xml:space="preserve"> The 16S rRNA gene sequences were curated using the mothur software package, as described previously [20]. Briefly, paired-end reads were merged into contigs, screened for quality, aligned to SILVA 16S rRNA sequence database, and screened for chimeras. Sequences were classified using a naive Bayesian classifier trained against a 16S rRNA gene training set provided by the Ribosomal Database Project (RDP) [21]. Curated sequences were clustered into operational taxonomic units (OTUs) using a 97% </w:t>
      </w:r>
      <w:r>
        <w:lastRenderedPageBreak/>
        <w:t xml:space="preserve">similarity cutoff with the average neighbor clustering algorithm. Species-level classifications for OTUs of interest were determined by blasting the predominant sequences within each OTU to the NCBI 16S rRNA database. The putative species was only reported for OTUs with greater than 99% sequence identity to a single species in the </w:t>
      </w:r>
      <w:r w:rsidR="00A77E29">
        <w:t>database;</w:t>
      </w:r>
      <w:r>
        <w:t xml:space="preserve"> otherwise the consensus RDP classification was used. The number of sequences in each sample was rarefied to 10,000 per sample to minimize the effects of uneven sampling.</w:t>
      </w:r>
    </w:p>
    <w:p w14:paraId="63D08800" w14:textId="28809149" w:rsidR="0038556F" w:rsidRDefault="00FD4B78" w:rsidP="006E4AA0">
      <w:pPr>
        <w:spacing w:before="360"/>
      </w:pPr>
      <w:r>
        <w:rPr>
          <w:b/>
        </w:rPr>
        <w:t>Statistical Methods.</w:t>
      </w:r>
      <w:r>
        <w:t xml:space="preserve"> All statistical analyses were performed using R</w:t>
      </w:r>
      <w:r w:rsidR="00A77E29">
        <w:t xml:space="preserve"> (v.3.2.0)</w:t>
      </w:r>
      <w:r>
        <w:t xml:space="preserve">. Random Forest models were generated using the AUCRF package [22]. The AUC of ROC curves </w:t>
      </w:r>
      <w:r w:rsidR="00A77E29">
        <w:t xml:space="preserve">were </w:t>
      </w:r>
      <w:r>
        <w:t xml:space="preserve">compared using the method described by DeLong et al. [23]. The optimal cutoff for the MMT was determined using </w:t>
      </w:r>
      <w:proofErr w:type="spellStart"/>
      <w:r>
        <w:t>Youden's</w:t>
      </w:r>
      <w:proofErr w:type="spellEnd"/>
      <w:r>
        <w:t xml:space="preserve"> </w:t>
      </w:r>
      <w:r>
        <w:rPr>
          <w:i/>
        </w:rPr>
        <w:t>J</w:t>
      </w:r>
      <w:r>
        <w:t xml:space="preserve"> statistic as implemented in the </w:t>
      </w:r>
      <w:proofErr w:type="spellStart"/>
      <w:r>
        <w:t>pROC</w:t>
      </w:r>
      <w:proofErr w:type="spellEnd"/>
      <w:r>
        <w:t xml:space="preserve"> package in R [24]. The sensitivities of FIT and the MMT were compared using </w:t>
      </w:r>
      <w:proofErr w:type="spellStart"/>
      <w:r>
        <w:t>McNemar's</w:t>
      </w:r>
      <w:proofErr w:type="spellEnd"/>
      <w:r>
        <w:t xml:space="preserve"> </w:t>
      </w:r>
      <w:r w:rsidR="00A77E29">
        <w:t>C</w:t>
      </w:r>
      <w:r>
        <w:t xml:space="preserve">hi-squared test. To control for diagnosis while testing the effects of sex on the microbiome we used PERMANOVA as implemented in the </w:t>
      </w:r>
      <w:proofErr w:type="spellStart"/>
      <w:r>
        <w:t>adonis</w:t>
      </w:r>
      <w:proofErr w:type="spellEnd"/>
      <w:r>
        <w:t xml:space="preserve"> function in the vegan R package [25].</w:t>
      </w:r>
    </w:p>
    <w:p w14:paraId="51FE47C2" w14:textId="77777777" w:rsidR="0038556F" w:rsidRDefault="00FD4B78" w:rsidP="006E4AA0">
      <w:pPr>
        <w:pStyle w:val="Heading3"/>
        <w:spacing w:before="360" w:after="180"/>
      </w:pPr>
      <w:bookmarkStart w:id="3" w:name="results"/>
      <w:bookmarkEnd w:id="3"/>
      <w:r>
        <w:t>Results</w:t>
      </w:r>
    </w:p>
    <w:p w14:paraId="2313BC90" w14:textId="4E3C14A7" w:rsidR="0038556F" w:rsidRDefault="00FD4B78" w:rsidP="006E4AA0">
      <w:pPr>
        <w:spacing w:before="360"/>
      </w:pPr>
      <w:r>
        <w:rPr>
          <w:b/>
          <w:i/>
        </w:rPr>
        <w:t>Complementary detection of lesions by FIT and the microbiota</w:t>
      </w:r>
      <w:r w:rsidR="0035443E">
        <w:rPr>
          <w:b/>
          <w:i/>
        </w:rPr>
        <w:t>.</w:t>
      </w:r>
      <w:r w:rsidR="0035443E">
        <w:t xml:space="preserve"> </w:t>
      </w:r>
      <w:r>
        <w:t xml:space="preserve">We characterized the bacterial communities of stool samples from 490 patients using 16S rRNA gene sequencing. Among these patients, 120 had CRC, 198 had adenomas, and 172 had no colonic lesions. In addition to characterizing the bacterial community, we tested each sample for the concentration of hemoglobin using FIT. With these data we compared the ability to detect lesion using FIT to using a microbiota-based model. First we developed a random forest classification model for differentiating healthy individuals from those with adenomas </w:t>
      </w:r>
      <w:r>
        <w:lastRenderedPageBreak/>
        <w:t>based on the relative abundance of bacterial populations in stool. We determined the optimal model using the AUC-RF algorithm for maximizing the area under the curve (AUC) of the receiver operating characteristic (ROC) curve for a random forest model [22]. The optimal model utilized 22 bacterial populations (Fig. S1A). The AUC for the microbiota model (0.673) was significantly different from a random assignment (p&lt;0.001), but not significantly different from that of FIT (FIT AUC:</w:t>
      </w:r>
      <w:r w:rsidR="00A77E29">
        <w:t xml:space="preserve"> </w:t>
      </w:r>
      <w:r>
        <w:t>0.639, p&gt;0.05, Fig. 1A). At the 100</w:t>
      </w:r>
      <w:r w:rsidR="00A77E29">
        <w:t xml:space="preserve"> </w:t>
      </w:r>
      <w:proofErr w:type="spellStart"/>
      <w:r>
        <w:t>ng</w:t>
      </w:r>
      <w:proofErr w:type="spellEnd"/>
      <w:r>
        <w:t>/ml cutoff</w:t>
      </w:r>
      <w:r w:rsidR="00A77E29">
        <w:t>,</w:t>
      </w:r>
      <w:r>
        <w:t xml:space="preserve"> FIT detected 15.7% of cancers with a specificity of 97.1%. Setting the microbiota model to the same 97.1% specificity resulted</w:t>
      </w:r>
      <w:r w:rsidR="00372C58">
        <w:t xml:space="preserve"> in</w:t>
      </w:r>
      <w:r>
        <w:t xml:space="preserve"> 18.2% sensitivity for adenomas. When comparing the results of the tests for each sample, only 2.5% of adenomas were detected by both tests, while 28.8% were detected by only one of the two tests (Fig. 1B). </w:t>
      </w:r>
    </w:p>
    <w:p w14:paraId="17ED6FD4" w14:textId="35BDACA8" w:rsidR="00A77E29" w:rsidRDefault="00FD4B78" w:rsidP="006E4AA0">
      <w:pPr>
        <w:spacing w:before="360"/>
      </w:pPr>
      <w:r>
        <w:t xml:space="preserve">Next we generated a random forest model for differentiating normal individuals from those with cancer using the relative abundance 34 bacterial populations (Fig. S2A). Consistent with previous observations, the bacteria most strongly associated with CRC belonged to taxa commonly associated with periodontal disease [17, 26, 27]. These include OTUs associated </w:t>
      </w:r>
      <w:proofErr w:type="spellStart"/>
      <w:r>
        <w:rPr>
          <w:i/>
        </w:rPr>
        <w:t>Pophyromonas</w:t>
      </w:r>
      <w:proofErr w:type="spellEnd"/>
      <w:r>
        <w:rPr>
          <w:i/>
        </w:rPr>
        <w:t xml:space="preserve"> </w:t>
      </w:r>
      <w:proofErr w:type="spellStart"/>
      <w:r>
        <w:rPr>
          <w:i/>
        </w:rPr>
        <w:t>assaccharolytica</w:t>
      </w:r>
      <w:proofErr w:type="spellEnd"/>
      <w:r>
        <w:t xml:space="preserve"> (OTU105), </w:t>
      </w:r>
      <w:r>
        <w:rPr>
          <w:i/>
        </w:rPr>
        <w:t>Fusobacterium nucleatum</w:t>
      </w:r>
      <w:r>
        <w:t xml:space="preserve"> (OTU264), </w:t>
      </w:r>
      <w:proofErr w:type="spellStart"/>
      <w:r>
        <w:rPr>
          <w:i/>
        </w:rPr>
        <w:t>Parvimonas</w:t>
      </w:r>
      <w:proofErr w:type="spellEnd"/>
      <w:r>
        <w:rPr>
          <w:i/>
        </w:rPr>
        <w:t xml:space="preserve"> </w:t>
      </w:r>
      <w:proofErr w:type="spellStart"/>
      <w:r>
        <w:rPr>
          <w:i/>
        </w:rPr>
        <w:t>micra</w:t>
      </w:r>
      <w:proofErr w:type="spellEnd"/>
      <w:r>
        <w:t xml:space="preserve"> (OTU281), </w:t>
      </w:r>
      <w:proofErr w:type="spellStart"/>
      <w:r>
        <w:rPr>
          <w:i/>
        </w:rPr>
        <w:t>Peptostreptococcus</w:t>
      </w:r>
      <w:proofErr w:type="spellEnd"/>
      <w:r>
        <w:rPr>
          <w:i/>
        </w:rPr>
        <w:t xml:space="preserve"> </w:t>
      </w:r>
      <w:proofErr w:type="spellStart"/>
      <w:r>
        <w:rPr>
          <w:i/>
        </w:rPr>
        <w:t>stomatis</w:t>
      </w:r>
      <w:proofErr w:type="spellEnd"/>
      <w:r>
        <w:t xml:space="preserve"> (OTU310), </w:t>
      </w:r>
      <w:proofErr w:type="spellStart"/>
      <w:r>
        <w:rPr>
          <w:i/>
        </w:rPr>
        <w:t>Gemella</w:t>
      </w:r>
      <w:proofErr w:type="spellEnd"/>
      <w:r>
        <w:rPr>
          <w:i/>
        </w:rPr>
        <w:t xml:space="preserve"> spp.</w:t>
      </w:r>
      <w:r>
        <w:t xml:space="preserve"> (OTU356), and an </w:t>
      </w:r>
      <w:r w:rsidRPr="008329A6">
        <w:t>unclassified</w:t>
      </w:r>
      <w:r>
        <w:rPr>
          <w:i/>
        </w:rPr>
        <w:t xml:space="preserve"> </w:t>
      </w:r>
      <w:proofErr w:type="spellStart"/>
      <w:r>
        <w:rPr>
          <w:i/>
        </w:rPr>
        <w:t>Prevotella</w:t>
      </w:r>
      <w:proofErr w:type="spellEnd"/>
      <w:r>
        <w:t xml:space="preserve"> (OTU57) (Fig. S2C). The ROC curve for the model had an AUC of 0.837, which was similar to AUCs reported for other microbiota-based models for CRC [16, 17] and significantly different from a random assignment (p&lt;0.001), but which was significantly lower than that of FIT (FIT AUC:</w:t>
      </w:r>
      <w:r w:rsidR="00A77E29">
        <w:t xml:space="preserve"> </w:t>
      </w:r>
      <w:r>
        <w:t>0.929, p=0.005, Fig. 1C). At the manufacturer recommended cutoff of 100ng/ml</w:t>
      </w:r>
      <w:r w:rsidR="00A77E29">
        <w:t>,</w:t>
      </w:r>
      <w:r>
        <w:t xml:space="preserve"> FIT detected 75</w:t>
      </w:r>
      <w:r w:rsidR="008329A6">
        <w:t>.0</w:t>
      </w:r>
      <w:r>
        <w:t xml:space="preserve">% of cancers with a specificity of 97.1%. At its optimal cutoff the microbiota model detected 69.2% of cancers </w:t>
      </w:r>
      <w:r>
        <w:lastRenderedPageBreak/>
        <w:t xml:space="preserve">with a specificity of 89.0%. Although most cancers (53.3%) were detected by both FIT and the microbiota model, many (37.5%) were only detected by one of the two tests (Fig. 1D). </w:t>
      </w:r>
    </w:p>
    <w:p w14:paraId="70563CD1" w14:textId="68A54EDB" w:rsidR="0038556F" w:rsidRDefault="00FD4B78" w:rsidP="006E4AA0">
      <w:pPr>
        <w:spacing w:before="360"/>
      </w:pPr>
      <w:proofErr w:type="spellStart"/>
      <w:r>
        <w:rPr>
          <w:b/>
          <w:i/>
        </w:rPr>
        <w:t>Multitarget</w:t>
      </w:r>
      <w:proofErr w:type="spellEnd"/>
      <w:r>
        <w:rPr>
          <w:b/>
          <w:i/>
        </w:rPr>
        <w:t xml:space="preserve"> Microbiota Test for colonic lesions.</w:t>
      </w:r>
      <w:r>
        <w:t xml:space="preserve"> </w:t>
      </w:r>
      <w:r w:rsidR="00A77E29">
        <w:t xml:space="preserve">Most of the adenomas and many of the carcinomas were not detected by both tests, suggesting that the two methods could complement each other if combined into a single test. </w:t>
      </w:r>
      <w:r>
        <w:t xml:space="preserve">Based on these observations, we developed a random forest model using both the microbiota and FIT that would differentiate normal individuals from those with any type of colonic lesion (i.e. adenoma or carcinoma). The optimal model, referred to as the </w:t>
      </w:r>
      <w:proofErr w:type="spellStart"/>
      <w:r>
        <w:t>Multitarget</w:t>
      </w:r>
      <w:proofErr w:type="spellEnd"/>
      <w:r>
        <w:t xml:space="preserve"> Microbiota Test (MMT), used the relative abundances of 23 OTUs and the concentration of hemoglobin as determined by FIT (Fig. S3). Of those OTUs, 16 were members of the </w:t>
      </w:r>
      <w:proofErr w:type="spellStart"/>
      <w:r>
        <w:t>Firmicutes</w:t>
      </w:r>
      <w:proofErr w:type="spellEnd"/>
      <w:r>
        <w:t xml:space="preserve"> phylum, including 3 from the </w:t>
      </w:r>
      <w:proofErr w:type="spellStart"/>
      <w:r>
        <w:t>Ruminococcaceae</w:t>
      </w:r>
      <w:proofErr w:type="spellEnd"/>
      <w:r>
        <w:t xml:space="preserve"> family and 10 from the Lachnospiraceae family (Fig. S4). Three OTUs were associated with the genus </w:t>
      </w:r>
      <w:r>
        <w:rPr>
          <w:i/>
        </w:rPr>
        <w:t>Bacteroides</w:t>
      </w:r>
      <w:r>
        <w:t xml:space="preserve">. The remaining OTUs were associated with </w:t>
      </w:r>
      <w:proofErr w:type="spellStart"/>
      <w:r>
        <w:rPr>
          <w:i/>
        </w:rPr>
        <w:t>Porphyromonas</w:t>
      </w:r>
      <w:proofErr w:type="spellEnd"/>
      <w:r>
        <w:t xml:space="preserve">, </w:t>
      </w:r>
      <w:proofErr w:type="spellStart"/>
      <w:r>
        <w:rPr>
          <w:i/>
        </w:rPr>
        <w:t>Parabacteroides</w:t>
      </w:r>
      <w:proofErr w:type="spellEnd"/>
      <w:r>
        <w:t xml:space="preserve">, </w:t>
      </w:r>
      <w:proofErr w:type="spellStart"/>
      <w:r>
        <w:rPr>
          <w:i/>
        </w:rPr>
        <w:t>Collinsella</w:t>
      </w:r>
      <w:proofErr w:type="spellEnd"/>
      <w:r>
        <w:t xml:space="preserve">, and </w:t>
      </w:r>
      <w:proofErr w:type="spellStart"/>
      <w:r>
        <w:t>Enterobacteriaceae</w:t>
      </w:r>
      <w:proofErr w:type="spellEnd"/>
      <w:r>
        <w:t xml:space="preserve">. The OTU associated with </w:t>
      </w:r>
      <w:proofErr w:type="spellStart"/>
      <w:r>
        <w:rPr>
          <w:i/>
        </w:rPr>
        <w:t>Porphyromonas</w:t>
      </w:r>
      <w:proofErr w:type="spellEnd"/>
      <w:r>
        <w:t xml:space="preserve"> was most closely related to </w:t>
      </w:r>
      <w:proofErr w:type="spellStart"/>
      <w:r>
        <w:rPr>
          <w:i/>
        </w:rPr>
        <w:t>Porphyromonas</w:t>
      </w:r>
      <w:proofErr w:type="spellEnd"/>
      <w:r>
        <w:rPr>
          <w:i/>
        </w:rPr>
        <w:t xml:space="preserve"> </w:t>
      </w:r>
      <w:proofErr w:type="spellStart"/>
      <w:r>
        <w:rPr>
          <w:i/>
        </w:rPr>
        <w:t>asaccharolytica</w:t>
      </w:r>
      <w:proofErr w:type="spellEnd"/>
      <w:r>
        <w:t>, which has been previously shown to be predictive of CRC [16, 28]. Interestingly the majority of OTU</w:t>
      </w:r>
      <w:r w:rsidR="00783DE5">
        <w:t>s</w:t>
      </w:r>
      <w:r>
        <w:t xml:space="preserve"> used in the model, especially the Lachnospiraceae, were enriched in normal patients (Fig. S4), suggesting that a loss of beneficial organisms in addition to the emergence of pathogens may be indicative of CRC development.</w:t>
      </w:r>
    </w:p>
    <w:p w14:paraId="37680660" w14:textId="25D58AA4" w:rsidR="0038556F" w:rsidRDefault="00FD4B78" w:rsidP="006E4AA0">
      <w:pPr>
        <w:spacing w:before="360"/>
      </w:pPr>
      <w:r>
        <w:rPr>
          <w:b/>
          <w:i/>
        </w:rPr>
        <w:t>Comparing MMT to FIT.</w:t>
      </w:r>
      <w:r>
        <w:t xml:space="preserve"> To determine whether microbiota sequence data could be used to complement FIT, we compared the performance of the MMT to FIT. For differentiating any lesions from normal, the AUC for the MMT was significantly higher than FIT (MMT AUC</w:t>
      </w:r>
      <w:r w:rsidR="00783DE5">
        <w:t xml:space="preserve">: </w:t>
      </w:r>
      <w:r>
        <w:t>0.829, FIT AUC</w:t>
      </w:r>
      <w:r w:rsidR="00783DE5">
        <w:t xml:space="preserve">: </w:t>
      </w:r>
      <w:r>
        <w:t xml:space="preserve">0.749, p&lt;0.001). Subdividing the lesions, detecting adenomas by the MMT </w:t>
      </w:r>
      <w:r>
        <w:lastRenderedPageBreak/>
        <w:t xml:space="preserve">(AUC=0.755) was significantly better than FIT (AUC=0.639, p&lt;0.001), but not for differentiating cancer from normal (MMT AUC=0.952, FIT AUC=0.929, p=0.09) (Fig. 2A). To generate a categorical prediction from the MMT, we determined that the optimal threshold for the </w:t>
      </w:r>
      <w:proofErr w:type="spellStart"/>
      <w:r>
        <w:t>models's</w:t>
      </w:r>
      <w:proofErr w:type="spellEnd"/>
      <w:r>
        <w:t xml:space="preserve"> probability was 0.622 using </w:t>
      </w:r>
      <w:proofErr w:type="spellStart"/>
      <w:r>
        <w:t>Youden's</w:t>
      </w:r>
      <w:proofErr w:type="spellEnd"/>
      <w:r>
        <w:t xml:space="preserve"> J </w:t>
      </w:r>
      <w:proofErr w:type="spellStart"/>
      <w:r>
        <w:t>statisitc</w:t>
      </w:r>
      <w:proofErr w:type="spellEnd"/>
      <w:r>
        <w:t xml:space="preserve"> [24]. Samples scoring above this cutoff were classified as lesions, and those below the cutoff were classified as normal. We then compared the sensitivity and specificity of the MMT to those of FIT using a threshold of 100 </w:t>
      </w:r>
      <w:proofErr w:type="spellStart"/>
      <w:r>
        <w:t>ng</w:t>
      </w:r>
      <w:proofErr w:type="spellEnd"/>
      <w:r>
        <w:t>/ml of hemoglobin. At these cutoffs the MMT detected 95.0% of cancers and 57.1% of adenomas compared to 75.0% and 15.7% for FIT (Table 1, Fig. 2B, Fig. 2C). When adenomas and cancers were pooled together, the MMT detected 71.4% of lesions, while FIT only detected 38.1%. The MMT significantly improved sensitivity for both advanced and non-advanced adenomas as well as multiple stages of cancer (Fig. 3). The increased sensitivity of the MMT was accompanied by a decrease in specificity (83.7%) compared to FIT (97.1%).</w:t>
      </w:r>
    </w:p>
    <w:p w14:paraId="2CC972CF" w14:textId="77777777" w:rsidR="0038556F" w:rsidRDefault="00FD4B78" w:rsidP="006E4AA0">
      <w:pPr>
        <w:spacing w:before="360"/>
      </w:pPr>
      <w:r>
        <w:t>To better understand the relationship between the MMT and FIT, we compared the results of the two tests for each sample (Fig. 4A). All samples that tested positive by FIT also tested positive by the MMT, indicating that the MMT did not miss any of the lesions that FIT was able to detect. However the MMT was able to detect 80.0% of cancers and 49.1% of adenomas that FIT had failed to detect, while maintaining a specificity of 86.2% (Fig. 4B). This result demonstrated that incorporation of data from a subject's microbiota complemented FIT to improve its sensitivity.</w:t>
      </w:r>
    </w:p>
    <w:p w14:paraId="4746322F" w14:textId="77777777" w:rsidR="0038556F" w:rsidRDefault="00FD4B78" w:rsidP="006E4AA0">
      <w:pPr>
        <w:spacing w:before="360"/>
      </w:pPr>
      <w:r>
        <w:t xml:space="preserve">The purpose of screening is to identify asymptomatic individuals with early stage disease (i.e., true positives). Therefore, we estimated the number of true positives captured </w:t>
      </w:r>
      <w:r>
        <w:lastRenderedPageBreak/>
        <w:t>through FIT and MMT in the recommended screening population in the United States (adults ages 50-74 years). The prevalence of lesions in an average-risk population was obtained through a previously published meta-analysis [29]. Tests were utilized in series so that FIT, with a higher specificity (fewer false positives), was applied first to minimize unnecessary diagnostic testing. MMT, with a higher sensitivity (fewer false negatives), was then used to capture additional true positives in those with negative FIT results (Table 2). MMT was able to identify a large proportion of true positives among individuals with a negative FIT result (55.1% for cancer, 72.0% for advanced adenoma, 82.5% for non-advanced adenoma).</w:t>
      </w:r>
    </w:p>
    <w:p w14:paraId="6B001DBF" w14:textId="77777777" w:rsidR="0038556F" w:rsidRDefault="00FD4B78" w:rsidP="006E4AA0">
      <w:pPr>
        <w:spacing w:before="360"/>
      </w:pPr>
      <w:r>
        <w:rPr>
          <w:b/>
          <w:i/>
        </w:rPr>
        <w:t>Effect of sex on model performance.</w:t>
      </w:r>
      <w:r>
        <w:t xml:space="preserve"> Previous studies have identified differences in diagnostic test performance for certain demographic groups or for people taking certain medications [30–32]. Therefore we tested whether the MMT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(p=0.02; Fig. S6). For females the model detected 73.5% of lesions with a specificity of 89.2%. For males the model detected 69.9% of lesions with a specificity of 73.8%. This difference was more pronounced for adenomas. The MMT detected 62.5% of adenomas in females and 53.4% in males. Despite performing more poorly overall for males, the MMT did have a higher sensitivity for cancer among males (98.5%) than females (90.4%). The difference in performance between males and females appeared to be due to differences in FIT results rather than differences in the microbiome. After correcting for diagnosis, there </w:t>
      </w:r>
      <w:r>
        <w:lastRenderedPageBreak/>
        <w:t>was a significant effect of sex on FIT result (p=0.006, two-way ANOVA), but not on the overall structure of the microbiome (PERMANOVA: p=0.06).</w:t>
      </w:r>
    </w:p>
    <w:p w14:paraId="7E821F12" w14:textId="77777777" w:rsidR="0038556F" w:rsidRDefault="00FD4B78" w:rsidP="006E4AA0">
      <w:pPr>
        <w:pStyle w:val="Heading3"/>
        <w:spacing w:before="360" w:after="180"/>
      </w:pPr>
      <w:bookmarkStart w:id="4" w:name="discussion"/>
      <w:bookmarkEnd w:id="4"/>
      <w:r>
        <w:t>Discussion</w:t>
      </w:r>
    </w:p>
    <w:p w14:paraId="60EEEAF3" w14:textId="55C6476F" w:rsidR="0038556F" w:rsidRDefault="00FD4B78" w:rsidP="006E4AA0">
      <w:pPr>
        <w:spacing w:before="360"/>
      </w:pPr>
      <w:r>
        <w:t>We confirmed previous findings that the gut microbiota can be used to differentiate healthy individuals from those with colonic lesions. Although FIT was better at detecting lesions than a model using only the microbiota, microbiota-based models detected a subset of lesions that were not detected by FIT. This suggested that the two methods could complement each other. Based on this observation we developed a cross-validated random forest model that combined both FIT and the microbiota to detect colonic lesions. The resulting MMT had higher sensitivity than FIT for detecting lesions, especially adenomas. MMT was also able to detect the majority of lesion</w:t>
      </w:r>
      <w:r w:rsidR="00C3529D">
        <w:t>s</w:t>
      </w:r>
      <w:r>
        <w:t xml:space="preserve"> missed by FIT. However, the increased sensitivity of MMT was accompanied by a decrease in specificity compared to FIT. By estimating the performance of the tests on the U.S. population, we </w:t>
      </w:r>
      <w:proofErr w:type="spellStart"/>
      <w:r>
        <w:t>demonstarted</w:t>
      </w:r>
      <w:proofErr w:type="spellEnd"/>
      <w:r>
        <w:t xml:space="preserve"> the potential for using FIT and the MMT in series</w:t>
      </w:r>
      <w:r w:rsidR="001131D8">
        <w:t xml:space="preserve">, </w:t>
      </w:r>
      <w:r w:rsidR="00446271">
        <w:t>thereby preserving the advantages of the higher specificity of FIT and the superior sensitivity of MMT</w:t>
      </w:r>
      <w:r>
        <w:t>.</w:t>
      </w:r>
    </w:p>
    <w:p w14:paraId="48B85E65" w14:textId="35D1B0A6" w:rsidR="0038556F" w:rsidRDefault="00FD4B78" w:rsidP="006E4AA0">
      <w:pPr>
        <w:spacing w:before="360"/>
      </w:pPr>
      <w:r>
        <w:t>It was recently shown that when FIT was combined with host-associated DNA biomarkers</w:t>
      </w:r>
      <w:r w:rsidR="00E379A4">
        <w:t>,</w:t>
      </w:r>
      <w:r>
        <w:t xml:space="preserve"> the ability to detect adenomas and carcinomas was significantly improved over FIT alone [2]. The sensitivity of the host-associated DNA screen was 92.3% for cancer and 42.4% for adenomas, which are both slightly lower than what we observed with our MMT. Regardless of the relative performance, such results support the assertion that because of the large interpersonal variation in markers for adenomas and carcinomas, it is necessary to employ a panel of biomarkers and to use a model that integrates the biomarkers. The accuracy of </w:t>
      </w:r>
      <w:r>
        <w:lastRenderedPageBreak/>
        <w:t xml:space="preserve">our model may be further improved by incorporating additional </w:t>
      </w:r>
      <w:r w:rsidR="007C78F7">
        <w:t xml:space="preserve">indicators </w:t>
      </w:r>
      <w:r>
        <w:t xml:space="preserve">such as the host-associated biomarkers or those targeting specific genes involved in the underlying mechanism of tumorigenesis such as </w:t>
      </w:r>
      <w:r w:rsidR="007C78F7">
        <w:t xml:space="preserve">bacterial </w:t>
      </w:r>
      <w:r>
        <w:t xml:space="preserve">toxins [14, 15, 17]. More generally, predictive and diagnostic models for other diseases with a microbial etiology may benefit from a similar approach. For example, we recently demonstrated the ability to detect </w:t>
      </w:r>
      <w:r>
        <w:rPr>
          <w:i/>
        </w:rPr>
        <w:t>Clostridium difficile</w:t>
      </w:r>
      <w:r>
        <w:t xml:space="preserve"> infection based on the composition of the microbiota [33]. Such models are likely to be useful as microbiota sequencing gains traction as a tool for characterizing health.</w:t>
      </w:r>
    </w:p>
    <w:p w14:paraId="640A14AB" w14:textId="17D9E821" w:rsidR="0038556F" w:rsidRDefault="00FD4B78" w:rsidP="006E4AA0">
      <w:pPr>
        <w:spacing w:before="360"/>
      </w:pPr>
      <w:r>
        <w:t xml:space="preserve">Surprisingly most of the OTUs that work well for identifying cancers, including </w:t>
      </w:r>
      <w:r>
        <w:rPr>
          <w:i/>
        </w:rPr>
        <w:t>Fusobacterium nucleatum</w:t>
      </w:r>
      <w:r>
        <w:t xml:space="preserve"> (OTU264), </w:t>
      </w:r>
      <w:proofErr w:type="spellStart"/>
      <w:r>
        <w:rPr>
          <w:i/>
        </w:rPr>
        <w:t>Peptostroptococcus</w:t>
      </w:r>
      <w:proofErr w:type="spellEnd"/>
      <w:r>
        <w:rPr>
          <w:i/>
        </w:rPr>
        <w:t xml:space="preserve"> </w:t>
      </w:r>
      <w:proofErr w:type="spellStart"/>
      <w:r>
        <w:rPr>
          <w:i/>
        </w:rPr>
        <w:t>stomatis</w:t>
      </w:r>
      <w:proofErr w:type="spellEnd"/>
      <w:r>
        <w:t xml:space="preserve"> (OTU310), and </w:t>
      </w:r>
      <w:proofErr w:type="spellStart"/>
      <w:r>
        <w:rPr>
          <w:i/>
        </w:rPr>
        <w:t>Parvimonas</w:t>
      </w:r>
      <w:proofErr w:type="spellEnd"/>
      <w:r>
        <w:rPr>
          <w:i/>
        </w:rPr>
        <w:t xml:space="preserve"> </w:t>
      </w:r>
      <w:proofErr w:type="spellStart"/>
      <w:r>
        <w:rPr>
          <w:i/>
        </w:rPr>
        <w:t>micra</w:t>
      </w:r>
      <w:proofErr w:type="spellEnd"/>
      <w:r>
        <w:t xml:space="preserve"> (OTU281), were excluded from the MMT. Instead the MMT is enriched for OTUs that help detect adenomas. </w:t>
      </w:r>
      <w:r w:rsidR="00783DE5">
        <w:t>T</w:t>
      </w:r>
      <w:r>
        <w:t>he MMT model relies primar</w:t>
      </w:r>
      <w:r w:rsidR="00E379A4">
        <w:t>il</w:t>
      </w:r>
      <w:r>
        <w:t xml:space="preserve">y on FIT for detecting cancer, and uses the microbiota to identify adenomas. It is also interesting that most of the OTUs used in the MMT were enriched in normal individuals, suggesting that a loss of beneficial organisms in addition to the emergence of pathogens may be important for colorectal cancer development. Many of the OTUs that were depleted in patients with lesions belonged to the </w:t>
      </w:r>
      <w:proofErr w:type="spellStart"/>
      <w:r>
        <w:t>Ruminococcoaceae</w:t>
      </w:r>
      <w:proofErr w:type="spellEnd"/>
      <w:r>
        <w:t xml:space="preserve"> and Lachnospiraceae families, which contain the predominant producers of butyrate, a short-chain fatty acid with anti-inflammatory and anti-tumorigenic properties [34–37]. Likewise Zeller et al. observed a depletion of butyrate-producing </w:t>
      </w:r>
      <w:proofErr w:type="spellStart"/>
      <w:r>
        <w:rPr>
          <w:i/>
        </w:rPr>
        <w:t>Eubacterium</w:t>
      </w:r>
      <w:proofErr w:type="spellEnd"/>
      <w:r>
        <w:rPr>
          <w:i/>
        </w:rPr>
        <w:t xml:space="preserve"> spp.</w:t>
      </w:r>
      <w:r>
        <w:t xml:space="preserve"> in patients with CRC [17]. Loss of butyrate or other anti-inflammatory microbial metabolites may contribute to CRC development. These possibilities highlight the need for longitudinal studies to better understand how changes </w:t>
      </w:r>
      <w:r>
        <w:lastRenderedPageBreak/>
        <w:t>to an individual's microbiome or the metabolic profile of the gut might predispose them to CRC.</w:t>
      </w:r>
    </w:p>
    <w:p w14:paraId="71C7C500" w14:textId="77777777" w:rsidR="0038556F" w:rsidRDefault="00FD4B78" w:rsidP="006E4AA0">
      <w:pPr>
        <w:spacing w:before="360"/>
      </w:pPr>
      <w:r>
        <w:t>All previous studies describing differences in the gut microbiota of individuals with varying stages of CRC, including this one, have relied on samples collected after colonoscopy. A previous study showed that the microbiome quickly returns to normal following colonoscopy [19]. Likewise we found no difference in the microbiome between samples collected prior to or after colonoscopy (PERMANOVA: p=0.45). Regardless, we would have greater confidence in the predictive potential of the microbiota if all samples were collected prior to colonoscopy. Furthermore, future development of this approach will require prospective sampling of additional individuals to demonstrate the clinical potential of the approach.</w:t>
      </w:r>
    </w:p>
    <w:p w14:paraId="17DD8BE3" w14:textId="1CF4D786" w:rsidR="0038556F" w:rsidRDefault="00FD4B78" w:rsidP="006E4AA0">
      <w:pPr>
        <w:spacing w:before="360"/>
      </w:pPr>
      <w:r>
        <w:t xml:space="preserve">Like other groups before us, we noticed that the microbiota of CRC patients contained higher levels of bacterial taxa traditionally thought of as oral pathogens, including </w:t>
      </w:r>
      <w:r>
        <w:rPr>
          <w:i/>
        </w:rPr>
        <w:t>Fusobacterium</w:t>
      </w:r>
      <w:r>
        <w:t xml:space="preserve">, </w:t>
      </w:r>
      <w:proofErr w:type="spellStart"/>
      <w:r>
        <w:rPr>
          <w:i/>
        </w:rPr>
        <w:t>Porphyromonas</w:t>
      </w:r>
      <w:proofErr w:type="spellEnd"/>
      <w:r>
        <w:t xml:space="preserve">, </w:t>
      </w:r>
      <w:proofErr w:type="spellStart"/>
      <w:r>
        <w:rPr>
          <w:i/>
        </w:rPr>
        <w:t>Peptostreptococus</w:t>
      </w:r>
      <w:proofErr w:type="spellEnd"/>
      <w:r>
        <w:t xml:space="preserve">, </w:t>
      </w:r>
      <w:proofErr w:type="spellStart"/>
      <w:r>
        <w:rPr>
          <w:i/>
        </w:rPr>
        <w:t>Gemella</w:t>
      </w:r>
      <w:proofErr w:type="spellEnd"/>
      <w:r>
        <w:t xml:space="preserve">, </w:t>
      </w:r>
      <w:proofErr w:type="spellStart"/>
      <w:r>
        <w:rPr>
          <w:i/>
        </w:rPr>
        <w:t>Parvimonas</w:t>
      </w:r>
      <w:proofErr w:type="spellEnd"/>
      <w:r>
        <w:t xml:space="preserve">, and </w:t>
      </w:r>
      <w:proofErr w:type="spellStart"/>
      <w:r>
        <w:rPr>
          <w:i/>
        </w:rPr>
        <w:t>Prevotella</w:t>
      </w:r>
      <w:proofErr w:type="spellEnd"/>
      <w:r>
        <w:t>. Periodontal pathogens have been shown to promote the progression of oral cancer [38]. Therefore it</w:t>
      </w:r>
      <w:r w:rsidR="00B47E26">
        <w:t xml:space="preserve"> i</w:t>
      </w:r>
      <w:r>
        <w:t>s possible that these taxa could influence the progression of CRC by a similar mechani</w:t>
      </w:r>
      <w:r w:rsidR="00B47E26">
        <w:t>sm</w:t>
      </w:r>
      <w:r>
        <w:t>. These observation</w:t>
      </w:r>
      <w:r w:rsidR="00783DE5">
        <w:t>s</w:t>
      </w:r>
      <w:r>
        <w:t xml:space="preserve"> may warrant further investigation into a potential link between periodontal diseases and CRC. Furthermore, since the structure of an individual's oral microbiome is correlated with that of the gut [39], alterations in the oral community could potentially be a proxy for ongoing or future changes to the gut community.</w:t>
      </w:r>
    </w:p>
    <w:p w14:paraId="294C32BF" w14:textId="77777777" w:rsidR="0038556F" w:rsidRDefault="00FD4B78" w:rsidP="006E4AA0">
      <w:pPr>
        <w:pStyle w:val="Heading3"/>
        <w:spacing w:before="360" w:after="180"/>
      </w:pPr>
      <w:bookmarkStart w:id="5" w:name="conclusions"/>
      <w:bookmarkEnd w:id="5"/>
      <w:r>
        <w:lastRenderedPageBreak/>
        <w:t>Conclusions</w:t>
      </w:r>
    </w:p>
    <w:p w14:paraId="6B439476" w14:textId="38DF0F6D" w:rsidR="0038556F" w:rsidRDefault="00FD4B78" w:rsidP="006E4AA0">
      <w:pPr>
        <w:spacing w:before="360"/>
      </w:pPr>
      <w:r>
        <w:t>Our findings demonstrate the potential for combining the analysis of a patient's microbiota with conventional stool-based tests to improve CRC detection. Using the random forest algorithm it was possible to interpret FIT results in the context of the microbiota. The MMT had higher sensitivity for lesions</w:t>
      </w:r>
      <w:r w:rsidR="00B47E26">
        <w:t xml:space="preserve">, regardless of the </w:t>
      </w:r>
      <w:r>
        <w:t>stages of tumorigenesis. Moreover the model detected the majority of lesions that FIT was unable to detect. The shortcoming of the MMT is its lower specificity but, by conducting the FIT and MMT in series, it is possible to maximize the number of correctly identified individuals with preclinical lesions. The potential value of the MMT is its higher sensitivity</w:t>
      </w:r>
      <w:r w:rsidR="00783DE5">
        <w:t>,</w:t>
      </w:r>
      <w:r>
        <w:t xml:space="preserve"> which is the purpose of preventive screening – finding lesions earlier so that cancer would be avoided.</w:t>
      </w:r>
    </w:p>
    <w:p w14:paraId="1AA37339" w14:textId="77777777" w:rsidR="006E4AA0" w:rsidRDefault="006E4AA0">
      <w:pPr>
        <w:rPr>
          <w:b/>
        </w:rPr>
        <w:sectPr w:rsidR="006E4AA0" w:rsidSect="00A77E29">
          <w:pgSz w:w="12240" w:h="15840"/>
          <w:pgMar w:top="1440" w:right="1440" w:bottom="1440" w:left="1440" w:header="720" w:footer="720" w:gutter="0"/>
          <w:lnNumType w:countBy="1" w:restart="continuous"/>
          <w:cols w:space="720"/>
        </w:sectPr>
      </w:pPr>
    </w:p>
    <w:p w14:paraId="7D1BE3A8" w14:textId="77777777" w:rsidR="0038556F" w:rsidRDefault="00FD4B78" w:rsidP="003549F1">
      <w:pPr>
        <w:spacing w:before="360"/>
      </w:pPr>
      <w:r>
        <w:rPr>
          <w:b/>
        </w:rPr>
        <w:lastRenderedPageBreak/>
        <w:t>Competing interests:</w:t>
      </w:r>
      <w:r>
        <w:t xml:space="preserve"> The authors declare no competing financial interests.</w:t>
      </w:r>
    </w:p>
    <w:p w14:paraId="2DF8FB79" w14:textId="0904EC88" w:rsidR="003549F1" w:rsidRDefault="003549F1" w:rsidP="003549F1">
      <w:pPr>
        <w:spacing w:before="360"/>
      </w:pPr>
      <w:r w:rsidRPr="003549F1">
        <w:rPr>
          <w:b/>
        </w:rPr>
        <w:t>Acknowledgements:</w:t>
      </w:r>
      <w:r>
        <w:rPr>
          <w:b/>
        </w:rPr>
        <w:t xml:space="preserve"> </w:t>
      </w:r>
      <w:r w:rsidRPr="003549F1">
        <w:t>The authors thank the Great Lakes-New England Early Detection Research Network for providing the fecal samples that were used in this study.</w:t>
      </w:r>
    </w:p>
    <w:p w14:paraId="31F99540" w14:textId="77777777" w:rsidR="0038556F" w:rsidRDefault="00FD4B78" w:rsidP="003549F1">
      <w:pPr>
        <w:spacing w:before="360"/>
      </w:pPr>
      <w:r>
        <w:rPr>
          <w:b/>
        </w:rPr>
        <w:t>Author Contributions:</w:t>
      </w:r>
      <w:r>
        <w:t xml:space="preserve"> All authors were involved in the conception and design of the study. NTB processed samples and analyzed the data. All authors interpreted th</w:t>
      </w:r>
      <w:bookmarkStart w:id="6" w:name="_GoBack"/>
      <w:bookmarkEnd w:id="6"/>
      <w:r>
        <w:t>e data. NTB and PDS wrote the manuscript. All authors reviewed and revised the manuscript.</w:t>
      </w:r>
    </w:p>
    <w:p w14:paraId="4EDF7D69" w14:textId="77777777" w:rsidR="0038556F" w:rsidRDefault="00FD4B78" w:rsidP="003549F1">
      <w:pPr>
        <w:spacing w:before="360"/>
      </w:pPr>
      <w:r>
        <w:rPr>
          <w:b/>
        </w:rPr>
        <w:t>Data and materials availability:</w:t>
      </w:r>
      <w:r>
        <w:t xml:space="preserve"> Raw </w:t>
      </w:r>
      <w:proofErr w:type="spellStart"/>
      <w:r>
        <w:t>fastq</w:t>
      </w:r>
      <w:proofErr w:type="spellEnd"/>
      <w:r>
        <w:t xml:space="preserve"> files and a MIMARKS file are available through the NCBI Sequence Read Archive [SRP062005]. The exact data processing steps including an automated workflow going from the raw sequence data to the final manuscript is available at </w:t>
      </w:r>
      <w:hyperlink r:id="rId11">
        <w:r>
          <w:rPr>
            <w:rStyle w:val="Link"/>
          </w:rPr>
          <w:t>http://www.github.com/SchlossLab/Baxter\_glne007Modeling_2015</w:t>
        </w:r>
      </w:hyperlink>
      <w:r>
        <w:t>.</w:t>
      </w:r>
    </w:p>
    <w:p w14:paraId="6EDAF1B8" w14:textId="77777777" w:rsidR="006E4AA0" w:rsidRDefault="006E4AA0">
      <w:pPr>
        <w:pStyle w:val="Heading3"/>
        <w:sectPr w:rsidR="006E4AA0" w:rsidSect="00A77E29">
          <w:pgSz w:w="12240" w:h="15840"/>
          <w:pgMar w:top="1440" w:right="1440" w:bottom="1440" w:left="1440" w:header="720" w:footer="720" w:gutter="0"/>
          <w:lnNumType w:countBy="1" w:restart="continuous"/>
          <w:cols w:space="720"/>
        </w:sectPr>
      </w:pPr>
      <w:bookmarkStart w:id="7" w:name="figures"/>
      <w:bookmarkEnd w:id="7"/>
    </w:p>
    <w:p w14:paraId="6078121C" w14:textId="77777777" w:rsidR="0038556F" w:rsidRDefault="00FD4B78">
      <w:pPr>
        <w:pStyle w:val="Heading3"/>
      </w:pPr>
      <w:r>
        <w:lastRenderedPageBreak/>
        <w:t>Figures</w:t>
      </w:r>
    </w:p>
    <w:p w14:paraId="795B9628" w14:textId="77777777" w:rsidR="006E4AA0" w:rsidRDefault="006E4AA0">
      <w:pPr>
        <w:sectPr w:rsidR="006E4AA0" w:rsidSect="00A77E29">
          <w:pgSz w:w="12240" w:h="15840"/>
          <w:pgMar w:top="1440" w:right="1440" w:bottom="1440" w:left="1440" w:header="720" w:footer="720" w:gutter="0"/>
          <w:lnNumType w:countBy="1" w:restart="continuous"/>
          <w:cols w:space="720"/>
        </w:sectPr>
      </w:pPr>
      <w:r>
        <w:rPr>
          <w:b/>
          <w:noProof/>
        </w:rPr>
        <w:drawing>
          <wp:inline distT="0" distB="0" distL="0" distR="0" wp14:anchorId="231AA454" wp14:editId="501EEDBA">
            <wp:extent cx="5770340" cy="4812323"/>
            <wp:effectExtent l="0" t="0" r="0" b="0"/>
            <wp:docPr id="11" name="Picture 11" descr="Macintosh HD:Users:niel:Desktop:Baxter_glne007Modeling_2015:results:figures:Figur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el:Desktop:Baxter_glne007Modeling_2015:results:figures:Figure1.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340" cy="4812323"/>
                    </a:xfrm>
                    <a:prstGeom prst="rect">
                      <a:avLst/>
                    </a:prstGeom>
                    <a:noFill/>
                    <a:ln>
                      <a:noFill/>
                    </a:ln>
                  </pic:spPr>
                </pic:pic>
              </a:graphicData>
            </a:graphic>
          </wp:inline>
        </w:drawing>
      </w:r>
      <w:r w:rsidR="00FD4B78">
        <w:br/>
      </w:r>
      <w:r w:rsidR="00FD4B78">
        <w:rPr>
          <w:b/>
        </w:rPr>
        <w:t>Figure 1. Microbiota-based models can complement FIT.</w:t>
      </w:r>
      <w:r w:rsidR="00FD4B78">
        <w:t xml:space="preserve"> (A,C) ROC curves for distinguishing healthy patients from those with adenoma (A) or cancer (C) based on FIT or a microbiota-based random forest model. Open circles show the sensitivity and </w:t>
      </w:r>
      <w:proofErr w:type="spellStart"/>
      <w:r w:rsidR="00FD4B78">
        <w:t>specifity</w:t>
      </w:r>
      <w:proofErr w:type="spellEnd"/>
      <w:r w:rsidR="00FD4B78">
        <w:t xml:space="preserve"> of FIT with a 100ng/ml cutoff. Black points show the sensitivity and specificity of the microbiota-based models at the chosen cutoffs. (B,D) Results of FIT and a microbiota-based model for each adenoma (B) or cancer (D) sample. Dotted lines represent the cutoffs for each test. Points are shaded based on whether the lesion was detected by both tests (black), one of the two tests (grey), or neither test (white).</w:t>
      </w:r>
    </w:p>
    <w:p w14:paraId="499C8281" w14:textId="77777777" w:rsidR="0038556F" w:rsidRDefault="0038556F"/>
    <w:p w14:paraId="14476003" w14:textId="77777777" w:rsidR="006E4AA0" w:rsidRDefault="006E4AA0">
      <w:pPr>
        <w:sectPr w:rsidR="006E4AA0" w:rsidSect="00A77E29">
          <w:pgSz w:w="12240" w:h="15840"/>
          <w:pgMar w:top="1440" w:right="1440" w:bottom="1440" w:left="1440" w:header="720" w:footer="720" w:gutter="0"/>
          <w:lnNumType w:countBy="1" w:restart="continuous"/>
          <w:cols w:space="720"/>
        </w:sectPr>
      </w:pPr>
      <w:r>
        <w:rPr>
          <w:b/>
          <w:noProof/>
        </w:rPr>
        <w:drawing>
          <wp:inline distT="0" distB="0" distL="0" distR="0" wp14:anchorId="4D92CFC9" wp14:editId="143A3C59">
            <wp:extent cx="5943600" cy="2977515"/>
            <wp:effectExtent l="0" t="0" r="0" b="0"/>
            <wp:docPr id="12" name="Picture 12" descr="Macintosh HD:Users:niel:Desktop:Baxter_glne007Modeling_2015:results:figures:Figur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el:Desktop:Baxter_glne007Modeling_2015:results:figures:Figure2.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r w:rsidR="00FD4B78">
        <w:br/>
      </w:r>
      <w:r w:rsidR="00FD4B78">
        <w:rPr>
          <w:b/>
        </w:rPr>
        <w:t>Figure 2. Comparing MMT to FIT.</w:t>
      </w:r>
      <w:r w:rsidR="00FD4B78">
        <w:t xml:space="preserve"> (A) ROC Curves for the MMT (solid lines) and FIT (dashed lines) for distinguishing normal from any lesion (purple), normal from cancer (red) and normal from adenoma (orange). Filled dots show the sensitivity and specificity of the MMT at the optimal cutoff (0.622). Open dots show the sensitivity and specificity of FIT at the 100ng/ml cutoff. (B,C) </w:t>
      </w:r>
      <w:proofErr w:type="spellStart"/>
      <w:r w:rsidR="00FD4B78">
        <w:t>Stripcharts</w:t>
      </w:r>
      <w:proofErr w:type="spellEnd"/>
      <w:r w:rsidR="00FD4B78">
        <w:t xml:space="preserve"> showing the results for FIT (B) and the MMT (C). Dashed lines show the cutoff for each test. Points with a FIT result of 0 are jittered to improve visibility.</w:t>
      </w:r>
    </w:p>
    <w:p w14:paraId="113B2211" w14:textId="77777777" w:rsidR="0038556F" w:rsidRDefault="0038556F"/>
    <w:tbl>
      <w:tblPr>
        <w:tblW w:w="9555" w:type="dxa"/>
        <w:tblInd w:w="93" w:type="dxa"/>
        <w:tblLayout w:type="fixed"/>
        <w:tblLook w:val="04A0" w:firstRow="1" w:lastRow="0" w:firstColumn="1" w:lastColumn="0" w:noHBand="0" w:noVBand="1"/>
      </w:tblPr>
      <w:tblGrid>
        <w:gridCol w:w="1635"/>
        <w:gridCol w:w="1260"/>
        <w:gridCol w:w="1350"/>
        <w:gridCol w:w="1980"/>
        <w:gridCol w:w="1350"/>
        <w:gridCol w:w="1980"/>
      </w:tblGrid>
      <w:tr w:rsidR="00F62A62" w:rsidRPr="006E4AA0" w14:paraId="245DC280" w14:textId="77777777" w:rsidTr="00F62A62">
        <w:trPr>
          <w:trHeight w:val="643"/>
        </w:trPr>
        <w:tc>
          <w:tcPr>
            <w:tcW w:w="2895" w:type="dxa"/>
            <w:gridSpan w:val="2"/>
            <w:tcBorders>
              <w:top w:val="single" w:sz="8" w:space="0" w:color="auto"/>
              <w:left w:val="single" w:sz="8" w:space="0" w:color="auto"/>
              <w:bottom w:val="nil"/>
              <w:right w:val="single" w:sz="4" w:space="0" w:color="000000"/>
            </w:tcBorders>
            <w:shd w:val="clear" w:color="auto" w:fill="auto"/>
            <w:vAlign w:val="center"/>
            <w:hideMark/>
          </w:tcPr>
          <w:p w14:paraId="2496AAE3" w14:textId="77777777" w:rsidR="006E4AA0" w:rsidRPr="006E4AA0" w:rsidRDefault="006E4AA0" w:rsidP="006E4AA0">
            <w:pPr>
              <w:spacing w:before="0" w:after="0" w:line="240" w:lineRule="auto"/>
              <w:jc w:val="center"/>
              <w:rPr>
                <w:rFonts w:ascii="Cambria" w:eastAsia="Times New Roman" w:hAnsi="Cambria" w:cs="Times New Roman"/>
                <w:b/>
                <w:bCs/>
                <w:color w:val="000000"/>
              </w:rPr>
            </w:pPr>
            <w:bookmarkStart w:id="8" w:name="RANGE!A1:F8"/>
            <w:r w:rsidRPr="006E4AA0">
              <w:rPr>
                <w:rFonts w:ascii="Cambria" w:eastAsia="Times New Roman" w:hAnsi="Cambria" w:cs="Times New Roman"/>
                <w:b/>
                <w:bCs/>
                <w:color w:val="000000"/>
              </w:rPr>
              <w:t>Diagnosis</w:t>
            </w:r>
            <w:bookmarkEnd w:id="8"/>
          </w:p>
        </w:tc>
        <w:tc>
          <w:tcPr>
            <w:tcW w:w="3330" w:type="dxa"/>
            <w:gridSpan w:val="2"/>
            <w:tcBorders>
              <w:top w:val="single" w:sz="8" w:space="0" w:color="auto"/>
              <w:left w:val="nil"/>
              <w:bottom w:val="nil"/>
              <w:right w:val="single" w:sz="4" w:space="0" w:color="000000"/>
            </w:tcBorders>
            <w:shd w:val="clear" w:color="auto" w:fill="auto"/>
            <w:vAlign w:val="center"/>
            <w:hideMark/>
          </w:tcPr>
          <w:p w14:paraId="43268F98" w14:textId="77777777" w:rsidR="006E4AA0" w:rsidRPr="006E4AA0" w:rsidRDefault="006E4AA0" w:rsidP="006E4AA0">
            <w:pPr>
              <w:spacing w:before="0" w:after="0" w:line="240" w:lineRule="auto"/>
              <w:jc w:val="center"/>
              <w:rPr>
                <w:rFonts w:ascii="Cambria" w:eastAsia="Times New Roman" w:hAnsi="Cambria" w:cs="Times New Roman"/>
                <w:b/>
                <w:bCs/>
                <w:color w:val="000000"/>
              </w:rPr>
            </w:pPr>
            <w:r w:rsidRPr="006E4AA0">
              <w:rPr>
                <w:rFonts w:ascii="Cambria" w:eastAsia="Times New Roman" w:hAnsi="Cambria" w:cs="Times New Roman"/>
                <w:b/>
                <w:bCs/>
                <w:color w:val="000000"/>
              </w:rPr>
              <w:t>Fecal Immunochemical Test</w:t>
            </w:r>
          </w:p>
        </w:tc>
        <w:tc>
          <w:tcPr>
            <w:tcW w:w="3330" w:type="dxa"/>
            <w:gridSpan w:val="2"/>
            <w:tcBorders>
              <w:top w:val="single" w:sz="8" w:space="0" w:color="auto"/>
              <w:left w:val="nil"/>
              <w:bottom w:val="nil"/>
              <w:right w:val="single" w:sz="8" w:space="0" w:color="000000"/>
            </w:tcBorders>
            <w:shd w:val="clear" w:color="auto" w:fill="auto"/>
            <w:vAlign w:val="center"/>
            <w:hideMark/>
          </w:tcPr>
          <w:p w14:paraId="395F9ED9" w14:textId="77777777" w:rsidR="006E4AA0" w:rsidRPr="006E4AA0" w:rsidRDefault="006E4AA0" w:rsidP="006E4AA0">
            <w:pPr>
              <w:spacing w:before="0" w:after="0" w:line="240" w:lineRule="auto"/>
              <w:jc w:val="center"/>
              <w:rPr>
                <w:rFonts w:ascii="Cambria" w:eastAsia="Times New Roman" w:hAnsi="Cambria" w:cs="Times New Roman"/>
                <w:b/>
                <w:bCs/>
                <w:color w:val="000000"/>
              </w:rPr>
            </w:pPr>
            <w:proofErr w:type="spellStart"/>
            <w:r w:rsidRPr="006E4AA0">
              <w:rPr>
                <w:rFonts w:ascii="Cambria" w:eastAsia="Times New Roman" w:hAnsi="Cambria" w:cs="Times New Roman"/>
                <w:b/>
                <w:bCs/>
                <w:color w:val="000000"/>
              </w:rPr>
              <w:t>Multitarget</w:t>
            </w:r>
            <w:proofErr w:type="spellEnd"/>
            <w:r w:rsidRPr="006E4AA0">
              <w:rPr>
                <w:rFonts w:ascii="Cambria" w:eastAsia="Times New Roman" w:hAnsi="Cambria" w:cs="Times New Roman"/>
                <w:b/>
                <w:bCs/>
                <w:color w:val="000000"/>
              </w:rPr>
              <w:t xml:space="preserve"> Microbiota Test</w:t>
            </w:r>
          </w:p>
        </w:tc>
      </w:tr>
      <w:tr w:rsidR="00F62A62" w:rsidRPr="006E4AA0" w14:paraId="268BCCBF" w14:textId="77777777" w:rsidTr="00F62A62">
        <w:trPr>
          <w:trHeight w:val="522"/>
        </w:trPr>
        <w:tc>
          <w:tcPr>
            <w:tcW w:w="1635" w:type="dxa"/>
            <w:tcBorders>
              <w:top w:val="nil"/>
              <w:left w:val="single" w:sz="8" w:space="0" w:color="auto"/>
              <w:bottom w:val="nil"/>
              <w:right w:val="nil"/>
            </w:tcBorders>
            <w:shd w:val="clear" w:color="auto" w:fill="auto"/>
            <w:noWrap/>
            <w:vAlign w:val="center"/>
            <w:hideMark/>
          </w:tcPr>
          <w:p w14:paraId="3BFB6FE8"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260" w:type="dxa"/>
            <w:tcBorders>
              <w:top w:val="nil"/>
              <w:left w:val="nil"/>
              <w:bottom w:val="nil"/>
              <w:right w:val="single" w:sz="4" w:space="0" w:color="auto"/>
            </w:tcBorders>
            <w:shd w:val="clear" w:color="auto" w:fill="auto"/>
            <w:noWrap/>
            <w:vAlign w:val="center"/>
            <w:hideMark/>
          </w:tcPr>
          <w:p w14:paraId="3800F518"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350" w:type="dxa"/>
            <w:tcBorders>
              <w:top w:val="nil"/>
              <w:left w:val="nil"/>
              <w:bottom w:val="nil"/>
              <w:right w:val="nil"/>
            </w:tcBorders>
            <w:shd w:val="clear" w:color="auto" w:fill="auto"/>
            <w:vAlign w:val="center"/>
            <w:hideMark/>
          </w:tcPr>
          <w:p w14:paraId="17C75D1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Positives</w:t>
            </w:r>
          </w:p>
        </w:tc>
        <w:tc>
          <w:tcPr>
            <w:tcW w:w="1980" w:type="dxa"/>
            <w:tcBorders>
              <w:top w:val="nil"/>
              <w:left w:val="nil"/>
              <w:bottom w:val="nil"/>
              <w:right w:val="single" w:sz="4" w:space="0" w:color="auto"/>
            </w:tcBorders>
            <w:shd w:val="clear" w:color="auto" w:fill="auto"/>
            <w:vAlign w:val="center"/>
            <w:hideMark/>
          </w:tcPr>
          <w:p w14:paraId="564AAD6B"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Sensitivity</w:t>
            </w:r>
            <w:r w:rsidRPr="006E4AA0">
              <w:rPr>
                <w:rFonts w:ascii="Cambria" w:eastAsia="Times New Roman" w:hAnsi="Cambria" w:cs="Times New Roman"/>
                <w:color w:val="000000"/>
                <w:sz w:val="22"/>
                <w:szCs w:val="22"/>
              </w:rPr>
              <w:br/>
              <w:t>(95% CI)</w:t>
            </w:r>
          </w:p>
        </w:tc>
        <w:tc>
          <w:tcPr>
            <w:tcW w:w="1350" w:type="dxa"/>
            <w:tcBorders>
              <w:top w:val="nil"/>
              <w:left w:val="nil"/>
              <w:bottom w:val="nil"/>
              <w:right w:val="nil"/>
            </w:tcBorders>
            <w:shd w:val="clear" w:color="auto" w:fill="auto"/>
            <w:vAlign w:val="center"/>
            <w:hideMark/>
          </w:tcPr>
          <w:p w14:paraId="09EBC3F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Positives</w:t>
            </w:r>
          </w:p>
        </w:tc>
        <w:tc>
          <w:tcPr>
            <w:tcW w:w="1980" w:type="dxa"/>
            <w:tcBorders>
              <w:top w:val="nil"/>
              <w:left w:val="nil"/>
              <w:bottom w:val="nil"/>
              <w:right w:val="single" w:sz="8" w:space="0" w:color="auto"/>
            </w:tcBorders>
            <w:shd w:val="clear" w:color="auto" w:fill="auto"/>
            <w:vAlign w:val="center"/>
            <w:hideMark/>
          </w:tcPr>
          <w:p w14:paraId="34C93890"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Sensitivity</w:t>
            </w:r>
            <w:r w:rsidRPr="006E4AA0">
              <w:rPr>
                <w:rFonts w:ascii="Cambria" w:eastAsia="Times New Roman" w:hAnsi="Cambria" w:cs="Times New Roman"/>
                <w:color w:val="000000"/>
                <w:sz w:val="22"/>
                <w:szCs w:val="22"/>
              </w:rPr>
              <w:br/>
              <w:t>(95% CI)</w:t>
            </w:r>
          </w:p>
        </w:tc>
      </w:tr>
      <w:tr w:rsidR="00F62A62" w:rsidRPr="006E4AA0" w14:paraId="4570E8D7" w14:textId="77777777" w:rsidTr="00F62A62">
        <w:trPr>
          <w:trHeight w:val="382"/>
        </w:trPr>
        <w:tc>
          <w:tcPr>
            <w:tcW w:w="1635" w:type="dxa"/>
            <w:tcBorders>
              <w:top w:val="nil"/>
              <w:left w:val="single" w:sz="8" w:space="0" w:color="auto"/>
              <w:bottom w:val="nil"/>
              <w:right w:val="nil"/>
            </w:tcBorders>
            <w:shd w:val="clear" w:color="000000" w:fill="F2F2F2"/>
            <w:noWrap/>
            <w:vAlign w:val="center"/>
            <w:hideMark/>
          </w:tcPr>
          <w:p w14:paraId="5C3A8C7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Cancer</w:t>
            </w:r>
          </w:p>
        </w:tc>
        <w:tc>
          <w:tcPr>
            <w:tcW w:w="1260" w:type="dxa"/>
            <w:tcBorders>
              <w:top w:val="nil"/>
              <w:left w:val="nil"/>
              <w:bottom w:val="nil"/>
              <w:right w:val="single" w:sz="4" w:space="0" w:color="auto"/>
            </w:tcBorders>
            <w:shd w:val="clear" w:color="000000" w:fill="F2F2F2"/>
            <w:noWrap/>
            <w:vAlign w:val="center"/>
            <w:hideMark/>
          </w:tcPr>
          <w:p w14:paraId="4D2B52D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n=120</w:t>
            </w:r>
          </w:p>
        </w:tc>
        <w:tc>
          <w:tcPr>
            <w:tcW w:w="1350" w:type="dxa"/>
            <w:tcBorders>
              <w:top w:val="nil"/>
              <w:left w:val="nil"/>
              <w:bottom w:val="nil"/>
              <w:right w:val="nil"/>
            </w:tcBorders>
            <w:shd w:val="clear" w:color="000000" w:fill="F2F2F2"/>
            <w:noWrap/>
            <w:vAlign w:val="center"/>
            <w:hideMark/>
          </w:tcPr>
          <w:p w14:paraId="1217243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90</w:t>
            </w:r>
          </w:p>
        </w:tc>
        <w:tc>
          <w:tcPr>
            <w:tcW w:w="1980" w:type="dxa"/>
            <w:tcBorders>
              <w:top w:val="nil"/>
              <w:left w:val="nil"/>
              <w:bottom w:val="nil"/>
              <w:right w:val="single" w:sz="4" w:space="0" w:color="auto"/>
            </w:tcBorders>
            <w:shd w:val="clear" w:color="000000" w:fill="F2F2F2"/>
            <w:noWrap/>
            <w:vAlign w:val="center"/>
            <w:hideMark/>
          </w:tcPr>
          <w:p w14:paraId="1CD4CE03"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75.0</w:t>
            </w:r>
            <w:r w:rsidRPr="006E4AA0">
              <w:rPr>
                <w:rFonts w:ascii="Cambria" w:eastAsia="Times New Roman" w:hAnsi="Cambria" w:cs="Times New Roman"/>
                <w:color w:val="000000"/>
                <w:sz w:val="22"/>
                <w:szCs w:val="22"/>
              </w:rPr>
              <w:t xml:space="preserve"> (66.7-82.5)</w:t>
            </w:r>
          </w:p>
        </w:tc>
        <w:tc>
          <w:tcPr>
            <w:tcW w:w="1350" w:type="dxa"/>
            <w:tcBorders>
              <w:top w:val="nil"/>
              <w:left w:val="nil"/>
              <w:bottom w:val="nil"/>
              <w:right w:val="nil"/>
            </w:tcBorders>
            <w:shd w:val="clear" w:color="000000" w:fill="F2F2F2"/>
            <w:noWrap/>
            <w:vAlign w:val="center"/>
            <w:hideMark/>
          </w:tcPr>
          <w:p w14:paraId="2AF00AE1"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114</w:t>
            </w:r>
          </w:p>
        </w:tc>
        <w:tc>
          <w:tcPr>
            <w:tcW w:w="1980" w:type="dxa"/>
            <w:tcBorders>
              <w:top w:val="nil"/>
              <w:left w:val="nil"/>
              <w:bottom w:val="nil"/>
              <w:right w:val="single" w:sz="8" w:space="0" w:color="auto"/>
            </w:tcBorders>
            <w:shd w:val="clear" w:color="000000" w:fill="F2F2F2"/>
            <w:noWrap/>
            <w:vAlign w:val="center"/>
            <w:hideMark/>
          </w:tcPr>
          <w:p w14:paraId="55DE1FA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95.0</w:t>
            </w:r>
            <w:r w:rsidRPr="006E4AA0">
              <w:rPr>
                <w:rFonts w:ascii="Cambria" w:eastAsia="Times New Roman" w:hAnsi="Cambria" w:cs="Times New Roman"/>
                <w:color w:val="000000"/>
                <w:sz w:val="22"/>
                <w:szCs w:val="22"/>
              </w:rPr>
              <w:t xml:space="preserve"> (90.8-98.3)</w:t>
            </w:r>
          </w:p>
        </w:tc>
      </w:tr>
      <w:tr w:rsidR="00F62A62" w:rsidRPr="006E4AA0" w14:paraId="743E2E39" w14:textId="77777777" w:rsidTr="00F62A62">
        <w:trPr>
          <w:trHeight w:val="382"/>
        </w:trPr>
        <w:tc>
          <w:tcPr>
            <w:tcW w:w="1635" w:type="dxa"/>
            <w:tcBorders>
              <w:top w:val="nil"/>
              <w:left w:val="single" w:sz="8" w:space="0" w:color="auto"/>
              <w:bottom w:val="nil"/>
              <w:right w:val="nil"/>
            </w:tcBorders>
            <w:shd w:val="clear" w:color="000000" w:fill="FFFFFF"/>
            <w:noWrap/>
            <w:vAlign w:val="center"/>
            <w:hideMark/>
          </w:tcPr>
          <w:p w14:paraId="17A1492A"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Adenoma</w:t>
            </w:r>
          </w:p>
        </w:tc>
        <w:tc>
          <w:tcPr>
            <w:tcW w:w="1260" w:type="dxa"/>
            <w:tcBorders>
              <w:top w:val="nil"/>
              <w:left w:val="nil"/>
              <w:bottom w:val="nil"/>
              <w:right w:val="single" w:sz="4" w:space="0" w:color="auto"/>
            </w:tcBorders>
            <w:shd w:val="clear" w:color="000000" w:fill="FFFFFF"/>
            <w:noWrap/>
            <w:vAlign w:val="center"/>
            <w:hideMark/>
          </w:tcPr>
          <w:p w14:paraId="2180878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n=198</w:t>
            </w:r>
          </w:p>
        </w:tc>
        <w:tc>
          <w:tcPr>
            <w:tcW w:w="1350" w:type="dxa"/>
            <w:tcBorders>
              <w:top w:val="nil"/>
              <w:left w:val="nil"/>
              <w:bottom w:val="nil"/>
              <w:right w:val="nil"/>
            </w:tcBorders>
            <w:shd w:val="clear" w:color="000000" w:fill="FFFFFF"/>
            <w:noWrap/>
            <w:vAlign w:val="center"/>
            <w:hideMark/>
          </w:tcPr>
          <w:p w14:paraId="5ADD2E5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31</w:t>
            </w:r>
          </w:p>
        </w:tc>
        <w:tc>
          <w:tcPr>
            <w:tcW w:w="1980" w:type="dxa"/>
            <w:tcBorders>
              <w:top w:val="nil"/>
              <w:left w:val="nil"/>
              <w:bottom w:val="nil"/>
              <w:right w:val="single" w:sz="4" w:space="0" w:color="auto"/>
            </w:tcBorders>
            <w:shd w:val="clear" w:color="000000" w:fill="FFFFFF"/>
            <w:noWrap/>
            <w:vAlign w:val="center"/>
            <w:hideMark/>
          </w:tcPr>
          <w:p w14:paraId="7248DFE7"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15.7</w:t>
            </w:r>
            <w:r w:rsidRPr="006E4AA0">
              <w:rPr>
                <w:rFonts w:ascii="Cambria" w:eastAsia="Times New Roman" w:hAnsi="Cambria" w:cs="Times New Roman"/>
                <w:color w:val="000000"/>
                <w:sz w:val="22"/>
                <w:szCs w:val="22"/>
              </w:rPr>
              <w:t xml:space="preserve"> (10.6-20.7)</w:t>
            </w:r>
          </w:p>
        </w:tc>
        <w:tc>
          <w:tcPr>
            <w:tcW w:w="1350" w:type="dxa"/>
            <w:tcBorders>
              <w:top w:val="nil"/>
              <w:left w:val="nil"/>
              <w:bottom w:val="nil"/>
              <w:right w:val="nil"/>
            </w:tcBorders>
            <w:shd w:val="clear" w:color="000000" w:fill="FFFFFF"/>
            <w:noWrap/>
            <w:vAlign w:val="center"/>
            <w:hideMark/>
          </w:tcPr>
          <w:p w14:paraId="70C2A89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113</w:t>
            </w:r>
          </w:p>
        </w:tc>
        <w:tc>
          <w:tcPr>
            <w:tcW w:w="1980" w:type="dxa"/>
            <w:tcBorders>
              <w:top w:val="nil"/>
              <w:left w:val="nil"/>
              <w:bottom w:val="nil"/>
              <w:right w:val="single" w:sz="8" w:space="0" w:color="auto"/>
            </w:tcBorders>
            <w:shd w:val="clear" w:color="000000" w:fill="FFFFFF"/>
            <w:noWrap/>
            <w:vAlign w:val="center"/>
            <w:hideMark/>
          </w:tcPr>
          <w:p w14:paraId="76CB6713"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57.1</w:t>
            </w:r>
            <w:r w:rsidRPr="006E4AA0">
              <w:rPr>
                <w:rFonts w:ascii="Cambria" w:eastAsia="Times New Roman" w:hAnsi="Cambria" w:cs="Times New Roman"/>
                <w:color w:val="000000"/>
                <w:sz w:val="22"/>
                <w:szCs w:val="22"/>
              </w:rPr>
              <w:t xml:space="preserve">  (50.5-64.1)</w:t>
            </w:r>
          </w:p>
        </w:tc>
      </w:tr>
      <w:tr w:rsidR="00F62A62" w:rsidRPr="006E4AA0" w14:paraId="2029DE23" w14:textId="77777777" w:rsidTr="00F62A62">
        <w:trPr>
          <w:trHeight w:val="382"/>
        </w:trPr>
        <w:tc>
          <w:tcPr>
            <w:tcW w:w="1635" w:type="dxa"/>
            <w:tcBorders>
              <w:top w:val="nil"/>
              <w:left w:val="single" w:sz="8" w:space="0" w:color="auto"/>
              <w:bottom w:val="nil"/>
              <w:right w:val="nil"/>
            </w:tcBorders>
            <w:shd w:val="clear" w:color="000000" w:fill="F2F2F2"/>
            <w:noWrap/>
            <w:vAlign w:val="center"/>
            <w:hideMark/>
          </w:tcPr>
          <w:p w14:paraId="10803752"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Any Lesions</w:t>
            </w:r>
          </w:p>
        </w:tc>
        <w:tc>
          <w:tcPr>
            <w:tcW w:w="1260" w:type="dxa"/>
            <w:tcBorders>
              <w:top w:val="nil"/>
              <w:left w:val="nil"/>
              <w:bottom w:val="nil"/>
              <w:right w:val="single" w:sz="4" w:space="0" w:color="auto"/>
            </w:tcBorders>
            <w:shd w:val="clear" w:color="000000" w:fill="F2F2F2"/>
            <w:noWrap/>
            <w:vAlign w:val="center"/>
            <w:hideMark/>
          </w:tcPr>
          <w:p w14:paraId="21D70CF2"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n=318</w:t>
            </w:r>
          </w:p>
        </w:tc>
        <w:tc>
          <w:tcPr>
            <w:tcW w:w="1350" w:type="dxa"/>
            <w:tcBorders>
              <w:top w:val="nil"/>
              <w:left w:val="nil"/>
              <w:bottom w:val="nil"/>
              <w:right w:val="nil"/>
            </w:tcBorders>
            <w:shd w:val="clear" w:color="000000" w:fill="F2F2F2"/>
            <w:noWrap/>
            <w:vAlign w:val="center"/>
            <w:hideMark/>
          </w:tcPr>
          <w:p w14:paraId="521876AE"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121</w:t>
            </w:r>
          </w:p>
        </w:tc>
        <w:tc>
          <w:tcPr>
            <w:tcW w:w="1980" w:type="dxa"/>
            <w:tcBorders>
              <w:top w:val="nil"/>
              <w:left w:val="nil"/>
              <w:bottom w:val="nil"/>
              <w:right w:val="single" w:sz="4" w:space="0" w:color="auto"/>
            </w:tcBorders>
            <w:shd w:val="clear" w:color="000000" w:fill="F2F2F2"/>
            <w:noWrap/>
            <w:vAlign w:val="center"/>
            <w:hideMark/>
          </w:tcPr>
          <w:p w14:paraId="0F8DD817"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38.1</w:t>
            </w:r>
            <w:r w:rsidRPr="006E4AA0">
              <w:rPr>
                <w:rFonts w:ascii="Cambria" w:eastAsia="Times New Roman" w:hAnsi="Cambria" w:cs="Times New Roman"/>
                <w:color w:val="000000"/>
                <w:sz w:val="22"/>
                <w:szCs w:val="22"/>
              </w:rPr>
              <w:t xml:space="preserve"> (33-43.1)</w:t>
            </w:r>
          </w:p>
        </w:tc>
        <w:tc>
          <w:tcPr>
            <w:tcW w:w="1350" w:type="dxa"/>
            <w:tcBorders>
              <w:top w:val="nil"/>
              <w:left w:val="nil"/>
              <w:bottom w:val="nil"/>
              <w:right w:val="nil"/>
            </w:tcBorders>
            <w:shd w:val="clear" w:color="000000" w:fill="F2F2F2"/>
            <w:noWrap/>
            <w:vAlign w:val="center"/>
            <w:hideMark/>
          </w:tcPr>
          <w:p w14:paraId="4FA7ACE4"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227</w:t>
            </w:r>
          </w:p>
        </w:tc>
        <w:tc>
          <w:tcPr>
            <w:tcW w:w="1980" w:type="dxa"/>
            <w:tcBorders>
              <w:top w:val="nil"/>
              <w:left w:val="nil"/>
              <w:bottom w:val="nil"/>
              <w:right w:val="single" w:sz="8" w:space="0" w:color="auto"/>
            </w:tcBorders>
            <w:shd w:val="clear" w:color="000000" w:fill="F2F2F2"/>
            <w:noWrap/>
            <w:vAlign w:val="center"/>
            <w:hideMark/>
          </w:tcPr>
          <w:p w14:paraId="6EA08C0E"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71.4</w:t>
            </w:r>
            <w:r w:rsidRPr="006E4AA0">
              <w:rPr>
                <w:rFonts w:ascii="Cambria" w:eastAsia="Times New Roman" w:hAnsi="Cambria" w:cs="Times New Roman"/>
                <w:color w:val="000000"/>
                <w:sz w:val="22"/>
                <w:szCs w:val="22"/>
              </w:rPr>
              <w:t xml:space="preserve"> (66.4-76.1)</w:t>
            </w:r>
          </w:p>
        </w:tc>
      </w:tr>
      <w:tr w:rsidR="00F62A62" w:rsidRPr="006E4AA0" w14:paraId="43ECD892" w14:textId="77777777" w:rsidTr="00F62A62">
        <w:trPr>
          <w:trHeight w:val="281"/>
        </w:trPr>
        <w:tc>
          <w:tcPr>
            <w:tcW w:w="1635" w:type="dxa"/>
            <w:tcBorders>
              <w:top w:val="nil"/>
              <w:left w:val="single" w:sz="8" w:space="0" w:color="auto"/>
              <w:bottom w:val="nil"/>
              <w:right w:val="nil"/>
            </w:tcBorders>
            <w:shd w:val="clear" w:color="auto" w:fill="auto"/>
            <w:noWrap/>
            <w:vAlign w:val="center"/>
            <w:hideMark/>
          </w:tcPr>
          <w:p w14:paraId="013BB1A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260" w:type="dxa"/>
            <w:tcBorders>
              <w:top w:val="nil"/>
              <w:left w:val="nil"/>
              <w:bottom w:val="nil"/>
              <w:right w:val="single" w:sz="4" w:space="0" w:color="auto"/>
            </w:tcBorders>
            <w:shd w:val="clear" w:color="auto" w:fill="auto"/>
            <w:noWrap/>
            <w:vAlign w:val="center"/>
            <w:hideMark/>
          </w:tcPr>
          <w:p w14:paraId="6A1BB580"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350" w:type="dxa"/>
            <w:tcBorders>
              <w:top w:val="nil"/>
              <w:left w:val="nil"/>
              <w:bottom w:val="nil"/>
              <w:right w:val="nil"/>
            </w:tcBorders>
            <w:shd w:val="clear" w:color="auto" w:fill="auto"/>
            <w:noWrap/>
            <w:vAlign w:val="center"/>
            <w:hideMark/>
          </w:tcPr>
          <w:p w14:paraId="440EDB2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980" w:type="dxa"/>
            <w:tcBorders>
              <w:top w:val="nil"/>
              <w:left w:val="nil"/>
              <w:bottom w:val="nil"/>
              <w:right w:val="single" w:sz="4" w:space="0" w:color="auto"/>
            </w:tcBorders>
            <w:shd w:val="clear" w:color="auto" w:fill="auto"/>
            <w:noWrap/>
            <w:vAlign w:val="center"/>
            <w:hideMark/>
          </w:tcPr>
          <w:p w14:paraId="08FB0CF7"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350" w:type="dxa"/>
            <w:tcBorders>
              <w:top w:val="nil"/>
              <w:left w:val="nil"/>
              <w:bottom w:val="nil"/>
              <w:right w:val="nil"/>
            </w:tcBorders>
            <w:shd w:val="clear" w:color="auto" w:fill="auto"/>
            <w:noWrap/>
            <w:vAlign w:val="center"/>
            <w:hideMark/>
          </w:tcPr>
          <w:p w14:paraId="222D1B60"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p>
        </w:tc>
        <w:tc>
          <w:tcPr>
            <w:tcW w:w="1980" w:type="dxa"/>
            <w:tcBorders>
              <w:top w:val="nil"/>
              <w:left w:val="nil"/>
              <w:bottom w:val="nil"/>
              <w:right w:val="single" w:sz="8" w:space="0" w:color="auto"/>
            </w:tcBorders>
            <w:shd w:val="clear" w:color="auto" w:fill="auto"/>
            <w:noWrap/>
            <w:vAlign w:val="center"/>
            <w:hideMark/>
          </w:tcPr>
          <w:p w14:paraId="377FFBD4"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r>
      <w:tr w:rsidR="00F62A62" w:rsidRPr="006E4AA0" w14:paraId="5FB7F777" w14:textId="77777777" w:rsidTr="00F62A62">
        <w:trPr>
          <w:trHeight w:val="522"/>
        </w:trPr>
        <w:tc>
          <w:tcPr>
            <w:tcW w:w="1635" w:type="dxa"/>
            <w:tcBorders>
              <w:top w:val="nil"/>
              <w:left w:val="single" w:sz="8" w:space="0" w:color="auto"/>
              <w:bottom w:val="nil"/>
              <w:right w:val="nil"/>
            </w:tcBorders>
            <w:shd w:val="clear" w:color="auto" w:fill="auto"/>
            <w:noWrap/>
            <w:vAlign w:val="center"/>
            <w:hideMark/>
          </w:tcPr>
          <w:p w14:paraId="703D29B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260" w:type="dxa"/>
            <w:tcBorders>
              <w:top w:val="nil"/>
              <w:left w:val="nil"/>
              <w:bottom w:val="nil"/>
              <w:right w:val="single" w:sz="4" w:space="0" w:color="auto"/>
            </w:tcBorders>
            <w:shd w:val="clear" w:color="auto" w:fill="auto"/>
            <w:noWrap/>
            <w:vAlign w:val="center"/>
            <w:hideMark/>
          </w:tcPr>
          <w:p w14:paraId="7577032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350" w:type="dxa"/>
            <w:tcBorders>
              <w:top w:val="nil"/>
              <w:left w:val="nil"/>
              <w:bottom w:val="nil"/>
              <w:right w:val="nil"/>
            </w:tcBorders>
            <w:shd w:val="clear" w:color="auto" w:fill="auto"/>
            <w:vAlign w:val="center"/>
            <w:hideMark/>
          </w:tcPr>
          <w:p w14:paraId="71C225D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Negatives</w:t>
            </w:r>
          </w:p>
        </w:tc>
        <w:tc>
          <w:tcPr>
            <w:tcW w:w="1980" w:type="dxa"/>
            <w:tcBorders>
              <w:top w:val="nil"/>
              <w:left w:val="nil"/>
              <w:bottom w:val="nil"/>
              <w:right w:val="single" w:sz="4" w:space="0" w:color="auto"/>
            </w:tcBorders>
            <w:shd w:val="clear" w:color="auto" w:fill="auto"/>
            <w:vAlign w:val="center"/>
            <w:hideMark/>
          </w:tcPr>
          <w:p w14:paraId="4033C95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Specificity</w:t>
            </w:r>
            <w:r w:rsidRPr="006E4AA0">
              <w:rPr>
                <w:rFonts w:ascii="Cambria" w:eastAsia="Times New Roman" w:hAnsi="Cambria" w:cs="Times New Roman"/>
                <w:color w:val="000000"/>
                <w:sz w:val="22"/>
                <w:szCs w:val="22"/>
              </w:rPr>
              <w:br/>
              <w:t>(95% CI)</w:t>
            </w:r>
          </w:p>
        </w:tc>
        <w:tc>
          <w:tcPr>
            <w:tcW w:w="1350" w:type="dxa"/>
            <w:tcBorders>
              <w:top w:val="nil"/>
              <w:left w:val="nil"/>
              <w:bottom w:val="nil"/>
              <w:right w:val="nil"/>
            </w:tcBorders>
            <w:shd w:val="clear" w:color="auto" w:fill="auto"/>
            <w:vAlign w:val="center"/>
            <w:hideMark/>
          </w:tcPr>
          <w:p w14:paraId="1DBF9C52"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Negatives</w:t>
            </w:r>
          </w:p>
        </w:tc>
        <w:tc>
          <w:tcPr>
            <w:tcW w:w="1980" w:type="dxa"/>
            <w:tcBorders>
              <w:top w:val="nil"/>
              <w:left w:val="nil"/>
              <w:bottom w:val="nil"/>
              <w:right w:val="single" w:sz="8" w:space="0" w:color="auto"/>
            </w:tcBorders>
            <w:shd w:val="clear" w:color="auto" w:fill="auto"/>
            <w:vAlign w:val="center"/>
            <w:hideMark/>
          </w:tcPr>
          <w:p w14:paraId="5ADCB27B"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Specificity</w:t>
            </w:r>
            <w:r w:rsidRPr="006E4AA0">
              <w:rPr>
                <w:rFonts w:ascii="Cambria" w:eastAsia="Times New Roman" w:hAnsi="Cambria" w:cs="Times New Roman"/>
                <w:color w:val="000000"/>
                <w:sz w:val="22"/>
                <w:szCs w:val="22"/>
              </w:rPr>
              <w:br/>
              <w:t>(95% CI)</w:t>
            </w:r>
          </w:p>
        </w:tc>
      </w:tr>
      <w:tr w:rsidR="00F62A62" w:rsidRPr="006E4AA0" w14:paraId="792F6B36" w14:textId="77777777" w:rsidTr="00F62A62">
        <w:trPr>
          <w:trHeight w:val="442"/>
        </w:trPr>
        <w:tc>
          <w:tcPr>
            <w:tcW w:w="1635" w:type="dxa"/>
            <w:tcBorders>
              <w:top w:val="nil"/>
              <w:left w:val="single" w:sz="8" w:space="0" w:color="auto"/>
              <w:bottom w:val="single" w:sz="8" w:space="0" w:color="auto"/>
              <w:right w:val="nil"/>
            </w:tcBorders>
            <w:shd w:val="clear" w:color="000000" w:fill="F2F2F2"/>
            <w:noWrap/>
            <w:vAlign w:val="center"/>
            <w:hideMark/>
          </w:tcPr>
          <w:p w14:paraId="2F9D87D1"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Normal</w:t>
            </w:r>
          </w:p>
        </w:tc>
        <w:tc>
          <w:tcPr>
            <w:tcW w:w="1260" w:type="dxa"/>
            <w:tcBorders>
              <w:top w:val="nil"/>
              <w:left w:val="nil"/>
              <w:bottom w:val="single" w:sz="8" w:space="0" w:color="auto"/>
              <w:right w:val="single" w:sz="4" w:space="0" w:color="auto"/>
            </w:tcBorders>
            <w:shd w:val="clear" w:color="000000" w:fill="F2F2F2"/>
            <w:noWrap/>
            <w:vAlign w:val="center"/>
            <w:hideMark/>
          </w:tcPr>
          <w:p w14:paraId="497032DE"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n=172</w:t>
            </w:r>
          </w:p>
        </w:tc>
        <w:tc>
          <w:tcPr>
            <w:tcW w:w="1350" w:type="dxa"/>
            <w:tcBorders>
              <w:top w:val="nil"/>
              <w:left w:val="nil"/>
              <w:bottom w:val="single" w:sz="8" w:space="0" w:color="auto"/>
              <w:right w:val="nil"/>
            </w:tcBorders>
            <w:shd w:val="clear" w:color="000000" w:fill="F2F2F2"/>
            <w:noWrap/>
            <w:vAlign w:val="center"/>
            <w:hideMark/>
          </w:tcPr>
          <w:p w14:paraId="705C5599"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167</w:t>
            </w:r>
          </w:p>
        </w:tc>
        <w:tc>
          <w:tcPr>
            <w:tcW w:w="1980" w:type="dxa"/>
            <w:tcBorders>
              <w:top w:val="nil"/>
              <w:left w:val="nil"/>
              <w:bottom w:val="single" w:sz="8" w:space="0" w:color="auto"/>
              <w:right w:val="single" w:sz="4" w:space="0" w:color="auto"/>
            </w:tcBorders>
            <w:shd w:val="clear" w:color="000000" w:fill="F2F2F2"/>
            <w:noWrap/>
            <w:vAlign w:val="center"/>
            <w:hideMark/>
          </w:tcPr>
          <w:p w14:paraId="214CBE74"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97.1</w:t>
            </w:r>
            <w:r w:rsidRPr="006E4AA0">
              <w:rPr>
                <w:rFonts w:ascii="Cambria" w:eastAsia="Times New Roman" w:hAnsi="Cambria" w:cs="Times New Roman"/>
                <w:color w:val="000000"/>
                <w:sz w:val="22"/>
                <w:szCs w:val="22"/>
              </w:rPr>
              <w:t xml:space="preserve"> (94.8-99.4)</w:t>
            </w:r>
          </w:p>
        </w:tc>
        <w:tc>
          <w:tcPr>
            <w:tcW w:w="1350" w:type="dxa"/>
            <w:tcBorders>
              <w:top w:val="nil"/>
              <w:left w:val="nil"/>
              <w:bottom w:val="single" w:sz="8" w:space="0" w:color="auto"/>
              <w:right w:val="nil"/>
            </w:tcBorders>
            <w:shd w:val="clear" w:color="000000" w:fill="F2F2F2"/>
            <w:noWrap/>
            <w:vAlign w:val="center"/>
            <w:hideMark/>
          </w:tcPr>
          <w:p w14:paraId="183322F6"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144</w:t>
            </w:r>
          </w:p>
        </w:tc>
        <w:tc>
          <w:tcPr>
            <w:tcW w:w="1980" w:type="dxa"/>
            <w:tcBorders>
              <w:top w:val="nil"/>
              <w:left w:val="nil"/>
              <w:bottom w:val="single" w:sz="8" w:space="0" w:color="auto"/>
              <w:right w:val="single" w:sz="8" w:space="0" w:color="auto"/>
            </w:tcBorders>
            <w:shd w:val="clear" w:color="000000" w:fill="F2F2F2"/>
            <w:noWrap/>
            <w:vAlign w:val="center"/>
            <w:hideMark/>
          </w:tcPr>
          <w:p w14:paraId="7CD1016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83.7</w:t>
            </w:r>
            <w:r w:rsidRPr="006E4AA0">
              <w:rPr>
                <w:rFonts w:ascii="Cambria" w:eastAsia="Times New Roman" w:hAnsi="Cambria" w:cs="Times New Roman"/>
                <w:color w:val="000000"/>
                <w:sz w:val="22"/>
                <w:szCs w:val="22"/>
              </w:rPr>
              <w:t xml:space="preserve"> (78.5-89)</w:t>
            </w:r>
          </w:p>
        </w:tc>
      </w:tr>
    </w:tbl>
    <w:p w14:paraId="2B30E9A2" w14:textId="77777777" w:rsidR="0038556F" w:rsidRDefault="00FD4B78">
      <w:r>
        <w:br/>
      </w:r>
      <w:r>
        <w:rPr>
          <w:b/>
        </w:rPr>
        <w:t>Table 1. Sensitivities and specificities for FIT and MMT.</w:t>
      </w:r>
      <w:r>
        <w:t xml:space="preserve"> The 95% confidence intervals were computed with 2000 stratified bootstrap replicates.</w:t>
      </w:r>
    </w:p>
    <w:p w14:paraId="0E7FBECD" w14:textId="77777777" w:rsidR="0038556F" w:rsidRDefault="006E4AA0">
      <w:r>
        <w:rPr>
          <w:b/>
          <w:noProof/>
        </w:rPr>
        <w:lastRenderedPageBreak/>
        <w:drawing>
          <wp:inline distT="0" distB="0" distL="0" distR="0" wp14:anchorId="1929CC25" wp14:editId="7389688D">
            <wp:extent cx="5943600" cy="3962400"/>
            <wp:effectExtent l="0" t="0" r="0" b="0"/>
            <wp:docPr id="13" name="Picture 13" descr="Macintosh HD:Users:niel:Desktop:Baxter_glne007Modeling_2015:results:figures:Figure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el:Desktop:Baxter_glne007Modeling_2015:results:figures:Figure3.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FD4B78">
        <w:br/>
      </w:r>
      <w:r w:rsidR="00FD4B78">
        <w:rPr>
          <w:b/>
        </w:rPr>
        <w:t>Figure 3. Sensitivities for FIT and MMT for each stage of tumor development.</w:t>
      </w:r>
      <w:r w:rsidR="00FD4B78">
        <w:t xml:space="preserve"> P-values based on </w:t>
      </w:r>
      <w:proofErr w:type="spellStart"/>
      <w:r w:rsidR="00FD4B78">
        <w:t>McNemar's</w:t>
      </w:r>
      <w:proofErr w:type="spellEnd"/>
      <w:r w:rsidR="00FD4B78">
        <w:t xml:space="preserve"> chi-squared test.</w:t>
      </w:r>
    </w:p>
    <w:p w14:paraId="55C774DF" w14:textId="7280F274" w:rsidR="006E4AA0" w:rsidRDefault="006E4AA0">
      <w:pPr>
        <w:sectPr w:rsidR="006E4AA0" w:rsidSect="00A77E29">
          <w:pgSz w:w="12240" w:h="15840"/>
          <w:pgMar w:top="1440" w:right="1440" w:bottom="1440" w:left="1440" w:header="720" w:footer="720" w:gutter="0"/>
          <w:lnNumType w:countBy="1" w:restart="continuous"/>
          <w:cols w:space="720"/>
        </w:sectPr>
      </w:pPr>
      <w:r>
        <w:rPr>
          <w:b/>
          <w:noProof/>
        </w:rPr>
        <w:lastRenderedPageBreak/>
        <w:drawing>
          <wp:inline distT="0" distB="0" distL="0" distR="0" wp14:anchorId="797CE381" wp14:editId="4730B67C">
            <wp:extent cx="5943600" cy="3563620"/>
            <wp:effectExtent l="0" t="0" r="0" b="0"/>
            <wp:docPr id="14" name="Picture 14" descr="Macintosh HD:Users:niel:Desktop:Baxter_glne007Modeling_2015:results:figures:Figure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el:Desktop:Baxter_glne007Modeling_2015:results:figures:Figure4.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3620"/>
                    </a:xfrm>
                    <a:prstGeom prst="rect">
                      <a:avLst/>
                    </a:prstGeom>
                    <a:noFill/>
                    <a:ln>
                      <a:noFill/>
                    </a:ln>
                  </pic:spPr>
                </pic:pic>
              </a:graphicData>
            </a:graphic>
          </wp:inline>
        </w:drawing>
      </w:r>
      <w:r w:rsidR="00FD4B78">
        <w:br/>
      </w:r>
      <w:r w:rsidR="00FD4B78">
        <w:rPr>
          <w:b/>
        </w:rPr>
        <w:t>Figure 4. Relationship between FIT and MMT for each sample.</w:t>
      </w:r>
      <w:r w:rsidR="00FD4B78">
        <w:t xml:space="preserve"> (A) Scatterplot of MMT and FIT results for each sample. Dashed lines show the cutoff for each test. Points with a FIT result of 0 are jittered to improve visibility. (B) </w:t>
      </w:r>
      <w:proofErr w:type="spellStart"/>
      <w:r w:rsidR="00FD4B78">
        <w:t>Stripchart</w:t>
      </w:r>
      <w:proofErr w:type="spellEnd"/>
      <w:r w:rsidR="00FD4B78">
        <w:t xml:space="preserve"> of MMT results for samples separated by binary FIT result.</w:t>
      </w:r>
    </w:p>
    <w:p w14:paraId="5FDB63E7" w14:textId="77777777" w:rsidR="0038556F" w:rsidRDefault="0038556F"/>
    <w:tbl>
      <w:tblPr>
        <w:tblW w:w="9136" w:type="dxa"/>
        <w:tblInd w:w="93" w:type="dxa"/>
        <w:tblLayout w:type="fixed"/>
        <w:tblLook w:val="04A0" w:firstRow="1" w:lastRow="0" w:firstColumn="1" w:lastColumn="0" w:noHBand="0" w:noVBand="1"/>
      </w:tblPr>
      <w:tblGrid>
        <w:gridCol w:w="2073"/>
        <w:gridCol w:w="1217"/>
        <w:gridCol w:w="1575"/>
        <w:gridCol w:w="1293"/>
        <w:gridCol w:w="1443"/>
        <w:gridCol w:w="1535"/>
      </w:tblGrid>
      <w:tr w:rsidR="00FD4B78" w:rsidRPr="006E4AA0" w14:paraId="6961EA8C" w14:textId="77777777" w:rsidTr="00A77E29">
        <w:trPr>
          <w:trHeight w:val="225"/>
        </w:trPr>
        <w:tc>
          <w:tcPr>
            <w:tcW w:w="9136" w:type="dxa"/>
            <w:gridSpan w:val="6"/>
            <w:tcBorders>
              <w:top w:val="nil"/>
              <w:left w:val="nil"/>
              <w:bottom w:val="nil"/>
              <w:right w:val="nil"/>
            </w:tcBorders>
            <w:shd w:val="clear" w:color="auto" w:fill="auto"/>
            <w:noWrap/>
            <w:vAlign w:val="bottom"/>
            <w:hideMark/>
          </w:tcPr>
          <w:p w14:paraId="24018542" w14:textId="77777777" w:rsidR="00FD4B78" w:rsidRPr="006E4AA0" w:rsidRDefault="00FD4B78" w:rsidP="00FD4B78">
            <w:pPr>
              <w:spacing w:before="0" w:after="0" w:line="240" w:lineRule="auto"/>
              <w:jc w:val="center"/>
              <w:rPr>
                <w:rFonts w:ascii="Arial" w:eastAsia="Times New Roman" w:hAnsi="Arial" w:cs="Arial"/>
                <w:b/>
                <w:bCs/>
                <w:color w:val="000000"/>
                <w:sz w:val="20"/>
                <w:szCs w:val="20"/>
              </w:rPr>
            </w:pPr>
            <w:r w:rsidRPr="006E4AA0">
              <w:rPr>
                <w:rFonts w:ascii="Arial" w:eastAsia="Times New Roman" w:hAnsi="Arial" w:cs="Arial"/>
                <w:b/>
                <w:bCs/>
                <w:color w:val="000000"/>
                <w:sz w:val="20"/>
                <w:szCs w:val="20"/>
              </w:rPr>
              <w:t>Number and Percentage of True Positives Identified through FIT and MMT</w:t>
            </w:r>
          </w:p>
        </w:tc>
      </w:tr>
      <w:tr w:rsidR="006E4AA0" w:rsidRPr="006E4AA0" w14:paraId="400EAC02" w14:textId="77777777" w:rsidTr="00FD4B78">
        <w:trPr>
          <w:trHeight w:val="243"/>
        </w:trPr>
        <w:tc>
          <w:tcPr>
            <w:tcW w:w="2073" w:type="dxa"/>
            <w:tcBorders>
              <w:top w:val="nil"/>
              <w:left w:val="nil"/>
              <w:bottom w:val="single" w:sz="8" w:space="0" w:color="auto"/>
              <w:right w:val="nil"/>
            </w:tcBorders>
            <w:shd w:val="clear" w:color="auto" w:fill="auto"/>
            <w:noWrap/>
            <w:vAlign w:val="bottom"/>
            <w:hideMark/>
          </w:tcPr>
          <w:p w14:paraId="6C6FF830"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217" w:type="dxa"/>
            <w:tcBorders>
              <w:top w:val="nil"/>
              <w:left w:val="nil"/>
              <w:bottom w:val="single" w:sz="8" w:space="0" w:color="auto"/>
              <w:right w:val="nil"/>
            </w:tcBorders>
            <w:shd w:val="clear" w:color="auto" w:fill="auto"/>
            <w:noWrap/>
            <w:vAlign w:val="bottom"/>
            <w:hideMark/>
          </w:tcPr>
          <w:p w14:paraId="1E9148E5"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575" w:type="dxa"/>
            <w:tcBorders>
              <w:top w:val="nil"/>
              <w:left w:val="nil"/>
              <w:bottom w:val="single" w:sz="8" w:space="0" w:color="auto"/>
              <w:right w:val="nil"/>
            </w:tcBorders>
            <w:shd w:val="clear" w:color="auto" w:fill="auto"/>
            <w:noWrap/>
            <w:vAlign w:val="bottom"/>
            <w:hideMark/>
          </w:tcPr>
          <w:p w14:paraId="46A62B9E"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293" w:type="dxa"/>
            <w:tcBorders>
              <w:top w:val="nil"/>
              <w:left w:val="nil"/>
              <w:bottom w:val="single" w:sz="8" w:space="0" w:color="auto"/>
              <w:right w:val="nil"/>
            </w:tcBorders>
            <w:shd w:val="clear" w:color="auto" w:fill="auto"/>
            <w:noWrap/>
            <w:vAlign w:val="bottom"/>
            <w:hideMark/>
          </w:tcPr>
          <w:p w14:paraId="6FE42F9A"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443" w:type="dxa"/>
            <w:tcBorders>
              <w:top w:val="nil"/>
              <w:left w:val="nil"/>
              <w:bottom w:val="single" w:sz="8" w:space="0" w:color="auto"/>
              <w:right w:val="nil"/>
            </w:tcBorders>
            <w:shd w:val="clear" w:color="auto" w:fill="auto"/>
            <w:noWrap/>
            <w:vAlign w:val="bottom"/>
            <w:hideMark/>
          </w:tcPr>
          <w:p w14:paraId="200313AB"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535" w:type="dxa"/>
            <w:tcBorders>
              <w:top w:val="nil"/>
              <w:left w:val="nil"/>
              <w:bottom w:val="single" w:sz="8" w:space="0" w:color="auto"/>
              <w:right w:val="nil"/>
            </w:tcBorders>
            <w:shd w:val="clear" w:color="auto" w:fill="auto"/>
            <w:noWrap/>
            <w:vAlign w:val="bottom"/>
            <w:hideMark/>
          </w:tcPr>
          <w:p w14:paraId="3116502D"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r>
      <w:tr w:rsidR="006E4AA0" w:rsidRPr="006E4AA0" w14:paraId="5D2A3C6C" w14:textId="77777777" w:rsidTr="00FD4B78">
        <w:trPr>
          <w:trHeight w:val="832"/>
        </w:trPr>
        <w:tc>
          <w:tcPr>
            <w:tcW w:w="2073" w:type="dxa"/>
            <w:tcBorders>
              <w:top w:val="nil"/>
              <w:left w:val="nil"/>
              <w:bottom w:val="single" w:sz="4" w:space="0" w:color="auto"/>
              <w:right w:val="nil"/>
            </w:tcBorders>
            <w:shd w:val="clear" w:color="auto" w:fill="auto"/>
            <w:noWrap/>
            <w:vAlign w:val="bottom"/>
            <w:hideMark/>
          </w:tcPr>
          <w:p w14:paraId="0DE9A484"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Condition</w:t>
            </w:r>
          </w:p>
        </w:tc>
        <w:tc>
          <w:tcPr>
            <w:tcW w:w="1217" w:type="dxa"/>
            <w:tcBorders>
              <w:top w:val="nil"/>
              <w:left w:val="nil"/>
              <w:bottom w:val="single" w:sz="4" w:space="0" w:color="auto"/>
              <w:right w:val="nil"/>
            </w:tcBorders>
            <w:shd w:val="clear" w:color="auto" w:fill="auto"/>
            <w:noWrap/>
            <w:vAlign w:val="bottom"/>
            <w:hideMark/>
          </w:tcPr>
          <w:p w14:paraId="575922FC"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Prevalence</w:t>
            </w:r>
          </w:p>
        </w:tc>
        <w:tc>
          <w:tcPr>
            <w:tcW w:w="1575" w:type="dxa"/>
            <w:tcBorders>
              <w:top w:val="nil"/>
              <w:left w:val="nil"/>
              <w:bottom w:val="single" w:sz="4" w:space="0" w:color="auto"/>
              <w:right w:val="nil"/>
            </w:tcBorders>
            <w:shd w:val="clear" w:color="auto" w:fill="auto"/>
            <w:vAlign w:val="bottom"/>
            <w:hideMark/>
          </w:tcPr>
          <w:p w14:paraId="119FFEE2"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Number of Persons, ages 50-75 years, with Condition</w:t>
            </w:r>
          </w:p>
        </w:tc>
        <w:tc>
          <w:tcPr>
            <w:tcW w:w="1293" w:type="dxa"/>
            <w:tcBorders>
              <w:top w:val="nil"/>
              <w:left w:val="nil"/>
              <w:bottom w:val="single" w:sz="4" w:space="0" w:color="auto"/>
              <w:right w:val="nil"/>
            </w:tcBorders>
            <w:shd w:val="clear" w:color="auto" w:fill="auto"/>
            <w:vAlign w:val="bottom"/>
            <w:hideMark/>
          </w:tcPr>
          <w:p w14:paraId="4201D5B4"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True Positives identified through FIT</w:t>
            </w:r>
          </w:p>
        </w:tc>
        <w:tc>
          <w:tcPr>
            <w:tcW w:w="1443" w:type="dxa"/>
            <w:tcBorders>
              <w:top w:val="nil"/>
              <w:left w:val="nil"/>
              <w:bottom w:val="single" w:sz="4" w:space="0" w:color="auto"/>
              <w:right w:val="nil"/>
            </w:tcBorders>
            <w:shd w:val="clear" w:color="auto" w:fill="auto"/>
            <w:vAlign w:val="bottom"/>
            <w:hideMark/>
          </w:tcPr>
          <w:p w14:paraId="5B703DAB"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True Positives identified through additional MMT</w:t>
            </w:r>
          </w:p>
        </w:tc>
        <w:tc>
          <w:tcPr>
            <w:tcW w:w="1535" w:type="dxa"/>
            <w:tcBorders>
              <w:top w:val="nil"/>
              <w:left w:val="nil"/>
              <w:bottom w:val="single" w:sz="4" w:space="0" w:color="auto"/>
              <w:right w:val="nil"/>
            </w:tcBorders>
            <w:shd w:val="clear" w:color="auto" w:fill="auto"/>
            <w:vAlign w:val="bottom"/>
            <w:hideMark/>
          </w:tcPr>
          <w:p w14:paraId="7BFABCCF"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Percentage of True Positives identified through additional MMT</w:t>
            </w:r>
          </w:p>
        </w:tc>
      </w:tr>
      <w:tr w:rsidR="006E4AA0" w:rsidRPr="006E4AA0" w14:paraId="21F7588B" w14:textId="77777777" w:rsidTr="00FD4B78">
        <w:trPr>
          <w:trHeight w:val="225"/>
        </w:trPr>
        <w:tc>
          <w:tcPr>
            <w:tcW w:w="2073" w:type="dxa"/>
            <w:tcBorders>
              <w:top w:val="nil"/>
              <w:left w:val="nil"/>
              <w:bottom w:val="nil"/>
              <w:right w:val="nil"/>
            </w:tcBorders>
            <w:shd w:val="clear" w:color="auto" w:fill="auto"/>
            <w:noWrap/>
            <w:vAlign w:val="bottom"/>
            <w:hideMark/>
          </w:tcPr>
          <w:p w14:paraId="385CD260"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217" w:type="dxa"/>
            <w:tcBorders>
              <w:top w:val="nil"/>
              <w:left w:val="nil"/>
              <w:bottom w:val="nil"/>
              <w:right w:val="nil"/>
            </w:tcBorders>
            <w:shd w:val="clear" w:color="auto" w:fill="auto"/>
            <w:noWrap/>
            <w:vAlign w:val="bottom"/>
            <w:hideMark/>
          </w:tcPr>
          <w:p w14:paraId="5BFF903B"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575" w:type="dxa"/>
            <w:tcBorders>
              <w:top w:val="nil"/>
              <w:left w:val="nil"/>
              <w:bottom w:val="nil"/>
              <w:right w:val="nil"/>
            </w:tcBorders>
            <w:shd w:val="clear" w:color="auto" w:fill="auto"/>
            <w:noWrap/>
            <w:vAlign w:val="bottom"/>
            <w:hideMark/>
          </w:tcPr>
          <w:p w14:paraId="764CFBBA"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293" w:type="dxa"/>
            <w:tcBorders>
              <w:top w:val="nil"/>
              <w:left w:val="nil"/>
              <w:bottom w:val="nil"/>
              <w:right w:val="nil"/>
            </w:tcBorders>
            <w:shd w:val="clear" w:color="auto" w:fill="auto"/>
            <w:noWrap/>
            <w:vAlign w:val="bottom"/>
            <w:hideMark/>
          </w:tcPr>
          <w:p w14:paraId="0261F5AD"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443" w:type="dxa"/>
            <w:tcBorders>
              <w:top w:val="nil"/>
              <w:left w:val="nil"/>
              <w:bottom w:val="nil"/>
              <w:right w:val="nil"/>
            </w:tcBorders>
            <w:shd w:val="clear" w:color="auto" w:fill="auto"/>
            <w:noWrap/>
            <w:vAlign w:val="bottom"/>
            <w:hideMark/>
          </w:tcPr>
          <w:p w14:paraId="031A9EEE"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535" w:type="dxa"/>
            <w:tcBorders>
              <w:top w:val="nil"/>
              <w:left w:val="nil"/>
              <w:bottom w:val="nil"/>
              <w:right w:val="nil"/>
            </w:tcBorders>
            <w:shd w:val="clear" w:color="auto" w:fill="auto"/>
            <w:noWrap/>
            <w:vAlign w:val="bottom"/>
            <w:hideMark/>
          </w:tcPr>
          <w:p w14:paraId="2F4FC2F7"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r>
      <w:tr w:rsidR="006E4AA0" w:rsidRPr="006E4AA0" w14:paraId="1AD42754" w14:textId="77777777" w:rsidTr="00FD4B78">
        <w:trPr>
          <w:trHeight w:val="225"/>
        </w:trPr>
        <w:tc>
          <w:tcPr>
            <w:tcW w:w="2073" w:type="dxa"/>
            <w:tcBorders>
              <w:top w:val="nil"/>
              <w:left w:val="nil"/>
              <w:bottom w:val="nil"/>
              <w:right w:val="nil"/>
            </w:tcBorders>
            <w:shd w:val="clear" w:color="auto" w:fill="auto"/>
            <w:noWrap/>
            <w:vAlign w:val="bottom"/>
            <w:hideMark/>
          </w:tcPr>
          <w:p w14:paraId="290C7E07"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Cancer</w:t>
            </w:r>
          </w:p>
        </w:tc>
        <w:tc>
          <w:tcPr>
            <w:tcW w:w="1217" w:type="dxa"/>
            <w:tcBorders>
              <w:top w:val="nil"/>
              <w:left w:val="nil"/>
              <w:bottom w:val="nil"/>
              <w:right w:val="nil"/>
            </w:tcBorders>
            <w:shd w:val="clear" w:color="auto" w:fill="auto"/>
            <w:noWrap/>
            <w:vAlign w:val="bottom"/>
            <w:hideMark/>
          </w:tcPr>
          <w:p w14:paraId="5F4B887D"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0.3%</w:t>
            </w:r>
          </w:p>
        </w:tc>
        <w:tc>
          <w:tcPr>
            <w:tcW w:w="1575" w:type="dxa"/>
            <w:tcBorders>
              <w:top w:val="nil"/>
              <w:left w:val="nil"/>
              <w:bottom w:val="nil"/>
              <w:right w:val="nil"/>
            </w:tcBorders>
            <w:shd w:val="clear" w:color="auto" w:fill="auto"/>
            <w:noWrap/>
            <w:vAlign w:val="bottom"/>
            <w:hideMark/>
          </w:tcPr>
          <w:p w14:paraId="6FC01B38"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241,483</w:t>
            </w:r>
          </w:p>
        </w:tc>
        <w:tc>
          <w:tcPr>
            <w:tcW w:w="1293" w:type="dxa"/>
            <w:tcBorders>
              <w:top w:val="nil"/>
              <w:left w:val="nil"/>
              <w:bottom w:val="nil"/>
              <w:right w:val="nil"/>
            </w:tcBorders>
            <w:shd w:val="clear" w:color="auto" w:fill="auto"/>
            <w:noWrap/>
            <w:vAlign w:val="bottom"/>
            <w:hideMark/>
          </w:tcPr>
          <w:p w14:paraId="37E11E31"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181,112</w:t>
            </w:r>
          </w:p>
        </w:tc>
        <w:tc>
          <w:tcPr>
            <w:tcW w:w="1443" w:type="dxa"/>
            <w:tcBorders>
              <w:top w:val="nil"/>
              <w:left w:val="nil"/>
              <w:bottom w:val="nil"/>
              <w:right w:val="nil"/>
            </w:tcBorders>
            <w:shd w:val="clear" w:color="auto" w:fill="auto"/>
            <w:noWrap/>
            <w:vAlign w:val="bottom"/>
            <w:hideMark/>
          </w:tcPr>
          <w:p w14:paraId="5250188A"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222,260</w:t>
            </w:r>
          </w:p>
        </w:tc>
        <w:tc>
          <w:tcPr>
            <w:tcW w:w="1535" w:type="dxa"/>
            <w:tcBorders>
              <w:top w:val="nil"/>
              <w:left w:val="nil"/>
              <w:bottom w:val="nil"/>
              <w:right w:val="nil"/>
            </w:tcBorders>
            <w:shd w:val="clear" w:color="auto" w:fill="auto"/>
            <w:noWrap/>
            <w:vAlign w:val="bottom"/>
            <w:hideMark/>
          </w:tcPr>
          <w:p w14:paraId="65CA3EB2"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55.1%</w:t>
            </w:r>
          </w:p>
        </w:tc>
      </w:tr>
      <w:tr w:rsidR="006E4AA0" w:rsidRPr="006E4AA0" w14:paraId="1D0DD20B" w14:textId="77777777" w:rsidTr="00FD4B78">
        <w:trPr>
          <w:trHeight w:val="225"/>
        </w:trPr>
        <w:tc>
          <w:tcPr>
            <w:tcW w:w="2073" w:type="dxa"/>
            <w:tcBorders>
              <w:top w:val="nil"/>
              <w:left w:val="nil"/>
              <w:bottom w:val="nil"/>
              <w:right w:val="nil"/>
            </w:tcBorders>
            <w:shd w:val="clear" w:color="auto" w:fill="auto"/>
            <w:noWrap/>
            <w:vAlign w:val="bottom"/>
            <w:hideMark/>
          </w:tcPr>
          <w:p w14:paraId="57F5943C"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Advanced Adenoma</w:t>
            </w:r>
          </w:p>
        </w:tc>
        <w:tc>
          <w:tcPr>
            <w:tcW w:w="1217" w:type="dxa"/>
            <w:tcBorders>
              <w:top w:val="nil"/>
              <w:left w:val="nil"/>
              <w:bottom w:val="nil"/>
              <w:right w:val="nil"/>
            </w:tcBorders>
            <w:shd w:val="clear" w:color="auto" w:fill="auto"/>
            <w:noWrap/>
            <w:vAlign w:val="bottom"/>
            <w:hideMark/>
          </w:tcPr>
          <w:p w14:paraId="0344B005"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5.7%</w:t>
            </w:r>
          </w:p>
        </w:tc>
        <w:tc>
          <w:tcPr>
            <w:tcW w:w="1575" w:type="dxa"/>
            <w:tcBorders>
              <w:top w:val="nil"/>
              <w:left w:val="nil"/>
              <w:bottom w:val="nil"/>
              <w:right w:val="nil"/>
            </w:tcBorders>
            <w:shd w:val="clear" w:color="auto" w:fill="auto"/>
            <w:noWrap/>
            <w:vAlign w:val="bottom"/>
            <w:hideMark/>
          </w:tcPr>
          <w:p w14:paraId="7D216AB5"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4,588,174</w:t>
            </w:r>
          </w:p>
        </w:tc>
        <w:tc>
          <w:tcPr>
            <w:tcW w:w="1293" w:type="dxa"/>
            <w:tcBorders>
              <w:top w:val="nil"/>
              <w:left w:val="nil"/>
              <w:bottom w:val="nil"/>
              <w:right w:val="nil"/>
            </w:tcBorders>
            <w:shd w:val="clear" w:color="auto" w:fill="auto"/>
            <w:noWrap/>
            <w:vAlign w:val="bottom"/>
            <w:hideMark/>
          </w:tcPr>
          <w:p w14:paraId="0607991F"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885,518</w:t>
            </w:r>
          </w:p>
        </w:tc>
        <w:tc>
          <w:tcPr>
            <w:tcW w:w="1443" w:type="dxa"/>
            <w:tcBorders>
              <w:top w:val="nil"/>
              <w:left w:val="nil"/>
              <w:bottom w:val="nil"/>
              <w:right w:val="nil"/>
            </w:tcBorders>
            <w:shd w:val="clear" w:color="auto" w:fill="auto"/>
            <w:noWrap/>
            <w:vAlign w:val="bottom"/>
            <w:hideMark/>
          </w:tcPr>
          <w:p w14:paraId="6C89EBF0"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2,276,159</w:t>
            </w:r>
          </w:p>
        </w:tc>
        <w:tc>
          <w:tcPr>
            <w:tcW w:w="1535" w:type="dxa"/>
            <w:tcBorders>
              <w:top w:val="nil"/>
              <w:left w:val="nil"/>
              <w:bottom w:val="nil"/>
              <w:right w:val="nil"/>
            </w:tcBorders>
            <w:shd w:val="clear" w:color="auto" w:fill="auto"/>
            <w:noWrap/>
            <w:vAlign w:val="bottom"/>
            <w:hideMark/>
          </w:tcPr>
          <w:p w14:paraId="022D4071"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72.0%</w:t>
            </w:r>
          </w:p>
        </w:tc>
      </w:tr>
      <w:tr w:rsidR="006E4AA0" w:rsidRPr="006E4AA0" w14:paraId="1531E09C" w14:textId="77777777" w:rsidTr="00FD4B78">
        <w:trPr>
          <w:trHeight w:val="243"/>
        </w:trPr>
        <w:tc>
          <w:tcPr>
            <w:tcW w:w="2073" w:type="dxa"/>
            <w:tcBorders>
              <w:top w:val="nil"/>
              <w:left w:val="nil"/>
              <w:bottom w:val="single" w:sz="8" w:space="0" w:color="auto"/>
              <w:right w:val="nil"/>
            </w:tcBorders>
            <w:shd w:val="clear" w:color="auto" w:fill="auto"/>
            <w:noWrap/>
            <w:vAlign w:val="bottom"/>
            <w:hideMark/>
          </w:tcPr>
          <w:p w14:paraId="363FC32B"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Non-advanced Adenoma</w:t>
            </w:r>
          </w:p>
        </w:tc>
        <w:tc>
          <w:tcPr>
            <w:tcW w:w="1217" w:type="dxa"/>
            <w:tcBorders>
              <w:top w:val="nil"/>
              <w:left w:val="nil"/>
              <w:bottom w:val="single" w:sz="8" w:space="0" w:color="auto"/>
              <w:right w:val="nil"/>
            </w:tcBorders>
            <w:shd w:val="clear" w:color="auto" w:fill="auto"/>
            <w:noWrap/>
            <w:vAlign w:val="bottom"/>
            <w:hideMark/>
          </w:tcPr>
          <w:p w14:paraId="472F2AED"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17.7%</w:t>
            </w:r>
          </w:p>
        </w:tc>
        <w:tc>
          <w:tcPr>
            <w:tcW w:w="1575" w:type="dxa"/>
            <w:tcBorders>
              <w:top w:val="nil"/>
              <w:left w:val="nil"/>
              <w:bottom w:val="single" w:sz="8" w:space="0" w:color="auto"/>
              <w:right w:val="nil"/>
            </w:tcBorders>
            <w:shd w:val="clear" w:color="auto" w:fill="auto"/>
            <w:noWrap/>
            <w:vAlign w:val="bottom"/>
            <w:hideMark/>
          </w:tcPr>
          <w:p w14:paraId="778EABEC"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14,247,488</w:t>
            </w:r>
          </w:p>
        </w:tc>
        <w:tc>
          <w:tcPr>
            <w:tcW w:w="1293" w:type="dxa"/>
            <w:tcBorders>
              <w:top w:val="nil"/>
              <w:left w:val="nil"/>
              <w:bottom w:val="single" w:sz="8" w:space="0" w:color="auto"/>
              <w:right w:val="nil"/>
            </w:tcBorders>
            <w:shd w:val="clear" w:color="auto" w:fill="auto"/>
            <w:noWrap/>
            <w:vAlign w:val="bottom"/>
            <w:hideMark/>
          </w:tcPr>
          <w:p w14:paraId="3766772B"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1,595,719</w:t>
            </w:r>
          </w:p>
        </w:tc>
        <w:tc>
          <w:tcPr>
            <w:tcW w:w="1443" w:type="dxa"/>
            <w:tcBorders>
              <w:top w:val="nil"/>
              <w:left w:val="nil"/>
              <w:bottom w:val="single" w:sz="8" w:space="0" w:color="auto"/>
              <w:right w:val="nil"/>
            </w:tcBorders>
            <w:shd w:val="clear" w:color="auto" w:fill="auto"/>
            <w:noWrap/>
            <w:vAlign w:val="bottom"/>
            <w:hideMark/>
          </w:tcPr>
          <w:p w14:paraId="70F67EF7"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7,507,376</w:t>
            </w:r>
          </w:p>
        </w:tc>
        <w:tc>
          <w:tcPr>
            <w:tcW w:w="1535" w:type="dxa"/>
            <w:tcBorders>
              <w:top w:val="nil"/>
              <w:left w:val="nil"/>
              <w:bottom w:val="single" w:sz="8" w:space="0" w:color="auto"/>
              <w:right w:val="nil"/>
            </w:tcBorders>
            <w:shd w:val="clear" w:color="auto" w:fill="auto"/>
            <w:noWrap/>
            <w:vAlign w:val="bottom"/>
            <w:hideMark/>
          </w:tcPr>
          <w:p w14:paraId="3B71BB79"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82.5%</w:t>
            </w:r>
          </w:p>
        </w:tc>
      </w:tr>
      <w:tr w:rsidR="006E4AA0" w:rsidRPr="006E4AA0" w14:paraId="692A41EA" w14:textId="77777777" w:rsidTr="00FD4B78">
        <w:trPr>
          <w:trHeight w:val="230"/>
        </w:trPr>
        <w:tc>
          <w:tcPr>
            <w:tcW w:w="9136" w:type="dxa"/>
            <w:gridSpan w:val="6"/>
            <w:vMerge w:val="restart"/>
            <w:tcBorders>
              <w:top w:val="single" w:sz="8" w:space="0" w:color="auto"/>
              <w:left w:val="nil"/>
              <w:bottom w:val="nil"/>
              <w:right w:val="nil"/>
            </w:tcBorders>
            <w:shd w:val="clear" w:color="auto" w:fill="auto"/>
            <w:vAlign w:val="bottom"/>
            <w:hideMark/>
          </w:tcPr>
          <w:p w14:paraId="3582775F" w14:textId="77777777" w:rsidR="006E4AA0" w:rsidRPr="006E4AA0" w:rsidRDefault="006E4AA0" w:rsidP="006E4AA0">
            <w:pPr>
              <w:spacing w:before="0" w:after="0" w:line="240" w:lineRule="auto"/>
              <w:jc w:val="center"/>
              <w:rPr>
                <w:rFonts w:ascii="Arial" w:eastAsia="Times New Roman" w:hAnsi="Arial" w:cs="Arial"/>
                <w:color w:val="000000"/>
                <w:sz w:val="20"/>
                <w:szCs w:val="20"/>
              </w:rPr>
            </w:pPr>
            <w:r w:rsidRPr="006E4AA0">
              <w:rPr>
                <w:rFonts w:ascii="Arial" w:eastAsia="Times New Roman" w:hAnsi="Arial" w:cs="Arial"/>
                <w:color w:val="000000"/>
                <w:sz w:val="20"/>
                <w:szCs w:val="20"/>
              </w:rPr>
              <w:t xml:space="preserve">          *Number of persons in the United States in 2010, 50-75 years of age, was 80,494,283.</w:t>
            </w:r>
          </w:p>
        </w:tc>
      </w:tr>
      <w:tr w:rsidR="006E4AA0" w:rsidRPr="006E4AA0" w14:paraId="5D9AA90F" w14:textId="77777777" w:rsidTr="00FD4B78">
        <w:trPr>
          <w:trHeight w:val="230"/>
        </w:trPr>
        <w:tc>
          <w:tcPr>
            <w:tcW w:w="9136" w:type="dxa"/>
            <w:gridSpan w:val="6"/>
            <w:vMerge/>
            <w:tcBorders>
              <w:top w:val="single" w:sz="8" w:space="0" w:color="auto"/>
              <w:left w:val="nil"/>
              <w:bottom w:val="nil"/>
              <w:right w:val="nil"/>
            </w:tcBorders>
            <w:vAlign w:val="center"/>
            <w:hideMark/>
          </w:tcPr>
          <w:p w14:paraId="152F9603"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r>
    </w:tbl>
    <w:p w14:paraId="11549897" w14:textId="77777777" w:rsidR="0038556F" w:rsidRDefault="00FD4B78">
      <w:r>
        <w:br/>
      </w:r>
      <w:r>
        <w:rPr>
          <w:b/>
        </w:rPr>
        <w:t>Table 2.</w:t>
      </w:r>
      <w:r>
        <w:t xml:space="preserve"> Estimated MMT performance on average risk population. Number and proportion of true positives identified through FIT and MMT in the United States in adults 50-75 years of age, based on published estimates of CRC prevalence. Far right column shows percentage of true positives identified among individuals with a negative FIT result.</w:t>
      </w:r>
    </w:p>
    <w:p w14:paraId="756EA129" w14:textId="77777777" w:rsidR="0038556F" w:rsidRDefault="00FD4B78">
      <w:pPr>
        <w:pStyle w:val="Heading3"/>
      </w:pPr>
      <w:bookmarkStart w:id="9" w:name="supplementary-figures"/>
      <w:bookmarkEnd w:id="9"/>
      <w:r>
        <w:lastRenderedPageBreak/>
        <w:t>Supplementary Figures</w:t>
      </w:r>
    </w:p>
    <w:p w14:paraId="30298699" w14:textId="77777777" w:rsidR="0038556F" w:rsidRDefault="006E4AA0">
      <w:r>
        <w:rPr>
          <w:b/>
          <w:noProof/>
        </w:rPr>
        <w:drawing>
          <wp:inline distT="0" distB="0" distL="0" distR="0" wp14:anchorId="32D59F2B" wp14:editId="48481295">
            <wp:extent cx="5943600" cy="4454525"/>
            <wp:effectExtent l="0" t="0" r="0" b="0"/>
            <wp:docPr id="15" name="Picture 15" descr="Macintosh HD:Users:niel:Desktop:Baxter_glne007Modeling_2015:results:figures:fig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iel:Desktop:Baxter_glne007Modeling_2015:results:figures:figS1.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00FD4B78">
        <w:br/>
      </w:r>
      <w:r w:rsidR="00FD4B78">
        <w:rPr>
          <w:b/>
        </w:rPr>
        <w:t>Supplementary Figure 1. Random forest feature selection for detecting adenomas.</w:t>
      </w:r>
      <w:r w:rsidR="00FD4B78">
        <w:t xml:space="preserve"> (A) Change in AUC with varying number of variables in the random forest model. The model with the highest AUC contained 22 OTUs. (B) Importance of each OTU in the model as measured by mean decrease accuracy when the OTU is removed from the model. (C) Relative abundance of the most </w:t>
      </w:r>
      <w:proofErr w:type="spellStart"/>
      <w:r w:rsidR="00FD4B78">
        <w:t>disciminatory</w:t>
      </w:r>
      <w:proofErr w:type="spellEnd"/>
      <w:r w:rsidR="00FD4B78">
        <w:t xml:space="preserve"> OTUs in cancer and normal samples.</w:t>
      </w:r>
    </w:p>
    <w:p w14:paraId="441D7A37" w14:textId="77777777" w:rsidR="0038556F" w:rsidRDefault="006E4AA0">
      <w:r>
        <w:rPr>
          <w:b/>
          <w:noProof/>
        </w:rPr>
        <w:lastRenderedPageBreak/>
        <w:drawing>
          <wp:inline distT="0" distB="0" distL="0" distR="0" wp14:anchorId="0FFDAF6E" wp14:editId="123FC583">
            <wp:extent cx="5943600" cy="4454525"/>
            <wp:effectExtent l="0" t="0" r="0" b="0"/>
            <wp:docPr id="16" name="Picture 16" descr="Macintosh HD:Users:niel:Desktop:Baxter_glne007Modeling_2015:results:figures:fig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el:Desktop:Baxter_glne007Modeling_2015:results:figures:figS2.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00FD4B78">
        <w:br/>
      </w:r>
      <w:r w:rsidR="00FD4B78">
        <w:rPr>
          <w:b/>
        </w:rPr>
        <w:t>Supplementary Figure 2. Random forest feature selection for detecting cancers.</w:t>
      </w:r>
      <w:r w:rsidR="00FD4B78">
        <w:t xml:space="preserve"> (A) Change in AUC with varying number of variables in the random forest model. The model with the highest AUC contained 34 OTUs. (B) Importance of each OTU in the model as measured by mean decrease accuracy when the OTU is removed from the model. (C) Relative abundance of the most </w:t>
      </w:r>
      <w:proofErr w:type="spellStart"/>
      <w:r w:rsidR="00FD4B78">
        <w:t>disciminatory</w:t>
      </w:r>
      <w:proofErr w:type="spellEnd"/>
      <w:r w:rsidR="00FD4B78">
        <w:t xml:space="preserve"> OTUs in cancer and normal samples.</w:t>
      </w:r>
    </w:p>
    <w:p w14:paraId="39E679A1" w14:textId="77777777" w:rsidR="0038556F" w:rsidRDefault="006E4AA0">
      <w:r>
        <w:rPr>
          <w:b/>
          <w:noProof/>
        </w:rPr>
        <w:lastRenderedPageBreak/>
        <w:drawing>
          <wp:inline distT="0" distB="0" distL="0" distR="0" wp14:anchorId="3388EF0F" wp14:editId="2747DC55">
            <wp:extent cx="5943600" cy="5943600"/>
            <wp:effectExtent l="0" t="0" r="0" b="0"/>
            <wp:docPr id="17" name="Picture 17" descr="Macintosh HD:Users:niel:Desktop:Baxter_glne007Modeling_2015:results:figures:figS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iel:Desktop:Baxter_glne007Modeling_2015:results:figures:figS3.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FD4B78">
        <w:br/>
      </w:r>
      <w:r w:rsidR="00FD4B78">
        <w:rPr>
          <w:b/>
        </w:rPr>
        <w:t>Supplementary Figure 3. Bacterial OTUs in MMT.</w:t>
      </w:r>
      <w:r w:rsidR="00FD4B78">
        <w:t xml:space="preserve"> (left) Importance of each OTU used in the MMT as measured by the mean decrease in the </w:t>
      </w:r>
      <w:proofErr w:type="spellStart"/>
      <w:r w:rsidR="00FD4B78">
        <w:t>Gini</w:t>
      </w:r>
      <w:proofErr w:type="spellEnd"/>
      <w:r w:rsidR="00FD4B78">
        <w:t xml:space="preserve"> index when the OTU is removed from the model. (right) </w:t>
      </w:r>
      <w:proofErr w:type="spellStart"/>
      <w:r w:rsidR="00FD4B78">
        <w:t>Stripchart</w:t>
      </w:r>
      <w:proofErr w:type="spellEnd"/>
      <w:r w:rsidR="00FD4B78">
        <w:t xml:space="preserve"> of the relative abundances of each OTU in the MMT with black lines at the medians.</w:t>
      </w:r>
    </w:p>
    <w:p w14:paraId="59D4F3AC" w14:textId="77777777" w:rsidR="0038556F" w:rsidRDefault="006E4AA0">
      <w:r>
        <w:rPr>
          <w:b/>
          <w:noProof/>
        </w:rPr>
        <w:lastRenderedPageBreak/>
        <w:drawing>
          <wp:inline distT="0" distB="0" distL="0" distR="0" wp14:anchorId="0ADC601B" wp14:editId="435F9A44">
            <wp:extent cx="5943600" cy="3962400"/>
            <wp:effectExtent l="0" t="0" r="0" b="0"/>
            <wp:docPr id="18" name="Picture 18" descr="Macintosh HD:Users:niel:Desktop:Baxter_glne007Modeling_2015:results:figures:figS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el:Desktop:Baxter_glne007Modeling_2015:results:figures:figS4.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FD4B78">
        <w:br/>
      </w:r>
      <w:r w:rsidR="00FD4B78">
        <w:rPr>
          <w:b/>
        </w:rPr>
        <w:t>Supplementary Figure 4. MMT performance by sex.</w:t>
      </w:r>
      <w:r w:rsidR="00FD4B78">
        <w:t xml:space="preserve"> ROC curves (left) and </w:t>
      </w:r>
      <w:proofErr w:type="spellStart"/>
      <w:r w:rsidR="00FD4B78">
        <w:t>stripchart</w:t>
      </w:r>
      <w:proofErr w:type="spellEnd"/>
      <w:r w:rsidR="00FD4B78">
        <w:t xml:space="preserve"> (right) of MMT results separated by sex.</w:t>
      </w:r>
    </w:p>
    <w:p w14:paraId="5994F3AF" w14:textId="77777777" w:rsidR="006E4AA0" w:rsidRDefault="006E4AA0">
      <w:pPr>
        <w:pStyle w:val="Heading3"/>
        <w:sectPr w:rsidR="006E4AA0" w:rsidSect="00A77E29">
          <w:pgSz w:w="12240" w:h="15840"/>
          <w:pgMar w:top="1440" w:right="1440" w:bottom="1440" w:left="1440" w:header="720" w:footer="720" w:gutter="0"/>
          <w:lnNumType w:countBy="1" w:restart="continuous"/>
          <w:cols w:space="720"/>
        </w:sectPr>
      </w:pPr>
      <w:bookmarkStart w:id="10" w:name="references-and-notes"/>
      <w:bookmarkEnd w:id="10"/>
    </w:p>
    <w:p w14:paraId="4255777C" w14:textId="77777777" w:rsidR="0038556F" w:rsidRDefault="00FD4B78">
      <w:pPr>
        <w:pStyle w:val="Heading3"/>
      </w:pPr>
      <w:r>
        <w:lastRenderedPageBreak/>
        <w:t>References and Notes</w:t>
      </w:r>
    </w:p>
    <w:p w14:paraId="63D5B400" w14:textId="77777777" w:rsidR="0038556F" w:rsidRDefault="00FD4B78">
      <w:pPr>
        <w:pStyle w:val="Bibliography"/>
      </w:pPr>
      <w:r>
        <w:t xml:space="preserve">1. Siegel R, </w:t>
      </w:r>
      <w:proofErr w:type="spellStart"/>
      <w:r>
        <w:t>DeSantis</w:t>
      </w:r>
      <w:proofErr w:type="spellEnd"/>
      <w:r>
        <w:t xml:space="preserve"> C, </w:t>
      </w:r>
      <w:proofErr w:type="spellStart"/>
      <w:r>
        <w:t>Jemal</w:t>
      </w:r>
      <w:proofErr w:type="spellEnd"/>
      <w:r>
        <w:t xml:space="preserve"> A: </w:t>
      </w:r>
      <w:r>
        <w:rPr>
          <w:b/>
        </w:rPr>
        <w:t>Colorectal cancer statistics, 2014</w:t>
      </w:r>
      <w:r>
        <w:t xml:space="preserve">. </w:t>
      </w:r>
      <w:r>
        <w:rPr>
          <w:i/>
        </w:rPr>
        <w:t>CA: a cancer journal for clinicians</w:t>
      </w:r>
      <w:r>
        <w:t xml:space="preserve">. 2014, </w:t>
      </w:r>
      <w:r>
        <w:rPr>
          <w:b/>
        </w:rPr>
        <w:t>64</w:t>
      </w:r>
      <w:r>
        <w:t>:104–117.</w:t>
      </w:r>
    </w:p>
    <w:p w14:paraId="186749AE" w14:textId="77777777" w:rsidR="0038556F" w:rsidRDefault="00FD4B78">
      <w:pPr>
        <w:pStyle w:val="Bibliography"/>
      </w:pPr>
      <w:r>
        <w:t xml:space="preserve">2. </w:t>
      </w:r>
      <w:proofErr w:type="spellStart"/>
      <w:r>
        <w:t>Imperiale</w:t>
      </w:r>
      <w:proofErr w:type="spellEnd"/>
      <w:r>
        <w:t xml:space="preserve"> TF, </w:t>
      </w:r>
      <w:proofErr w:type="spellStart"/>
      <w:r>
        <w:t>Ransohoff</w:t>
      </w:r>
      <w:proofErr w:type="spellEnd"/>
      <w:r>
        <w:t xml:space="preserve"> DF, </w:t>
      </w:r>
      <w:proofErr w:type="spellStart"/>
      <w:r>
        <w:t>Itzkowitz</w:t>
      </w:r>
      <w:proofErr w:type="spellEnd"/>
      <w:r>
        <w:t xml:space="preserve"> SH, Levin TR, Lavin P, </w:t>
      </w:r>
      <w:proofErr w:type="spellStart"/>
      <w:r>
        <w:t>Lidgard</w:t>
      </w:r>
      <w:proofErr w:type="spellEnd"/>
      <w:r>
        <w:t xml:space="preserve"> GP, </w:t>
      </w:r>
      <w:proofErr w:type="spellStart"/>
      <w:r>
        <w:t>Ahlquist</w:t>
      </w:r>
      <w:proofErr w:type="spellEnd"/>
      <w:r>
        <w:t xml:space="preserve"> DA, Berger BM: </w:t>
      </w:r>
      <w:proofErr w:type="spellStart"/>
      <w:r>
        <w:rPr>
          <w:b/>
        </w:rPr>
        <w:t>Multitarget</w:t>
      </w:r>
      <w:proofErr w:type="spellEnd"/>
      <w:r>
        <w:rPr>
          <w:b/>
        </w:rPr>
        <w:t xml:space="preserve"> stool DNA testing for colorectal-cancer screening</w:t>
      </w:r>
      <w:r>
        <w:t xml:space="preserve">. </w:t>
      </w:r>
      <w:r>
        <w:rPr>
          <w:i/>
        </w:rPr>
        <w:t>New England Journal of Medicine</w:t>
      </w:r>
      <w:r>
        <w:t xml:space="preserve">. 2014, </w:t>
      </w:r>
      <w:r>
        <w:rPr>
          <w:b/>
        </w:rPr>
        <w:t>370</w:t>
      </w:r>
      <w:r>
        <w:t>:1287–1297.</w:t>
      </w:r>
    </w:p>
    <w:p w14:paraId="4D825E58" w14:textId="77777777" w:rsidR="0038556F" w:rsidRDefault="00FD4B78">
      <w:pPr>
        <w:pStyle w:val="Bibliography"/>
      </w:pPr>
      <w:r>
        <w:t xml:space="preserve">3. Jones RM, Devers KJ, </w:t>
      </w:r>
      <w:proofErr w:type="spellStart"/>
      <w:r>
        <w:t>Kuzel</w:t>
      </w:r>
      <w:proofErr w:type="spellEnd"/>
      <w:r>
        <w:t xml:space="preserve"> AJ, Woolf SH: </w:t>
      </w:r>
      <w:r>
        <w:rPr>
          <w:b/>
        </w:rPr>
        <w:t>Patient-reported barriers to colorectal cancer screening: a mixed-methods analysis</w:t>
      </w:r>
      <w:r>
        <w:t xml:space="preserve">. </w:t>
      </w:r>
      <w:r>
        <w:rPr>
          <w:i/>
        </w:rPr>
        <w:t>American journal of preventive medicine</w:t>
      </w:r>
      <w:r>
        <w:t xml:space="preserve">. 2010, </w:t>
      </w:r>
      <w:r>
        <w:rPr>
          <w:b/>
        </w:rPr>
        <w:t>38</w:t>
      </w:r>
      <w:r>
        <w:t>:508–516.</w:t>
      </w:r>
    </w:p>
    <w:p w14:paraId="1D6A3069" w14:textId="77777777" w:rsidR="0038556F" w:rsidRDefault="00FD4B78">
      <w:pPr>
        <w:pStyle w:val="Bibliography"/>
      </w:pPr>
      <w:r>
        <w:t xml:space="preserve">4. Hsia J, Kemper E, </w:t>
      </w:r>
      <w:proofErr w:type="spellStart"/>
      <w:r>
        <w:t>Kiefe</w:t>
      </w:r>
      <w:proofErr w:type="spellEnd"/>
      <w:r>
        <w:t xml:space="preserve"> C, </w:t>
      </w:r>
      <w:proofErr w:type="spellStart"/>
      <w:r>
        <w:t>Zapka</w:t>
      </w:r>
      <w:proofErr w:type="spellEnd"/>
      <w:r>
        <w:t xml:space="preserve"> J, </w:t>
      </w:r>
      <w:proofErr w:type="spellStart"/>
      <w:r>
        <w:t>Sofaer</w:t>
      </w:r>
      <w:proofErr w:type="spellEnd"/>
      <w:r>
        <w:t xml:space="preserve"> S, </w:t>
      </w:r>
      <w:proofErr w:type="spellStart"/>
      <w:r>
        <w:t>Pettinger</w:t>
      </w:r>
      <w:proofErr w:type="spellEnd"/>
      <w:r>
        <w:t xml:space="preserve"> M, Bowen D, </w:t>
      </w:r>
      <w:proofErr w:type="spellStart"/>
      <w:r>
        <w:t>Limacher</w:t>
      </w:r>
      <w:proofErr w:type="spellEnd"/>
      <w:r>
        <w:t xml:space="preserve"> M, Lillington L, Mason E, others: </w:t>
      </w:r>
      <w:r>
        <w:rPr>
          <w:b/>
        </w:rPr>
        <w:t>The importance of health insurance as a determinant of cancer screening: evidence from the Women’s Health Initiative</w:t>
      </w:r>
      <w:r>
        <w:t xml:space="preserve">. </w:t>
      </w:r>
      <w:r>
        <w:rPr>
          <w:i/>
        </w:rPr>
        <w:t>Preventive medicine</w:t>
      </w:r>
      <w:r>
        <w:t xml:space="preserve">. 2000, </w:t>
      </w:r>
      <w:r>
        <w:rPr>
          <w:b/>
        </w:rPr>
        <w:t>31</w:t>
      </w:r>
      <w:r>
        <w:t>:261–270.</w:t>
      </w:r>
    </w:p>
    <w:p w14:paraId="0DCFE8D7" w14:textId="77777777" w:rsidR="0038556F" w:rsidRDefault="00FD4B78">
      <w:pPr>
        <w:pStyle w:val="Bibliography"/>
      </w:pPr>
      <w:r>
        <w:t xml:space="preserve">5. Centers for Disease Control and Prevention: </w:t>
      </w:r>
      <w:r>
        <w:rPr>
          <w:b/>
        </w:rPr>
        <w:t>Vital signs: Colorectal cancer screening test use–United states, 2012.</w:t>
      </w:r>
      <w:r>
        <w:t xml:space="preserve"> </w:t>
      </w:r>
      <w:r>
        <w:rPr>
          <w:i/>
        </w:rPr>
        <w:t>MMWR Morbidity and mortality weekly report</w:t>
      </w:r>
      <w:r>
        <w:t xml:space="preserve">. 2013, </w:t>
      </w:r>
      <w:r>
        <w:rPr>
          <w:b/>
        </w:rPr>
        <w:t>62</w:t>
      </w:r>
      <w:r>
        <w:t>:881.</w:t>
      </w:r>
    </w:p>
    <w:p w14:paraId="7C243886" w14:textId="77777777" w:rsidR="0038556F" w:rsidRDefault="00FD4B78">
      <w:pPr>
        <w:pStyle w:val="Bibliography"/>
      </w:pPr>
      <w:r>
        <w:t xml:space="preserve">6. </w:t>
      </w:r>
      <w:proofErr w:type="spellStart"/>
      <w:r>
        <w:t>Hundt</w:t>
      </w:r>
      <w:proofErr w:type="spellEnd"/>
      <w:r>
        <w:t xml:space="preserve"> S, </w:t>
      </w:r>
      <w:proofErr w:type="spellStart"/>
      <w:r>
        <w:t>Haug</w:t>
      </w:r>
      <w:proofErr w:type="spellEnd"/>
      <w:r>
        <w:t xml:space="preserve"> U, Brenner H: </w:t>
      </w:r>
      <w:r>
        <w:rPr>
          <w:b/>
        </w:rPr>
        <w:t>Comparative evaluation of immunochemical fecal occult blood tests for colorectal adenoma detection</w:t>
      </w:r>
      <w:r>
        <w:t xml:space="preserve">. </w:t>
      </w:r>
      <w:r>
        <w:rPr>
          <w:i/>
        </w:rPr>
        <w:t>Annals of Internal Medicine</w:t>
      </w:r>
      <w:r>
        <w:t xml:space="preserve">. 2009, </w:t>
      </w:r>
      <w:r>
        <w:rPr>
          <w:b/>
        </w:rPr>
        <w:t>150</w:t>
      </w:r>
      <w:r>
        <w:t>:162–169.</w:t>
      </w:r>
    </w:p>
    <w:p w14:paraId="14996445" w14:textId="77777777" w:rsidR="0038556F" w:rsidRDefault="00FD4B78">
      <w:pPr>
        <w:pStyle w:val="Bibliography"/>
      </w:pPr>
      <w:r>
        <w:t xml:space="preserve">7. Wang T, </w:t>
      </w:r>
      <w:proofErr w:type="spellStart"/>
      <w:r>
        <w:t>Cai</w:t>
      </w:r>
      <w:proofErr w:type="spellEnd"/>
      <w:r>
        <w:t xml:space="preserve"> G, </w:t>
      </w:r>
      <w:proofErr w:type="spellStart"/>
      <w:r>
        <w:t>Qiu</w:t>
      </w:r>
      <w:proofErr w:type="spellEnd"/>
      <w:r>
        <w:t xml:space="preserve"> Y, </w:t>
      </w:r>
      <w:proofErr w:type="spellStart"/>
      <w:r>
        <w:t>Fei</w:t>
      </w:r>
      <w:proofErr w:type="spellEnd"/>
      <w:r>
        <w:t xml:space="preserve"> N, Zhang M, Pang X, </w:t>
      </w:r>
      <w:proofErr w:type="spellStart"/>
      <w:r>
        <w:t>Jia</w:t>
      </w:r>
      <w:proofErr w:type="spellEnd"/>
      <w:r>
        <w:t xml:space="preserve"> W, </w:t>
      </w:r>
      <w:proofErr w:type="spellStart"/>
      <w:r>
        <w:t>Cai</w:t>
      </w:r>
      <w:proofErr w:type="spellEnd"/>
      <w:r>
        <w:t xml:space="preserve"> S, Zhao L: </w:t>
      </w:r>
      <w:r>
        <w:rPr>
          <w:b/>
        </w:rPr>
        <w:t>Structural segregation of gut microbiota between colorectal cancer patients and healthy volunteers</w:t>
      </w:r>
      <w:r>
        <w:t xml:space="preserve">. </w:t>
      </w:r>
      <w:r>
        <w:rPr>
          <w:i/>
        </w:rPr>
        <w:t>The ISME journal</w:t>
      </w:r>
      <w:r>
        <w:t xml:space="preserve">. 2012, </w:t>
      </w:r>
      <w:r>
        <w:rPr>
          <w:b/>
        </w:rPr>
        <w:t>6</w:t>
      </w:r>
      <w:r>
        <w:t>:320–329.</w:t>
      </w:r>
    </w:p>
    <w:p w14:paraId="5BA85AA5" w14:textId="77777777" w:rsidR="0038556F" w:rsidRDefault="00FD4B78">
      <w:pPr>
        <w:pStyle w:val="Bibliography"/>
      </w:pPr>
      <w:r>
        <w:lastRenderedPageBreak/>
        <w:t xml:space="preserve">8. Chen H-M, Yu Y-N, Wang J-L, Lin Y-W, Kong X, Yang C-Q, Yang L, Liu Z-J, Yuan Y-Z, Liu F, others: </w:t>
      </w:r>
      <w:r>
        <w:rPr>
          <w:b/>
        </w:rPr>
        <w:t>Decreased dietary fiber intake and structural alteration of gut microbiota in patients with advanced colorectal adenoma</w:t>
      </w:r>
      <w:r>
        <w:t xml:space="preserve">. </w:t>
      </w:r>
      <w:r>
        <w:rPr>
          <w:i/>
        </w:rPr>
        <w:t>The American journal of clinical nutrition</w:t>
      </w:r>
      <w:r>
        <w:t xml:space="preserve">. 2013, </w:t>
      </w:r>
      <w:r>
        <w:rPr>
          <w:b/>
        </w:rPr>
        <w:t>97</w:t>
      </w:r>
      <w:r>
        <w:t>:1044–1052.</w:t>
      </w:r>
    </w:p>
    <w:p w14:paraId="64AA52E4" w14:textId="77777777" w:rsidR="0038556F" w:rsidRDefault="00FD4B78">
      <w:pPr>
        <w:pStyle w:val="Bibliography"/>
      </w:pPr>
      <w:r>
        <w:t xml:space="preserve">9. Chen W, Liu F, Ling Z, Tong X, Xiang C: </w:t>
      </w:r>
      <w:r>
        <w:rPr>
          <w:b/>
        </w:rPr>
        <w:t>Human intestinal lumen and mucosa-associated microbiota in patients with colorectal cancer</w:t>
      </w:r>
      <w:r>
        <w:t xml:space="preserve">. </w:t>
      </w:r>
      <w:proofErr w:type="spellStart"/>
      <w:r>
        <w:rPr>
          <w:i/>
        </w:rPr>
        <w:t>PloS</w:t>
      </w:r>
      <w:proofErr w:type="spellEnd"/>
      <w:r>
        <w:rPr>
          <w:i/>
        </w:rPr>
        <w:t xml:space="preserve"> one</w:t>
      </w:r>
      <w:r>
        <w:t xml:space="preserve">. 2012, </w:t>
      </w:r>
      <w:r>
        <w:rPr>
          <w:b/>
        </w:rPr>
        <w:t>7</w:t>
      </w:r>
      <w:r>
        <w:t>:e39743.</w:t>
      </w:r>
    </w:p>
    <w:p w14:paraId="753AE4B1" w14:textId="77777777" w:rsidR="0038556F" w:rsidRDefault="00FD4B78">
      <w:pPr>
        <w:pStyle w:val="Bibliography"/>
      </w:pPr>
      <w:r>
        <w:t xml:space="preserve">10. </w:t>
      </w:r>
      <w:proofErr w:type="spellStart"/>
      <w:r>
        <w:t>Shen</w:t>
      </w:r>
      <w:proofErr w:type="spellEnd"/>
      <w:r>
        <w:t xml:space="preserve"> XJ, Rawls JF, Randall TA, </w:t>
      </w:r>
      <w:proofErr w:type="spellStart"/>
      <w:r>
        <w:t>Burcall</w:t>
      </w:r>
      <w:proofErr w:type="spellEnd"/>
      <w:r>
        <w:t xml:space="preserve"> L, </w:t>
      </w:r>
      <w:proofErr w:type="spellStart"/>
      <w:r>
        <w:t>Mpande</w:t>
      </w:r>
      <w:proofErr w:type="spellEnd"/>
      <w:r>
        <w:t xml:space="preserve"> C, Jenkins N, </w:t>
      </w:r>
      <w:proofErr w:type="spellStart"/>
      <w:r>
        <w:t>Jovov</w:t>
      </w:r>
      <w:proofErr w:type="spellEnd"/>
      <w:r>
        <w:t xml:space="preserve"> B, </w:t>
      </w:r>
      <w:proofErr w:type="spellStart"/>
      <w:r>
        <w:t>Abdo</w:t>
      </w:r>
      <w:proofErr w:type="spellEnd"/>
      <w:r>
        <w:t xml:space="preserve"> Z, Sandler RS, </w:t>
      </w:r>
      <w:proofErr w:type="spellStart"/>
      <w:r>
        <w:t>Keku</w:t>
      </w:r>
      <w:proofErr w:type="spellEnd"/>
      <w:r>
        <w:t xml:space="preserve"> TO: </w:t>
      </w:r>
      <w:r>
        <w:rPr>
          <w:b/>
        </w:rPr>
        <w:t>Molecular characterization of mucosal adherent bacteria and associations with colorectal adenomas</w:t>
      </w:r>
      <w:r>
        <w:t xml:space="preserve">. </w:t>
      </w:r>
      <w:r>
        <w:rPr>
          <w:i/>
        </w:rPr>
        <w:t>Gut microbes</w:t>
      </w:r>
      <w:r>
        <w:t xml:space="preserve">. 2010, </w:t>
      </w:r>
      <w:r>
        <w:rPr>
          <w:b/>
        </w:rPr>
        <w:t>1</w:t>
      </w:r>
      <w:r>
        <w:t>:138–147.</w:t>
      </w:r>
    </w:p>
    <w:p w14:paraId="6F6461C5" w14:textId="77777777" w:rsidR="0038556F" w:rsidRDefault="00FD4B78">
      <w:pPr>
        <w:pStyle w:val="Bibliography"/>
      </w:pPr>
      <w:r>
        <w:t xml:space="preserve">11. </w:t>
      </w:r>
      <w:proofErr w:type="spellStart"/>
      <w:r>
        <w:t>Kostic</w:t>
      </w:r>
      <w:proofErr w:type="spellEnd"/>
      <w:r>
        <w:t xml:space="preserve"> AD, </w:t>
      </w:r>
      <w:proofErr w:type="spellStart"/>
      <w:r>
        <w:t>Gevers</w:t>
      </w:r>
      <w:proofErr w:type="spellEnd"/>
      <w:r>
        <w:t xml:space="preserve"> D, </w:t>
      </w:r>
      <w:proofErr w:type="spellStart"/>
      <w:r>
        <w:t>Pedamallu</w:t>
      </w:r>
      <w:proofErr w:type="spellEnd"/>
      <w:r>
        <w:t xml:space="preserve"> CS, Michaud M, Duke F, Earl AM, </w:t>
      </w:r>
      <w:proofErr w:type="spellStart"/>
      <w:r>
        <w:t>Ojesina</w:t>
      </w:r>
      <w:proofErr w:type="spellEnd"/>
      <w:r>
        <w:t xml:space="preserve"> AI, Jung J, Bass AJ, </w:t>
      </w:r>
      <w:proofErr w:type="spellStart"/>
      <w:r>
        <w:t>Tabernero</w:t>
      </w:r>
      <w:proofErr w:type="spellEnd"/>
      <w:r>
        <w:t xml:space="preserve"> J, others: </w:t>
      </w:r>
      <w:r>
        <w:rPr>
          <w:b/>
        </w:rPr>
        <w:t>Genomic analysis identifies association of Fusobacterium with colorectal carcinoma</w:t>
      </w:r>
      <w:r>
        <w:t xml:space="preserve">. </w:t>
      </w:r>
      <w:r>
        <w:rPr>
          <w:i/>
        </w:rPr>
        <w:t>Genome research</w:t>
      </w:r>
      <w:r>
        <w:t xml:space="preserve">. 2012, </w:t>
      </w:r>
      <w:r>
        <w:rPr>
          <w:b/>
        </w:rPr>
        <w:t>22</w:t>
      </w:r>
      <w:r>
        <w:t>:292–298.</w:t>
      </w:r>
    </w:p>
    <w:p w14:paraId="7907ABFD" w14:textId="77777777" w:rsidR="0038556F" w:rsidRDefault="00FD4B78">
      <w:pPr>
        <w:pStyle w:val="Bibliography"/>
      </w:pPr>
      <w:r>
        <w:t xml:space="preserve">12. </w:t>
      </w:r>
      <w:proofErr w:type="spellStart"/>
      <w:r>
        <w:t>Zackular</w:t>
      </w:r>
      <w:proofErr w:type="spellEnd"/>
      <w:r>
        <w:t xml:space="preserve"> JP, Baxter NT, Iverson KD, Sadler WD, </w:t>
      </w:r>
      <w:proofErr w:type="spellStart"/>
      <w:r>
        <w:t>Petrosino</w:t>
      </w:r>
      <w:proofErr w:type="spellEnd"/>
      <w:r>
        <w:t xml:space="preserve"> JF, Chen GY, </w:t>
      </w:r>
      <w:proofErr w:type="spellStart"/>
      <w:r>
        <w:t>Schloss</w:t>
      </w:r>
      <w:proofErr w:type="spellEnd"/>
      <w:r>
        <w:t xml:space="preserve"> PD: </w:t>
      </w:r>
      <w:r>
        <w:rPr>
          <w:b/>
        </w:rPr>
        <w:t>The gut microbiome modulates colon tumorigenesis</w:t>
      </w:r>
      <w:r>
        <w:t xml:space="preserve">. </w:t>
      </w:r>
      <w:proofErr w:type="spellStart"/>
      <w:r>
        <w:rPr>
          <w:i/>
        </w:rPr>
        <w:t>MBio</w:t>
      </w:r>
      <w:proofErr w:type="spellEnd"/>
      <w:r>
        <w:t xml:space="preserve">. 2013, </w:t>
      </w:r>
      <w:r>
        <w:rPr>
          <w:b/>
        </w:rPr>
        <w:t>4</w:t>
      </w:r>
      <w:r>
        <w:t>:e00692–13.</w:t>
      </w:r>
    </w:p>
    <w:p w14:paraId="365DF8A1" w14:textId="77777777" w:rsidR="0038556F" w:rsidRDefault="00FD4B78">
      <w:pPr>
        <w:pStyle w:val="Bibliography"/>
      </w:pPr>
      <w:r>
        <w:t xml:space="preserve">13. </w:t>
      </w:r>
      <w:proofErr w:type="spellStart"/>
      <w:r>
        <w:t>Kostic</w:t>
      </w:r>
      <w:proofErr w:type="spellEnd"/>
      <w:r>
        <w:t xml:space="preserve"> AD, Chun E, Robertson L, Glickman JN, </w:t>
      </w:r>
      <w:proofErr w:type="spellStart"/>
      <w:r>
        <w:t>Gallini</w:t>
      </w:r>
      <w:proofErr w:type="spellEnd"/>
      <w:r>
        <w:t xml:space="preserve"> CA, Michaud M, Clancy TE, Chung DC, </w:t>
      </w:r>
      <w:proofErr w:type="spellStart"/>
      <w:r>
        <w:t>Lochhead</w:t>
      </w:r>
      <w:proofErr w:type="spellEnd"/>
      <w:r>
        <w:t xml:space="preserve"> P, Hold GL, others: </w:t>
      </w:r>
      <w:r>
        <w:rPr>
          <w:b/>
        </w:rPr>
        <w:t>Fusobacterium nucleatum potentiates intestinal tumorigenesis and modulates the tumor-immune microenvironment</w:t>
      </w:r>
      <w:r>
        <w:t xml:space="preserve">. </w:t>
      </w:r>
      <w:r>
        <w:rPr>
          <w:i/>
        </w:rPr>
        <w:t>Cell host &amp; microbe</w:t>
      </w:r>
      <w:r>
        <w:t xml:space="preserve">. 2013, </w:t>
      </w:r>
      <w:r>
        <w:rPr>
          <w:b/>
        </w:rPr>
        <w:t>14</w:t>
      </w:r>
      <w:r>
        <w:t>:207–215.</w:t>
      </w:r>
    </w:p>
    <w:p w14:paraId="4E180BBC" w14:textId="77777777" w:rsidR="0038556F" w:rsidRDefault="00FD4B78">
      <w:pPr>
        <w:pStyle w:val="Bibliography"/>
      </w:pPr>
      <w:r>
        <w:t xml:space="preserve">14. Wu S, Rhee K-J, </w:t>
      </w:r>
      <w:proofErr w:type="spellStart"/>
      <w:r>
        <w:t>Albesiano</w:t>
      </w:r>
      <w:proofErr w:type="spellEnd"/>
      <w:r>
        <w:t xml:space="preserve"> E, </w:t>
      </w:r>
      <w:proofErr w:type="spellStart"/>
      <w:r>
        <w:t>Rabizadeh</w:t>
      </w:r>
      <w:proofErr w:type="spellEnd"/>
      <w:r>
        <w:t xml:space="preserve"> S, Wu X, Yen H-R, </w:t>
      </w:r>
      <w:proofErr w:type="spellStart"/>
      <w:r>
        <w:t>Huso</w:t>
      </w:r>
      <w:proofErr w:type="spellEnd"/>
      <w:r>
        <w:t xml:space="preserve"> DL, </w:t>
      </w:r>
      <w:proofErr w:type="spellStart"/>
      <w:r>
        <w:t>Brancati</w:t>
      </w:r>
      <w:proofErr w:type="spellEnd"/>
      <w:r>
        <w:t xml:space="preserve"> FL, Wick E, McAllister F, others: </w:t>
      </w:r>
      <w:r>
        <w:rPr>
          <w:b/>
        </w:rPr>
        <w:t>A human colonic commensal promotes colon tumorigenesis via activation of T helper type 17 T cell responses</w:t>
      </w:r>
      <w:r>
        <w:t xml:space="preserve">. </w:t>
      </w:r>
      <w:r>
        <w:rPr>
          <w:i/>
        </w:rPr>
        <w:t>Nature medicine</w:t>
      </w:r>
      <w:r>
        <w:t xml:space="preserve">. 2009, </w:t>
      </w:r>
      <w:r>
        <w:rPr>
          <w:b/>
        </w:rPr>
        <w:t>15</w:t>
      </w:r>
      <w:r>
        <w:t>:1016–1022.</w:t>
      </w:r>
    </w:p>
    <w:p w14:paraId="0B86FD92" w14:textId="77777777" w:rsidR="0038556F" w:rsidRDefault="00FD4B78">
      <w:pPr>
        <w:pStyle w:val="Bibliography"/>
      </w:pPr>
      <w:r>
        <w:lastRenderedPageBreak/>
        <w:t>15. Arthur JC, Perez-</w:t>
      </w:r>
      <w:proofErr w:type="spellStart"/>
      <w:r>
        <w:t>Chanona</w:t>
      </w:r>
      <w:proofErr w:type="spellEnd"/>
      <w:r>
        <w:t xml:space="preserve"> E, </w:t>
      </w:r>
      <w:proofErr w:type="spellStart"/>
      <w:r>
        <w:t>Mühlbauer</w:t>
      </w:r>
      <w:proofErr w:type="spellEnd"/>
      <w:r>
        <w:t xml:space="preserve"> M, </w:t>
      </w:r>
      <w:proofErr w:type="spellStart"/>
      <w:r>
        <w:t>Tomkovich</w:t>
      </w:r>
      <w:proofErr w:type="spellEnd"/>
      <w:r>
        <w:t xml:space="preserve"> S, </w:t>
      </w:r>
      <w:proofErr w:type="spellStart"/>
      <w:r>
        <w:t>Uronis</w:t>
      </w:r>
      <w:proofErr w:type="spellEnd"/>
      <w:r>
        <w:t xml:space="preserve"> JM, Fan T-J, Campbell BJ, </w:t>
      </w:r>
      <w:proofErr w:type="spellStart"/>
      <w:r>
        <w:t>Abujamel</w:t>
      </w:r>
      <w:proofErr w:type="spellEnd"/>
      <w:r>
        <w:t xml:space="preserve"> T, </w:t>
      </w:r>
      <w:proofErr w:type="spellStart"/>
      <w:r>
        <w:t>Dogan</w:t>
      </w:r>
      <w:proofErr w:type="spellEnd"/>
      <w:r>
        <w:t xml:space="preserve"> B, Rogers AB, others: </w:t>
      </w:r>
      <w:r>
        <w:rPr>
          <w:b/>
        </w:rPr>
        <w:t>Intestinal inflammation targets cancer-inducing activity of the microbiota</w:t>
      </w:r>
      <w:r>
        <w:t xml:space="preserve">. </w:t>
      </w:r>
      <w:r>
        <w:rPr>
          <w:i/>
        </w:rPr>
        <w:t>science</w:t>
      </w:r>
      <w:r>
        <w:t xml:space="preserve">. 2012, </w:t>
      </w:r>
      <w:r>
        <w:rPr>
          <w:b/>
        </w:rPr>
        <w:t>338</w:t>
      </w:r>
      <w:r>
        <w:t>:120–123.</w:t>
      </w:r>
    </w:p>
    <w:p w14:paraId="54BA8E73" w14:textId="77777777" w:rsidR="0038556F" w:rsidRDefault="00FD4B78">
      <w:pPr>
        <w:pStyle w:val="Bibliography"/>
      </w:pPr>
      <w:r>
        <w:t xml:space="preserve">16. </w:t>
      </w:r>
      <w:proofErr w:type="spellStart"/>
      <w:r>
        <w:t>Zackular</w:t>
      </w:r>
      <w:proofErr w:type="spellEnd"/>
      <w:r>
        <w:t xml:space="preserve"> JP, Rogers MA, Ruffin MT, </w:t>
      </w:r>
      <w:proofErr w:type="spellStart"/>
      <w:r>
        <w:t>Schloss</w:t>
      </w:r>
      <w:proofErr w:type="spellEnd"/>
      <w:r>
        <w:t xml:space="preserve"> PD: </w:t>
      </w:r>
      <w:r>
        <w:rPr>
          <w:b/>
        </w:rPr>
        <w:t>The human gut microbiome as a screening tool for colorectal cancer</w:t>
      </w:r>
      <w:r>
        <w:t xml:space="preserve">. </w:t>
      </w:r>
      <w:r>
        <w:rPr>
          <w:i/>
        </w:rPr>
        <w:t>Cancer Prevention Research</w:t>
      </w:r>
      <w:r>
        <w:t xml:space="preserve">. 2014, </w:t>
      </w:r>
      <w:r>
        <w:rPr>
          <w:b/>
        </w:rPr>
        <w:t>7</w:t>
      </w:r>
      <w:r>
        <w:t>:1112–1121.</w:t>
      </w:r>
    </w:p>
    <w:p w14:paraId="13F7A566" w14:textId="77777777" w:rsidR="0038556F" w:rsidRDefault="00FD4B78">
      <w:pPr>
        <w:pStyle w:val="Bibliography"/>
      </w:pPr>
      <w:r>
        <w:t xml:space="preserve">17. Zeller G, Tap J, Voigt AY, </w:t>
      </w:r>
      <w:proofErr w:type="spellStart"/>
      <w:r>
        <w:t>Sunagawa</w:t>
      </w:r>
      <w:proofErr w:type="spellEnd"/>
      <w:r>
        <w:t xml:space="preserve"> S, </w:t>
      </w:r>
      <w:proofErr w:type="spellStart"/>
      <w:r>
        <w:t>Kultima</w:t>
      </w:r>
      <w:proofErr w:type="spellEnd"/>
      <w:r>
        <w:t xml:space="preserve"> JR, </w:t>
      </w:r>
      <w:proofErr w:type="spellStart"/>
      <w:r>
        <w:t>Costea</w:t>
      </w:r>
      <w:proofErr w:type="spellEnd"/>
      <w:r>
        <w:t xml:space="preserve"> PI, </w:t>
      </w:r>
      <w:proofErr w:type="spellStart"/>
      <w:r>
        <w:t>Amiot</w:t>
      </w:r>
      <w:proofErr w:type="spellEnd"/>
      <w:r>
        <w:t xml:space="preserve"> A, </w:t>
      </w:r>
      <w:proofErr w:type="spellStart"/>
      <w:r>
        <w:t>Böhm</w:t>
      </w:r>
      <w:proofErr w:type="spellEnd"/>
      <w:r>
        <w:t xml:space="preserve"> J, </w:t>
      </w:r>
      <w:proofErr w:type="spellStart"/>
      <w:r>
        <w:t>Brunetti</w:t>
      </w:r>
      <w:proofErr w:type="spellEnd"/>
      <w:r>
        <w:t xml:space="preserve"> F, </w:t>
      </w:r>
      <w:proofErr w:type="spellStart"/>
      <w:r>
        <w:t>Habermann</w:t>
      </w:r>
      <w:proofErr w:type="spellEnd"/>
      <w:r>
        <w:t xml:space="preserve"> N, others: </w:t>
      </w:r>
      <w:r>
        <w:rPr>
          <w:b/>
        </w:rPr>
        <w:t>Potential of fecal microbiota for early-stage detection of colorectal cancer</w:t>
      </w:r>
      <w:r>
        <w:t xml:space="preserve">. </w:t>
      </w:r>
      <w:r>
        <w:rPr>
          <w:i/>
        </w:rPr>
        <w:t>Molecular systems biology</w:t>
      </w:r>
      <w:r>
        <w:t xml:space="preserve">. 2014, </w:t>
      </w:r>
      <w:r>
        <w:rPr>
          <w:b/>
        </w:rPr>
        <w:t>10</w:t>
      </w:r>
      <w:r>
        <w:t>:766.</w:t>
      </w:r>
    </w:p>
    <w:p w14:paraId="1E9108CF" w14:textId="77777777" w:rsidR="0038556F" w:rsidRDefault="00FD4B78">
      <w:pPr>
        <w:pStyle w:val="Bibliography"/>
      </w:pPr>
      <w:r>
        <w:t xml:space="preserve">18. </w:t>
      </w:r>
      <w:proofErr w:type="spellStart"/>
      <w:r>
        <w:t>Liaw</w:t>
      </w:r>
      <w:proofErr w:type="spellEnd"/>
      <w:r>
        <w:t xml:space="preserve"> A, Wiener M: </w:t>
      </w:r>
      <w:r>
        <w:rPr>
          <w:b/>
        </w:rPr>
        <w:t xml:space="preserve">Classification and regression by </w:t>
      </w:r>
      <w:proofErr w:type="spellStart"/>
      <w:r>
        <w:rPr>
          <w:b/>
        </w:rPr>
        <w:t>randomForest</w:t>
      </w:r>
      <w:proofErr w:type="spellEnd"/>
      <w:r>
        <w:t xml:space="preserve">. </w:t>
      </w:r>
      <w:r>
        <w:rPr>
          <w:i/>
        </w:rPr>
        <w:t>R news</w:t>
      </w:r>
      <w:r>
        <w:t xml:space="preserve">. 2002, </w:t>
      </w:r>
      <w:r>
        <w:rPr>
          <w:b/>
        </w:rPr>
        <w:t>2</w:t>
      </w:r>
      <w:r>
        <w:t>:18–22.</w:t>
      </w:r>
    </w:p>
    <w:p w14:paraId="3D0B9D01" w14:textId="77777777" w:rsidR="0038556F" w:rsidRDefault="00FD4B78">
      <w:pPr>
        <w:pStyle w:val="Bibliography"/>
      </w:pPr>
      <w:r>
        <w:t xml:space="preserve">19. O’Brien CL, Allison GE, </w:t>
      </w:r>
      <w:proofErr w:type="spellStart"/>
      <w:r>
        <w:t>Grimpen</w:t>
      </w:r>
      <w:proofErr w:type="spellEnd"/>
      <w:r>
        <w:t xml:space="preserve"> F, Pavli P: </w:t>
      </w:r>
      <w:r>
        <w:rPr>
          <w:b/>
        </w:rPr>
        <w:t>Impact of Colonoscopy Bowel Preparation on Intestinal Microbiota</w:t>
      </w:r>
      <w:r>
        <w:t xml:space="preserve">. </w:t>
      </w:r>
      <w:proofErr w:type="spellStart"/>
      <w:r>
        <w:rPr>
          <w:i/>
        </w:rPr>
        <w:t>PLoS</w:t>
      </w:r>
      <w:proofErr w:type="spellEnd"/>
      <w:r>
        <w:rPr>
          <w:i/>
        </w:rPr>
        <w:t xml:space="preserve"> ONE</w:t>
      </w:r>
      <w:r>
        <w:t xml:space="preserve">. 2013, </w:t>
      </w:r>
      <w:r>
        <w:rPr>
          <w:b/>
        </w:rPr>
        <w:t>8</w:t>
      </w:r>
      <w:r>
        <w:t>:e62815.</w:t>
      </w:r>
    </w:p>
    <w:p w14:paraId="019304DC" w14:textId="77777777" w:rsidR="0038556F" w:rsidRDefault="00FD4B78">
      <w:pPr>
        <w:pStyle w:val="Bibliography"/>
      </w:pPr>
      <w:r>
        <w:t xml:space="preserve">20. </w:t>
      </w:r>
      <w:proofErr w:type="spellStart"/>
      <w:r>
        <w:t>Kozich</w:t>
      </w:r>
      <w:proofErr w:type="spellEnd"/>
      <w:r>
        <w:t xml:space="preserve"> JJ, Westcott SL, Baxter NT, Highlander SK, </w:t>
      </w:r>
      <w:proofErr w:type="spellStart"/>
      <w:r>
        <w:t>Schloss</w:t>
      </w:r>
      <w:proofErr w:type="spellEnd"/>
      <w:r>
        <w:t xml:space="preserve"> PD: </w:t>
      </w:r>
      <w:r>
        <w:rPr>
          <w:b/>
        </w:rPr>
        <w:t xml:space="preserve">Development of a dual-index sequencing strategy and </w:t>
      </w:r>
      <w:proofErr w:type="spellStart"/>
      <w:r>
        <w:rPr>
          <w:b/>
        </w:rPr>
        <w:t>curation</w:t>
      </w:r>
      <w:proofErr w:type="spellEnd"/>
      <w:r>
        <w:rPr>
          <w:b/>
        </w:rPr>
        <w:t xml:space="preserve"> pipeline for analyzing </w:t>
      </w:r>
      <w:proofErr w:type="spellStart"/>
      <w:r>
        <w:rPr>
          <w:b/>
        </w:rPr>
        <w:t>amplicon</w:t>
      </w:r>
      <w:proofErr w:type="spellEnd"/>
      <w:r>
        <w:rPr>
          <w:b/>
        </w:rPr>
        <w:t xml:space="preserve"> sequence data on the </w:t>
      </w:r>
      <w:proofErr w:type="spellStart"/>
      <w:r>
        <w:rPr>
          <w:b/>
        </w:rPr>
        <w:t>MiSeq</w:t>
      </w:r>
      <w:proofErr w:type="spellEnd"/>
      <w:r>
        <w:rPr>
          <w:b/>
        </w:rPr>
        <w:t xml:space="preserve"> </w:t>
      </w:r>
      <w:proofErr w:type="spellStart"/>
      <w:r>
        <w:rPr>
          <w:b/>
        </w:rPr>
        <w:t>Illumina</w:t>
      </w:r>
      <w:proofErr w:type="spellEnd"/>
      <w:r>
        <w:rPr>
          <w:b/>
        </w:rPr>
        <w:t xml:space="preserve"> sequencing platform</w:t>
      </w:r>
      <w:r>
        <w:t xml:space="preserve">. </w:t>
      </w:r>
      <w:r>
        <w:rPr>
          <w:i/>
        </w:rPr>
        <w:t>Applied and environmental microbiology</w:t>
      </w:r>
      <w:r>
        <w:t xml:space="preserve">. 2013, </w:t>
      </w:r>
      <w:r>
        <w:rPr>
          <w:b/>
        </w:rPr>
        <w:t>79</w:t>
      </w:r>
      <w:r>
        <w:t>:5112–5120.</w:t>
      </w:r>
    </w:p>
    <w:p w14:paraId="002E2911" w14:textId="77777777" w:rsidR="0038556F" w:rsidRDefault="00FD4B78">
      <w:pPr>
        <w:pStyle w:val="Bibliography"/>
      </w:pPr>
      <w:r>
        <w:t xml:space="preserve">21. Wang Q, </w:t>
      </w:r>
      <w:proofErr w:type="spellStart"/>
      <w:r>
        <w:t>Garrity</w:t>
      </w:r>
      <w:proofErr w:type="spellEnd"/>
      <w:r>
        <w:t xml:space="preserve"> GM, </w:t>
      </w:r>
      <w:proofErr w:type="spellStart"/>
      <w:r>
        <w:t>Tiedje</w:t>
      </w:r>
      <w:proofErr w:type="spellEnd"/>
      <w:r>
        <w:t xml:space="preserve"> JM, Cole JR: </w:t>
      </w:r>
      <w:r>
        <w:rPr>
          <w:b/>
        </w:rPr>
        <w:t xml:space="preserve">Naive </w:t>
      </w:r>
      <w:proofErr w:type="spellStart"/>
      <w:r>
        <w:rPr>
          <w:b/>
        </w:rPr>
        <w:t>bayesian</w:t>
      </w:r>
      <w:proofErr w:type="spellEnd"/>
      <w:r>
        <w:rPr>
          <w:b/>
        </w:rPr>
        <w:t xml:space="preserve"> classifier for rapid assignment of rRNA sequences into the new bacterial taxonomy</w:t>
      </w:r>
      <w:r>
        <w:t xml:space="preserve">. </w:t>
      </w:r>
      <w:r>
        <w:rPr>
          <w:i/>
        </w:rPr>
        <w:t>Applied and environmental microbiology</w:t>
      </w:r>
      <w:r>
        <w:t xml:space="preserve">. 2007, </w:t>
      </w:r>
      <w:r>
        <w:rPr>
          <w:b/>
        </w:rPr>
        <w:t>73</w:t>
      </w:r>
      <w:r>
        <w:t>:5261–5267.</w:t>
      </w:r>
    </w:p>
    <w:p w14:paraId="05EA2D0C" w14:textId="77777777" w:rsidR="0038556F" w:rsidRDefault="00FD4B78">
      <w:pPr>
        <w:pStyle w:val="Bibliography"/>
      </w:pPr>
      <w:r>
        <w:t xml:space="preserve">22. </w:t>
      </w:r>
      <w:proofErr w:type="spellStart"/>
      <w:r>
        <w:t>Calle</w:t>
      </w:r>
      <w:proofErr w:type="spellEnd"/>
      <w:r>
        <w:t xml:space="preserve"> ML, </w:t>
      </w:r>
      <w:proofErr w:type="spellStart"/>
      <w:r>
        <w:t>Urrea</w:t>
      </w:r>
      <w:proofErr w:type="spellEnd"/>
      <w:r>
        <w:t xml:space="preserve"> V, </w:t>
      </w:r>
      <w:proofErr w:type="spellStart"/>
      <w:r>
        <w:t>Boulesteix</w:t>
      </w:r>
      <w:proofErr w:type="spellEnd"/>
      <w:r>
        <w:t xml:space="preserve"> A-L, </w:t>
      </w:r>
      <w:proofErr w:type="spellStart"/>
      <w:r>
        <w:t>Malats</w:t>
      </w:r>
      <w:proofErr w:type="spellEnd"/>
      <w:r>
        <w:t xml:space="preserve"> N: </w:t>
      </w:r>
      <w:r>
        <w:rPr>
          <w:b/>
        </w:rPr>
        <w:t>AUC-RF: A new strategy for genomic profiling with random forest</w:t>
      </w:r>
      <w:r>
        <w:t xml:space="preserve">. </w:t>
      </w:r>
      <w:r>
        <w:rPr>
          <w:i/>
        </w:rPr>
        <w:t>Human heredity</w:t>
      </w:r>
      <w:r>
        <w:t xml:space="preserve">. 2011, </w:t>
      </w:r>
      <w:r>
        <w:rPr>
          <w:b/>
        </w:rPr>
        <w:t>72</w:t>
      </w:r>
      <w:r>
        <w:t>:121–132.</w:t>
      </w:r>
    </w:p>
    <w:p w14:paraId="03CEE95C" w14:textId="77777777" w:rsidR="0038556F" w:rsidRDefault="00FD4B78">
      <w:pPr>
        <w:pStyle w:val="Bibliography"/>
      </w:pPr>
      <w:r>
        <w:lastRenderedPageBreak/>
        <w:t xml:space="preserve">23. DeLong ER, DeLong DM, Clarke-Pearson DL: </w:t>
      </w:r>
      <w:r>
        <w:rPr>
          <w:b/>
        </w:rPr>
        <w:t>Comparing the areas under two or more correlated receiver operating characteristic curves: a nonparametric approach</w:t>
      </w:r>
      <w:r>
        <w:t xml:space="preserve">. </w:t>
      </w:r>
      <w:r>
        <w:rPr>
          <w:i/>
        </w:rPr>
        <w:t>Biometrics</w:t>
      </w:r>
      <w:r>
        <w:t>. 1988:837–845.</w:t>
      </w:r>
    </w:p>
    <w:p w14:paraId="33DB1AC7" w14:textId="77777777" w:rsidR="0038556F" w:rsidRDefault="00FD4B78">
      <w:pPr>
        <w:pStyle w:val="Bibliography"/>
      </w:pPr>
      <w:r>
        <w:t xml:space="preserve">24. </w:t>
      </w:r>
      <w:proofErr w:type="spellStart"/>
      <w:r>
        <w:t>Youden</w:t>
      </w:r>
      <w:proofErr w:type="spellEnd"/>
      <w:r>
        <w:t xml:space="preserve"> WJ: </w:t>
      </w:r>
      <w:r>
        <w:rPr>
          <w:b/>
        </w:rPr>
        <w:t>Index for rating diagnostic tests</w:t>
      </w:r>
      <w:r>
        <w:t xml:space="preserve">. </w:t>
      </w:r>
      <w:r>
        <w:rPr>
          <w:i/>
        </w:rPr>
        <w:t>Cancer</w:t>
      </w:r>
      <w:r>
        <w:t xml:space="preserve">. 1950, </w:t>
      </w:r>
      <w:r>
        <w:rPr>
          <w:b/>
        </w:rPr>
        <w:t>3</w:t>
      </w:r>
      <w:r>
        <w:t>:32–35.</w:t>
      </w:r>
    </w:p>
    <w:p w14:paraId="779F0484" w14:textId="77777777" w:rsidR="0038556F" w:rsidRDefault="00FD4B78">
      <w:pPr>
        <w:pStyle w:val="Bibliography"/>
      </w:pPr>
      <w:r>
        <w:t xml:space="preserve">25. Dixon P, Palmer M: </w:t>
      </w:r>
      <w:r>
        <w:rPr>
          <w:b/>
        </w:rPr>
        <w:t>VEGAN, a package of r functions for community ecology</w:t>
      </w:r>
      <w:r>
        <w:t xml:space="preserve">. </w:t>
      </w:r>
      <w:r>
        <w:rPr>
          <w:i/>
        </w:rPr>
        <w:t>Journal of Vegetation Science</w:t>
      </w:r>
      <w:r>
        <w:t xml:space="preserve">. 2003, </w:t>
      </w:r>
      <w:r>
        <w:rPr>
          <w:b/>
        </w:rPr>
        <w:t>14</w:t>
      </w:r>
      <w:r>
        <w:t>:927–930.</w:t>
      </w:r>
    </w:p>
    <w:p w14:paraId="2A7D463C" w14:textId="77777777" w:rsidR="0038556F" w:rsidRDefault="00FD4B78">
      <w:pPr>
        <w:pStyle w:val="Bibliography"/>
      </w:pPr>
      <w:r>
        <w:t>26. Warren RL, Freeman DJ, Pleasance S, Watson P, Moore RA, Cochrane K, Allen-</w:t>
      </w:r>
      <w:proofErr w:type="spellStart"/>
      <w:r>
        <w:t>Vercoe</w:t>
      </w:r>
      <w:proofErr w:type="spellEnd"/>
      <w:r>
        <w:t xml:space="preserve"> E, Holt RA: </w:t>
      </w:r>
      <w:r>
        <w:rPr>
          <w:b/>
        </w:rPr>
        <w:t>Co-occurrence of anaerobic bacteria in colorectal carcinomas</w:t>
      </w:r>
      <w:r>
        <w:t xml:space="preserve">. </w:t>
      </w:r>
      <w:r>
        <w:rPr>
          <w:i/>
        </w:rPr>
        <w:t>Microbiome</w:t>
      </w:r>
      <w:r>
        <w:t xml:space="preserve">. 2013, </w:t>
      </w:r>
      <w:r>
        <w:rPr>
          <w:b/>
        </w:rPr>
        <w:t>1</w:t>
      </w:r>
      <w:r>
        <w:t>:16.</w:t>
      </w:r>
    </w:p>
    <w:p w14:paraId="22FC3AD9" w14:textId="77777777" w:rsidR="0038556F" w:rsidRDefault="00FD4B78">
      <w:pPr>
        <w:pStyle w:val="Bibliography"/>
      </w:pPr>
      <w:r>
        <w:t xml:space="preserve">27. Yu J, </w:t>
      </w:r>
      <w:proofErr w:type="spellStart"/>
      <w:r>
        <w:t>Feng</w:t>
      </w:r>
      <w:proofErr w:type="spellEnd"/>
      <w:r>
        <w:t xml:space="preserve"> Q, Wong SH, Zhang D, Liang Q </w:t>
      </w:r>
      <w:proofErr w:type="spellStart"/>
      <w:r>
        <w:t>yi</w:t>
      </w:r>
      <w:proofErr w:type="spellEnd"/>
      <w:r>
        <w:t xml:space="preserve">, Qin Y, Tang L, Zhao H, </w:t>
      </w:r>
      <w:proofErr w:type="spellStart"/>
      <w:r>
        <w:t>Stenvang</w:t>
      </w:r>
      <w:proofErr w:type="spellEnd"/>
      <w:r>
        <w:t xml:space="preserve"> J, Li Y, others: </w:t>
      </w:r>
      <w:proofErr w:type="spellStart"/>
      <w:r>
        <w:rPr>
          <w:b/>
        </w:rPr>
        <w:t>Metagenomic</w:t>
      </w:r>
      <w:proofErr w:type="spellEnd"/>
      <w:r>
        <w:rPr>
          <w:b/>
        </w:rPr>
        <w:t xml:space="preserve"> analysis of </w:t>
      </w:r>
      <w:proofErr w:type="spellStart"/>
      <w:r>
        <w:rPr>
          <w:b/>
        </w:rPr>
        <w:t>faecal</w:t>
      </w:r>
      <w:proofErr w:type="spellEnd"/>
      <w:r>
        <w:rPr>
          <w:b/>
        </w:rPr>
        <w:t xml:space="preserve"> microbiome as a tool towards targeted non-invasive biomarkers for colorectal cancer</w:t>
      </w:r>
      <w:r>
        <w:t xml:space="preserve">. </w:t>
      </w:r>
      <w:r>
        <w:rPr>
          <w:i/>
        </w:rPr>
        <w:t>Gut</w:t>
      </w:r>
      <w:r>
        <w:t>. 2015:gutjnl–2015.</w:t>
      </w:r>
    </w:p>
    <w:p w14:paraId="416A6283" w14:textId="77777777" w:rsidR="0038556F" w:rsidRDefault="00FD4B78">
      <w:pPr>
        <w:pStyle w:val="Bibliography"/>
      </w:pPr>
      <w:r>
        <w:t xml:space="preserve">28. Rex DK, Johnson DA, Anderson JC, </w:t>
      </w:r>
      <w:proofErr w:type="spellStart"/>
      <w:r>
        <w:t>Schoenfeld</w:t>
      </w:r>
      <w:proofErr w:type="spellEnd"/>
      <w:r>
        <w:t xml:space="preserve"> PS, Burke CA, </w:t>
      </w:r>
      <w:proofErr w:type="spellStart"/>
      <w:r>
        <w:t>Inadomi</w:t>
      </w:r>
      <w:proofErr w:type="spellEnd"/>
      <w:r>
        <w:t xml:space="preserve"> JM: </w:t>
      </w:r>
      <w:r>
        <w:rPr>
          <w:b/>
        </w:rPr>
        <w:t>American College of Gastroenterology guidelines for colorectal cancer screening 2008</w:t>
      </w:r>
      <w:r>
        <w:t xml:space="preserve">. </w:t>
      </w:r>
      <w:r>
        <w:rPr>
          <w:i/>
        </w:rPr>
        <w:t>The American journal of gastroenterology</w:t>
      </w:r>
      <w:r>
        <w:t xml:space="preserve">. 2009, </w:t>
      </w:r>
      <w:r>
        <w:rPr>
          <w:b/>
        </w:rPr>
        <w:t>104</w:t>
      </w:r>
      <w:r>
        <w:t>:739–750.</w:t>
      </w:r>
    </w:p>
    <w:p w14:paraId="2952009A" w14:textId="77777777" w:rsidR="0038556F" w:rsidRDefault="00FD4B78">
      <w:pPr>
        <w:pStyle w:val="Bibliography"/>
      </w:pPr>
      <w:r>
        <w:t xml:space="preserve">29. </w:t>
      </w:r>
      <w:proofErr w:type="spellStart"/>
      <w:r>
        <w:t>Heitman</w:t>
      </w:r>
      <w:proofErr w:type="spellEnd"/>
      <w:r>
        <w:t xml:space="preserve"> SJ, </w:t>
      </w:r>
      <w:proofErr w:type="spellStart"/>
      <w:r>
        <w:t>Ronksley</w:t>
      </w:r>
      <w:proofErr w:type="spellEnd"/>
      <w:r>
        <w:t xml:space="preserve"> PE, </w:t>
      </w:r>
      <w:proofErr w:type="spellStart"/>
      <w:r>
        <w:t>Hilsden</w:t>
      </w:r>
      <w:proofErr w:type="spellEnd"/>
      <w:r>
        <w:t xml:space="preserve"> RJ, </w:t>
      </w:r>
      <w:proofErr w:type="spellStart"/>
      <w:r>
        <w:t>Manns</w:t>
      </w:r>
      <w:proofErr w:type="spellEnd"/>
      <w:r>
        <w:t xml:space="preserve"> BJ, </w:t>
      </w:r>
      <w:proofErr w:type="spellStart"/>
      <w:r>
        <w:t>Rostom</w:t>
      </w:r>
      <w:proofErr w:type="spellEnd"/>
      <w:r>
        <w:t xml:space="preserve"> A, </w:t>
      </w:r>
      <w:proofErr w:type="spellStart"/>
      <w:r>
        <w:t>Hemmelgarn</w:t>
      </w:r>
      <w:proofErr w:type="spellEnd"/>
      <w:r>
        <w:t xml:space="preserve"> BR: </w:t>
      </w:r>
      <w:r>
        <w:rPr>
          <w:b/>
        </w:rPr>
        <w:t>Prevalence of adenomas and colorectal cancer in average risk individuals: a systematic review and meta-analysis</w:t>
      </w:r>
      <w:r>
        <w:t xml:space="preserve">. </w:t>
      </w:r>
      <w:r>
        <w:rPr>
          <w:i/>
        </w:rPr>
        <w:t xml:space="preserve">Clinical Gastroenterology and </w:t>
      </w:r>
      <w:proofErr w:type="spellStart"/>
      <w:r>
        <w:rPr>
          <w:i/>
        </w:rPr>
        <w:t>Hepatology</w:t>
      </w:r>
      <w:proofErr w:type="spellEnd"/>
      <w:r>
        <w:t xml:space="preserve">. 2009, </w:t>
      </w:r>
      <w:r>
        <w:rPr>
          <w:b/>
        </w:rPr>
        <w:t>7</w:t>
      </w:r>
      <w:r>
        <w:t>:1272–1278.</w:t>
      </w:r>
    </w:p>
    <w:p w14:paraId="49EDD296" w14:textId="77777777" w:rsidR="0038556F" w:rsidRDefault="00FD4B78">
      <w:pPr>
        <w:pStyle w:val="Bibliography"/>
      </w:pPr>
      <w:r>
        <w:t xml:space="preserve">30. Symonds EL, Osborne JM, Cole SR, </w:t>
      </w:r>
      <w:proofErr w:type="spellStart"/>
      <w:r>
        <w:t>Bampton</w:t>
      </w:r>
      <w:proofErr w:type="spellEnd"/>
      <w:r>
        <w:t xml:space="preserve"> PA, Fraser RJ, Young GP: </w:t>
      </w:r>
      <w:r>
        <w:rPr>
          <w:b/>
        </w:rPr>
        <w:t xml:space="preserve">Factors affecting </w:t>
      </w:r>
      <w:proofErr w:type="spellStart"/>
      <w:r>
        <w:rPr>
          <w:b/>
        </w:rPr>
        <w:t>faecal</w:t>
      </w:r>
      <w:proofErr w:type="spellEnd"/>
      <w:r>
        <w:rPr>
          <w:b/>
        </w:rPr>
        <w:t xml:space="preserve"> immunochemical test positive rates: demographic, pathological, </w:t>
      </w:r>
      <w:proofErr w:type="spellStart"/>
      <w:r>
        <w:rPr>
          <w:b/>
        </w:rPr>
        <w:t>behavioural</w:t>
      </w:r>
      <w:proofErr w:type="spellEnd"/>
      <w:r>
        <w:rPr>
          <w:b/>
        </w:rPr>
        <w:t xml:space="preserve"> and environmental variables</w:t>
      </w:r>
      <w:r>
        <w:t xml:space="preserve">. </w:t>
      </w:r>
      <w:r>
        <w:rPr>
          <w:i/>
        </w:rPr>
        <w:t>Journal of Medical Screening</w:t>
      </w:r>
      <w:r>
        <w:t>. 2015:0969141315584783.</w:t>
      </w:r>
    </w:p>
    <w:p w14:paraId="43B498A3" w14:textId="77777777" w:rsidR="0038556F" w:rsidRDefault="00FD4B78">
      <w:pPr>
        <w:pStyle w:val="Bibliography"/>
      </w:pPr>
      <w:r>
        <w:lastRenderedPageBreak/>
        <w:t xml:space="preserve">31. </w:t>
      </w:r>
      <w:proofErr w:type="spellStart"/>
      <w:r>
        <w:t>Kapidzic</w:t>
      </w:r>
      <w:proofErr w:type="spellEnd"/>
      <w:r>
        <w:t xml:space="preserve"> A, </w:t>
      </w:r>
      <w:proofErr w:type="spellStart"/>
      <w:r>
        <w:t>Meulen</w:t>
      </w:r>
      <w:proofErr w:type="spellEnd"/>
      <w:r>
        <w:t xml:space="preserve"> MP van der, </w:t>
      </w:r>
      <w:proofErr w:type="spellStart"/>
      <w:r>
        <w:t>Hol</w:t>
      </w:r>
      <w:proofErr w:type="spellEnd"/>
      <w:r>
        <w:t xml:space="preserve"> L, </w:t>
      </w:r>
      <w:proofErr w:type="spellStart"/>
      <w:r>
        <w:t>Roon</w:t>
      </w:r>
      <w:proofErr w:type="spellEnd"/>
      <w:r>
        <w:t xml:space="preserve"> AH van, </w:t>
      </w:r>
      <w:proofErr w:type="spellStart"/>
      <w:r>
        <w:t>Looman</w:t>
      </w:r>
      <w:proofErr w:type="spellEnd"/>
      <w:r>
        <w:t xml:space="preserve"> CW, </w:t>
      </w:r>
      <w:proofErr w:type="spellStart"/>
      <w:r>
        <w:t>Lansdorp-Vogelaar</w:t>
      </w:r>
      <w:proofErr w:type="spellEnd"/>
      <w:r>
        <w:t xml:space="preserve"> I, </w:t>
      </w:r>
      <w:proofErr w:type="spellStart"/>
      <w:r>
        <w:t>Ballegooijen</w:t>
      </w:r>
      <w:proofErr w:type="spellEnd"/>
      <w:r>
        <w:t xml:space="preserve"> M van, </w:t>
      </w:r>
      <w:proofErr w:type="spellStart"/>
      <w:r>
        <w:t>Vuuren</w:t>
      </w:r>
      <w:proofErr w:type="spellEnd"/>
      <w:r>
        <w:t xml:space="preserve"> AJ van, </w:t>
      </w:r>
      <w:proofErr w:type="spellStart"/>
      <w:r>
        <w:t>Reijerink</w:t>
      </w:r>
      <w:proofErr w:type="spellEnd"/>
      <w:r>
        <w:t xml:space="preserve"> JC, </w:t>
      </w:r>
      <w:proofErr w:type="spellStart"/>
      <w:r>
        <w:t>Leerdam</w:t>
      </w:r>
      <w:proofErr w:type="spellEnd"/>
      <w:r>
        <w:t xml:space="preserve"> ME van, others: </w:t>
      </w:r>
      <w:r>
        <w:rPr>
          <w:b/>
        </w:rPr>
        <w:t xml:space="preserve">Gender differences in fecal immunochemical test performance for early detection of colorectal </w:t>
      </w:r>
      <w:proofErr w:type="spellStart"/>
      <w:r>
        <w:rPr>
          <w:b/>
        </w:rPr>
        <w:t>neoplasia</w:t>
      </w:r>
      <w:proofErr w:type="spellEnd"/>
      <w:r>
        <w:t xml:space="preserve">. </w:t>
      </w:r>
      <w:r>
        <w:rPr>
          <w:i/>
        </w:rPr>
        <w:t xml:space="preserve">Clinical Gastroenterology and </w:t>
      </w:r>
      <w:proofErr w:type="spellStart"/>
      <w:r>
        <w:rPr>
          <w:i/>
        </w:rPr>
        <w:t>Hepatology</w:t>
      </w:r>
      <w:proofErr w:type="spellEnd"/>
      <w:r>
        <w:t>. 2015.</w:t>
      </w:r>
    </w:p>
    <w:p w14:paraId="02507E62" w14:textId="77777777" w:rsidR="0038556F" w:rsidRDefault="00FD4B78">
      <w:pPr>
        <w:pStyle w:val="Bibliography"/>
      </w:pPr>
      <w:r>
        <w:t xml:space="preserve">32. Levi Z, </w:t>
      </w:r>
      <w:proofErr w:type="spellStart"/>
      <w:r>
        <w:t>Rozen</w:t>
      </w:r>
      <w:proofErr w:type="spellEnd"/>
      <w:r>
        <w:t xml:space="preserve"> P, </w:t>
      </w:r>
      <w:proofErr w:type="spellStart"/>
      <w:r>
        <w:t>Hazazi</w:t>
      </w:r>
      <w:proofErr w:type="spellEnd"/>
      <w:r>
        <w:t xml:space="preserve"> R, </w:t>
      </w:r>
      <w:proofErr w:type="spellStart"/>
      <w:r>
        <w:t>Vilkin</w:t>
      </w:r>
      <w:proofErr w:type="spellEnd"/>
      <w:r>
        <w:t xml:space="preserve"> A, Waked A, </w:t>
      </w:r>
      <w:proofErr w:type="spellStart"/>
      <w:r>
        <w:t>Maoz</w:t>
      </w:r>
      <w:proofErr w:type="spellEnd"/>
      <w:r>
        <w:t xml:space="preserve"> E, </w:t>
      </w:r>
      <w:proofErr w:type="spellStart"/>
      <w:r>
        <w:t>Birkenfeld</w:t>
      </w:r>
      <w:proofErr w:type="spellEnd"/>
      <w:r>
        <w:t xml:space="preserve"> S, Lieberman N, </w:t>
      </w:r>
      <w:proofErr w:type="spellStart"/>
      <w:r>
        <w:t>Klang</w:t>
      </w:r>
      <w:proofErr w:type="spellEnd"/>
      <w:r>
        <w:t xml:space="preserve"> S, </w:t>
      </w:r>
      <w:proofErr w:type="spellStart"/>
      <w:r>
        <w:t>Niv</w:t>
      </w:r>
      <w:proofErr w:type="spellEnd"/>
      <w:r>
        <w:t xml:space="preserve"> Y: </w:t>
      </w:r>
      <w:r>
        <w:rPr>
          <w:b/>
        </w:rPr>
        <w:t xml:space="preserve">Sensitivity, but not specificity, of a quantitative immunochemical fecal occult blood test for </w:t>
      </w:r>
      <w:proofErr w:type="spellStart"/>
      <w:r>
        <w:rPr>
          <w:b/>
        </w:rPr>
        <w:t>neoplasia</w:t>
      </w:r>
      <w:proofErr w:type="spellEnd"/>
      <w:r>
        <w:rPr>
          <w:b/>
        </w:rPr>
        <w:t xml:space="preserve"> is slightly increased by the use of low-dose aspirin, NSAIDs, and anticoagulants</w:t>
      </w:r>
      <w:r>
        <w:t xml:space="preserve">. </w:t>
      </w:r>
      <w:r>
        <w:rPr>
          <w:i/>
        </w:rPr>
        <w:t>The American journal of gastroenterology</w:t>
      </w:r>
      <w:r>
        <w:t xml:space="preserve">. 2009, </w:t>
      </w:r>
      <w:r>
        <w:rPr>
          <w:b/>
        </w:rPr>
        <w:t>104</w:t>
      </w:r>
      <w:r>
        <w:t>:933–938.</w:t>
      </w:r>
    </w:p>
    <w:p w14:paraId="650D2EEB" w14:textId="77777777" w:rsidR="0038556F" w:rsidRDefault="00FD4B78">
      <w:pPr>
        <w:pStyle w:val="Bibliography"/>
      </w:pPr>
      <w:r>
        <w:t xml:space="preserve">33. Schubert AM, </w:t>
      </w:r>
      <w:proofErr w:type="spellStart"/>
      <w:r>
        <w:t>Sinani</w:t>
      </w:r>
      <w:proofErr w:type="spellEnd"/>
      <w:r>
        <w:t xml:space="preserve"> H, </w:t>
      </w:r>
      <w:proofErr w:type="spellStart"/>
      <w:r>
        <w:t>Schloss</w:t>
      </w:r>
      <w:proofErr w:type="spellEnd"/>
      <w:r>
        <w:t xml:space="preserve"> PD: </w:t>
      </w:r>
      <w:r>
        <w:rPr>
          <w:b/>
        </w:rPr>
        <w:t>Antibiotic-Induced Alterations of the Murine Gut Microbiota and Subsequent Effects on Colonization Resistance against Clostridium difficile</w:t>
      </w:r>
      <w:r>
        <w:t xml:space="preserve">. </w:t>
      </w:r>
      <w:proofErr w:type="spellStart"/>
      <w:r>
        <w:rPr>
          <w:i/>
        </w:rPr>
        <w:t>MBio</w:t>
      </w:r>
      <w:proofErr w:type="spellEnd"/>
      <w:r>
        <w:t xml:space="preserve">. 2015, </w:t>
      </w:r>
      <w:r>
        <w:rPr>
          <w:b/>
        </w:rPr>
        <w:t>6</w:t>
      </w:r>
      <w:r>
        <w:t>.</w:t>
      </w:r>
    </w:p>
    <w:p w14:paraId="45CDEBDA" w14:textId="77777777" w:rsidR="0038556F" w:rsidRDefault="00FD4B78">
      <w:pPr>
        <w:pStyle w:val="Bibliography"/>
      </w:pPr>
      <w:r>
        <w:t xml:space="preserve">34. </w:t>
      </w:r>
      <w:proofErr w:type="spellStart"/>
      <w:r>
        <w:t>Pryde</w:t>
      </w:r>
      <w:proofErr w:type="spellEnd"/>
      <w:r>
        <w:t xml:space="preserve"> SE, Duncan SH, Hold GL, Stewart CS, Flint HJ: </w:t>
      </w:r>
      <w:r>
        <w:rPr>
          <w:b/>
        </w:rPr>
        <w:t>The microbiology of butyrate formation in the human colon</w:t>
      </w:r>
      <w:r>
        <w:t xml:space="preserve">. </w:t>
      </w:r>
      <w:r>
        <w:rPr>
          <w:i/>
        </w:rPr>
        <w:t>FEMS microbiology letters</w:t>
      </w:r>
      <w:r>
        <w:t xml:space="preserve">. 2002, </w:t>
      </w:r>
      <w:r>
        <w:rPr>
          <w:b/>
        </w:rPr>
        <w:t>217</w:t>
      </w:r>
      <w:r>
        <w:t>:133–139.</w:t>
      </w:r>
    </w:p>
    <w:p w14:paraId="07DDEC0E" w14:textId="77777777" w:rsidR="0038556F" w:rsidRDefault="00FD4B78">
      <w:pPr>
        <w:pStyle w:val="Bibliography"/>
      </w:pPr>
      <w:r>
        <w:t xml:space="preserve">35. </w:t>
      </w:r>
      <w:proofErr w:type="spellStart"/>
      <w:r>
        <w:t>Segain</w:t>
      </w:r>
      <w:proofErr w:type="spellEnd"/>
      <w:r>
        <w:t xml:space="preserve"> J, De La </w:t>
      </w:r>
      <w:proofErr w:type="spellStart"/>
      <w:r>
        <w:t>Blétiere</w:t>
      </w:r>
      <w:proofErr w:type="spellEnd"/>
      <w:r>
        <w:t xml:space="preserve"> DR, </w:t>
      </w:r>
      <w:proofErr w:type="spellStart"/>
      <w:r>
        <w:t>Bourreille</w:t>
      </w:r>
      <w:proofErr w:type="spellEnd"/>
      <w:r>
        <w:t xml:space="preserve"> A, </w:t>
      </w:r>
      <w:proofErr w:type="spellStart"/>
      <w:r>
        <w:t>Leray</w:t>
      </w:r>
      <w:proofErr w:type="spellEnd"/>
      <w:r>
        <w:t xml:space="preserve"> V, </w:t>
      </w:r>
      <w:proofErr w:type="spellStart"/>
      <w:r>
        <w:t>Gervois</w:t>
      </w:r>
      <w:proofErr w:type="spellEnd"/>
      <w:r>
        <w:t xml:space="preserve"> N, Rosales C, Ferrier L, Bonnet C, </w:t>
      </w:r>
      <w:proofErr w:type="spellStart"/>
      <w:r>
        <w:t>Blottiere</w:t>
      </w:r>
      <w:proofErr w:type="spellEnd"/>
      <w:r>
        <w:t xml:space="preserve"> H, </w:t>
      </w:r>
      <w:proofErr w:type="spellStart"/>
      <w:r>
        <w:t>Galmiche</w:t>
      </w:r>
      <w:proofErr w:type="spellEnd"/>
      <w:r>
        <w:t xml:space="preserve"> J: </w:t>
      </w:r>
      <w:r>
        <w:rPr>
          <w:b/>
        </w:rPr>
        <w:t xml:space="preserve">Butyrate inhibits inflammatory responses through </w:t>
      </w:r>
      <w:proofErr w:type="spellStart"/>
      <w:r>
        <w:rPr>
          <w:b/>
        </w:rPr>
        <w:t>nF</w:t>
      </w:r>
      <w:proofErr w:type="spellEnd"/>
      <m:oMath>
        <m:r>
          <m:rPr>
            <m:sty m:val="p"/>
          </m:rPr>
          <w:rPr>
            <w:rFonts w:ascii="Cambria Math" w:hAnsi="Cambria Math"/>
          </w:rPr>
          <m:t>κ</m:t>
        </m:r>
      </m:oMath>
      <w:r>
        <w:rPr>
          <w:b/>
        </w:rPr>
        <w:t>B inhibition: Implications for crohn’s disease</w:t>
      </w:r>
      <w:r>
        <w:t xml:space="preserve">. </w:t>
      </w:r>
      <w:r>
        <w:rPr>
          <w:i/>
        </w:rPr>
        <w:t>Gut</w:t>
      </w:r>
      <w:r>
        <w:t xml:space="preserve">. 2000, </w:t>
      </w:r>
      <w:r>
        <w:rPr>
          <w:b/>
        </w:rPr>
        <w:t>47</w:t>
      </w:r>
      <w:r>
        <w:t>:397–403.</w:t>
      </w:r>
    </w:p>
    <w:p w14:paraId="67B5911A" w14:textId="77777777" w:rsidR="0038556F" w:rsidRDefault="00FD4B78">
      <w:pPr>
        <w:pStyle w:val="Bibliography"/>
      </w:pPr>
      <w:r>
        <w:t xml:space="preserve">36. </w:t>
      </w:r>
      <w:proofErr w:type="spellStart"/>
      <w:r>
        <w:t>D’Argenio</w:t>
      </w:r>
      <w:proofErr w:type="spellEnd"/>
      <w:r>
        <w:t xml:space="preserve"> G, Cosenza V, </w:t>
      </w:r>
      <w:proofErr w:type="spellStart"/>
      <w:r>
        <w:t>Delle</w:t>
      </w:r>
      <w:proofErr w:type="spellEnd"/>
      <w:r>
        <w:t xml:space="preserve"> Cave M, </w:t>
      </w:r>
      <w:proofErr w:type="spellStart"/>
      <w:r>
        <w:t>Iovino</w:t>
      </w:r>
      <w:proofErr w:type="spellEnd"/>
      <w:r>
        <w:t xml:space="preserve"> P, </w:t>
      </w:r>
      <w:proofErr w:type="spellStart"/>
      <w:r>
        <w:t>Delle</w:t>
      </w:r>
      <w:proofErr w:type="spellEnd"/>
      <w:r>
        <w:t xml:space="preserve"> Valle N, Lombardi G, </w:t>
      </w:r>
      <w:proofErr w:type="spellStart"/>
      <w:r>
        <w:t>Mazzacca</w:t>
      </w:r>
      <w:proofErr w:type="spellEnd"/>
      <w:r>
        <w:t xml:space="preserve"> G: </w:t>
      </w:r>
      <w:r>
        <w:rPr>
          <w:b/>
        </w:rPr>
        <w:t>Butyrate enemas in experimental colitis and protection against large bowel cancer in a rat model</w:t>
      </w:r>
      <w:r>
        <w:t xml:space="preserve">. </w:t>
      </w:r>
      <w:r>
        <w:rPr>
          <w:i/>
        </w:rPr>
        <w:t>Gastroenterology</w:t>
      </w:r>
      <w:r>
        <w:t xml:space="preserve">. 1996, </w:t>
      </w:r>
      <w:r>
        <w:rPr>
          <w:b/>
        </w:rPr>
        <w:t>110</w:t>
      </w:r>
      <w:r>
        <w:t>:1727–1734.</w:t>
      </w:r>
    </w:p>
    <w:p w14:paraId="3B8C7F3E" w14:textId="77777777" w:rsidR="0038556F" w:rsidRDefault="00FD4B78">
      <w:pPr>
        <w:pStyle w:val="Bibliography"/>
      </w:pPr>
      <w:r>
        <w:lastRenderedPageBreak/>
        <w:t xml:space="preserve">37. Hague A, Elder DJ, Hicks DJ, </w:t>
      </w:r>
      <w:proofErr w:type="spellStart"/>
      <w:r>
        <w:t>Paraskeva</w:t>
      </w:r>
      <w:proofErr w:type="spellEnd"/>
      <w:r>
        <w:t xml:space="preserve"> C: </w:t>
      </w:r>
      <w:r>
        <w:rPr>
          <w:b/>
        </w:rPr>
        <w:t xml:space="preserve">Apoptosis in colorectal </w:t>
      </w:r>
      <w:proofErr w:type="spellStart"/>
      <w:r>
        <w:rPr>
          <w:b/>
        </w:rPr>
        <w:t>tumour</w:t>
      </w:r>
      <w:proofErr w:type="spellEnd"/>
      <w:r>
        <w:rPr>
          <w:b/>
        </w:rPr>
        <w:t xml:space="preserve"> cells: Induction by the short chain fatty acids butyrate, propionate and acetate and by the bile salt </w:t>
      </w:r>
      <w:proofErr w:type="spellStart"/>
      <w:r>
        <w:rPr>
          <w:b/>
        </w:rPr>
        <w:t>deoxycholate</w:t>
      </w:r>
      <w:proofErr w:type="spellEnd"/>
      <w:r>
        <w:t xml:space="preserve">. </w:t>
      </w:r>
      <w:r>
        <w:rPr>
          <w:i/>
        </w:rPr>
        <w:t>International Journal of Cancer</w:t>
      </w:r>
      <w:r>
        <w:t xml:space="preserve">. 1995, </w:t>
      </w:r>
      <w:r>
        <w:rPr>
          <w:b/>
        </w:rPr>
        <w:t>60</w:t>
      </w:r>
      <w:r>
        <w:t>:400–406.</w:t>
      </w:r>
    </w:p>
    <w:p w14:paraId="17FA3D7A" w14:textId="77777777" w:rsidR="0038556F" w:rsidRDefault="00FD4B78">
      <w:pPr>
        <w:pStyle w:val="Bibliography"/>
      </w:pPr>
      <w:r>
        <w:t xml:space="preserve">38. </w:t>
      </w:r>
      <w:proofErr w:type="spellStart"/>
      <w:r>
        <w:t>Gallimidi</w:t>
      </w:r>
      <w:proofErr w:type="spellEnd"/>
      <w:r>
        <w:t xml:space="preserve"> AB, </w:t>
      </w:r>
      <w:proofErr w:type="spellStart"/>
      <w:r>
        <w:t>Fischman</w:t>
      </w:r>
      <w:proofErr w:type="spellEnd"/>
      <w:r>
        <w:t xml:space="preserve"> S, </w:t>
      </w:r>
      <w:proofErr w:type="spellStart"/>
      <w:r>
        <w:t>Revach</w:t>
      </w:r>
      <w:proofErr w:type="spellEnd"/>
      <w:r>
        <w:t xml:space="preserve"> B, </w:t>
      </w:r>
      <w:proofErr w:type="spellStart"/>
      <w:r>
        <w:t>Bulvik</w:t>
      </w:r>
      <w:proofErr w:type="spellEnd"/>
      <w:r>
        <w:t xml:space="preserve"> R, </w:t>
      </w:r>
      <w:proofErr w:type="spellStart"/>
      <w:r>
        <w:t>Maliutina</w:t>
      </w:r>
      <w:proofErr w:type="spellEnd"/>
      <w:r>
        <w:t xml:space="preserve"> A, Rubinstein AM, Nussbaum G, Elkin M: </w:t>
      </w:r>
      <w:r>
        <w:rPr>
          <w:b/>
        </w:rPr>
        <w:t xml:space="preserve">Periodontal pathogens </w:t>
      </w:r>
      <w:proofErr w:type="spellStart"/>
      <w:r>
        <w:rPr>
          <w:b/>
        </w:rPr>
        <w:t>porphyromonas</w:t>
      </w:r>
      <w:proofErr w:type="spellEnd"/>
      <w:r>
        <w:rPr>
          <w:b/>
        </w:rPr>
        <w:t xml:space="preserve"> </w:t>
      </w:r>
      <w:proofErr w:type="spellStart"/>
      <w:r>
        <w:rPr>
          <w:b/>
        </w:rPr>
        <w:t>gingivalis</w:t>
      </w:r>
      <w:proofErr w:type="spellEnd"/>
      <w:r>
        <w:rPr>
          <w:b/>
        </w:rPr>
        <w:t xml:space="preserve"> and </w:t>
      </w:r>
      <w:proofErr w:type="spellStart"/>
      <w:r>
        <w:rPr>
          <w:b/>
        </w:rPr>
        <w:t>fusobacterium</w:t>
      </w:r>
      <w:proofErr w:type="spellEnd"/>
      <w:r>
        <w:rPr>
          <w:b/>
        </w:rPr>
        <w:t xml:space="preserve"> nucleatum promote tumor progression in an oral-specific chemical carcinogenesis model.</w:t>
      </w:r>
      <w:r>
        <w:t xml:space="preserve"> </w:t>
      </w:r>
      <w:proofErr w:type="spellStart"/>
      <w:r>
        <w:rPr>
          <w:i/>
        </w:rPr>
        <w:t>Oncotarget</w:t>
      </w:r>
      <w:proofErr w:type="spellEnd"/>
      <w:r>
        <w:t>. 2015.</w:t>
      </w:r>
    </w:p>
    <w:p w14:paraId="76151D86" w14:textId="77777777" w:rsidR="0038556F" w:rsidRDefault="00FD4B78">
      <w:pPr>
        <w:pStyle w:val="Bibliography"/>
      </w:pPr>
      <w:r>
        <w:t xml:space="preserve">39. Ding T, </w:t>
      </w:r>
      <w:proofErr w:type="spellStart"/>
      <w:r>
        <w:t>Schloss</w:t>
      </w:r>
      <w:proofErr w:type="spellEnd"/>
      <w:r>
        <w:t xml:space="preserve"> PD: </w:t>
      </w:r>
      <w:r>
        <w:rPr>
          <w:b/>
        </w:rPr>
        <w:t>Dynamics and associations of microbial community types across the human body</w:t>
      </w:r>
      <w:r>
        <w:t xml:space="preserve">. </w:t>
      </w:r>
      <w:r>
        <w:rPr>
          <w:i/>
        </w:rPr>
        <w:t>Nature</w:t>
      </w:r>
      <w:r>
        <w:t xml:space="preserve">. 2014, </w:t>
      </w:r>
      <w:r>
        <w:rPr>
          <w:b/>
        </w:rPr>
        <w:t>509</w:t>
      </w:r>
      <w:r>
        <w:t>:357–360.</w:t>
      </w:r>
    </w:p>
    <w:sectPr w:rsidR="0038556F" w:rsidSect="00A77E29">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B0DE66" w14:textId="77777777" w:rsidR="003549F1" w:rsidRDefault="003549F1">
      <w:pPr>
        <w:spacing w:before="0" w:after="0" w:line="240" w:lineRule="auto"/>
      </w:pPr>
      <w:r>
        <w:separator/>
      </w:r>
    </w:p>
  </w:endnote>
  <w:endnote w:type="continuationSeparator" w:id="0">
    <w:p w14:paraId="325D54B1" w14:textId="77777777" w:rsidR="003549F1" w:rsidRDefault="003549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EEF79" w14:textId="77777777" w:rsidR="003549F1" w:rsidRDefault="003549F1" w:rsidP="00A77E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F59F5E" w14:textId="77777777" w:rsidR="003549F1" w:rsidRDefault="003549F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98B241" w14:textId="77777777" w:rsidR="003549F1" w:rsidRDefault="003549F1" w:rsidP="00A77E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946B4">
      <w:rPr>
        <w:rStyle w:val="PageNumber"/>
        <w:noProof/>
      </w:rPr>
      <w:t>16</w:t>
    </w:r>
    <w:r>
      <w:rPr>
        <w:rStyle w:val="PageNumber"/>
      </w:rPr>
      <w:fldChar w:fldCharType="end"/>
    </w:r>
  </w:p>
  <w:p w14:paraId="08FB553D" w14:textId="77777777" w:rsidR="003549F1" w:rsidRDefault="003549F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6A6094" w14:textId="77777777" w:rsidR="003549F1" w:rsidRDefault="003549F1">
      <w:pPr>
        <w:spacing w:before="0" w:after="0" w:line="240" w:lineRule="auto"/>
      </w:pPr>
      <w:r>
        <w:separator/>
      </w:r>
    </w:p>
  </w:footnote>
  <w:footnote w:type="continuationSeparator" w:id="0">
    <w:p w14:paraId="569EB7D2" w14:textId="77777777" w:rsidR="003549F1" w:rsidRDefault="003549F1">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ABE5B60"/>
    <w:multiLevelType w:val="multilevel"/>
    <w:tmpl w:val="E8D611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946B4"/>
    <w:rsid w:val="001131D8"/>
    <w:rsid w:val="001E0D23"/>
    <w:rsid w:val="001E29C1"/>
    <w:rsid w:val="001F220C"/>
    <w:rsid w:val="00236AB8"/>
    <w:rsid w:val="00293F0B"/>
    <w:rsid w:val="002A2BD7"/>
    <w:rsid w:val="002C24DC"/>
    <w:rsid w:val="002D6D33"/>
    <w:rsid w:val="0035443E"/>
    <w:rsid w:val="003549F1"/>
    <w:rsid w:val="00372C58"/>
    <w:rsid w:val="0038556F"/>
    <w:rsid w:val="003A1922"/>
    <w:rsid w:val="00446271"/>
    <w:rsid w:val="004E29B3"/>
    <w:rsid w:val="00590D07"/>
    <w:rsid w:val="005A4848"/>
    <w:rsid w:val="005A673D"/>
    <w:rsid w:val="006E4AA0"/>
    <w:rsid w:val="00764771"/>
    <w:rsid w:val="00783DE5"/>
    <w:rsid w:val="00784D58"/>
    <w:rsid w:val="007C78F7"/>
    <w:rsid w:val="008329A6"/>
    <w:rsid w:val="00891CE5"/>
    <w:rsid w:val="008D6863"/>
    <w:rsid w:val="00A77E29"/>
    <w:rsid w:val="00B47E26"/>
    <w:rsid w:val="00B86B75"/>
    <w:rsid w:val="00BC48D5"/>
    <w:rsid w:val="00C3529D"/>
    <w:rsid w:val="00C36279"/>
    <w:rsid w:val="00C908DD"/>
    <w:rsid w:val="00CA4B30"/>
    <w:rsid w:val="00E315A3"/>
    <w:rsid w:val="00E379A4"/>
    <w:rsid w:val="00F62A62"/>
    <w:rsid w:val="00FC1E8B"/>
    <w:rsid w:val="00FD4B7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74D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6E4AA0"/>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6E4AA0"/>
    <w:rPr>
      <w:rFonts w:ascii="Lucida Grande" w:hAnsi="Lucida Grande" w:cs="Lucida Grande"/>
      <w:sz w:val="18"/>
      <w:szCs w:val="18"/>
    </w:rPr>
  </w:style>
  <w:style w:type="paragraph" w:styleId="Header">
    <w:name w:val="header"/>
    <w:basedOn w:val="Normal"/>
    <w:link w:val="HeaderChar"/>
    <w:rsid w:val="006E4AA0"/>
    <w:pPr>
      <w:tabs>
        <w:tab w:val="center" w:pos="4320"/>
        <w:tab w:val="right" w:pos="8640"/>
      </w:tabs>
      <w:spacing w:before="0" w:after="0" w:line="240" w:lineRule="auto"/>
    </w:pPr>
  </w:style>
  <w:style w:type="character" w:customStyle="1" w:styleId="HeaderChar">
    <w:name w:val="Header Char"/>
    <w:basedOn w:val="DefaultParagraphFont"/>
    <w:link w:val="Header"/>
    <w:rsid w:val="006E4AA0"/>
  </w:style>
  <w:style w:type="character" w:styleId="CommentReference">
    <w:name w:val="annotation reference"/>
    <w:basedOn w:val="DefaultParagraphFont"/>
    <w:rsid w:val="00783DE5"/>
    <w:rPr>
      <w:sz w:val="18"/>
      <w:szCs w:val="18"/>
    </w:rPr>
  </w:style>
  <w:style w:type="paragraph" w:styleId="CommentText">
    <w:name w:val="annotation text"/>
    <w:basedOn w:val="Normal"/>
    <w:link w:val="CommentTextChar"/>
    <w:rsid w:val="00783DE5"/>
    <w:pPr>
      <w:spacing w:line="240" w:lineRule="auto"/>
    </w:pPr>
  </w:style>
  <w:style w:type="character" w:customStyle="1" w:styleId="CommentTextChar">
    <w:name w:val="Comment Text Char"/>
    <w:basedOn w:val="DefaultParagraphFont"/>
    <w:link w:val="CommentText"/>
    <w:rsid w:val="00783DE5"/>
  </w:style>
  <w:style w:type="paragraph" w:styleId="CommentSubject">
    <w:name w:val="annotation subject"/>
    <w:basedOn w:val="CommentText"/>
    <w:next w:val="CommentText"/>
    <w:link w:val="CommentSubjectChar"/>
    <w:rsid w:val="00783DE5"/>
    <w:rPr>
      <w:b/>
      <w:bCs/>
      <w:sz w:val="20"/>
      <w:szCs w:val="20"/>
    </w:rPr>
  </w:style>
  <w:style w:type="character" w:customStyle="1" w:styleId="CommentSubjectChar">
    <w:name w:val="Comment Subject Char"/>
    <w:basedOn w:val="CommentTextChar"/>
    <w:link w:val="CommentSubject"/>
    <w:rsid w:val="00783DE5"/>
    <w:rPr>
      <w:b/>
      <w:bCs/>
      <w:sz w:val="20"/>
      <w:szCs w:val="20"/>
    </w:rPr>
  </w:style>
  <w:style w:type="paragraph" w:styleId="Revision">
    <w:name w:val="Revision"/>
    <w:hidden/>
    <w:rsid w:val="00C3529D"/>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6E4AA0"/>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6E4AA0"/>
    <w:rPr>
      <w:rFonts w:ascii="Lucida Grande" w:hAnsi="Lucida Grande" w:cs="Lucida Grande"/>
      <w:sz w:val="18"/>
      <w:szCs w:val="18"/>
    </w:rPr>
  </w:style>
  <w:style w:type="paragraph" w:styleId="Header">
    <w:name w:val="header"/>
    <w:basedOn w:val="Normal"/>
    <w:link w:val="HeaderChar"/>
    <w:rsid w:val="006E4AA0"/>
    <w:pPr>
      <w:tabs>
        <w:tab w:val="center" w:pos="4320"/>
        <w:tab w:val="right" w:pos="8640"/>
      </w:tabs>
      <w:spacing w:before="0" w:after="0" w:line="240" w:lineRule="auto"/>
    </w:pPr>
  </w:style>
  <w:style w:type="character" w:customStyle="1" w:styleId="HeaderChar">
    <w:name w:val="Header Char"/>
    <w:basedOn w:val="DefaultParagraphFont"/>
    <w:link w:val="Header"/>
    <w:rsid w:val="006E4AA0"/>
  </w:style>
  <w:style w:type="character" w:styleId="CommentReference">
    <w:name w:val="annotation reference"/>
    <w:basedOn w:val="DefaultParagraphFont"/>
    <w:rsid w:val="00783DE5"/>
    <w:rPr>
      <w:sz w:val="18"/>
      <w:szCs w:val="18"/>
    </w:rPr>
  </w:style>
  <w:style w:type="paragraph" w:styleId="CommentText">
    <w:name w:val="annotation text"/>
    <w:basedOn w:val="Normal"/>
    <w:link w:val="CommentTextChar"/>
    <w:rsid w:val="00783DE5"/>
    <w:pPr>
      <w:spacing w:line="240" w:lineRule="auto"/>
    </w:pPr>
  </w:style>
  <w:style w:type="character" w:customStyle="1" w:styleId="CommentTextChar">
    <w:name w:val="Comment Text Char"/>
    <w:basedOn w:val="DefaultParagraphFont"/>
    <w:link w:val="CommentText"/>
    <w:rsid w:val="00783DE5"/>
  </w:style>
  <w:style w:type="paragraph" w:styleId="CommentSubject">
    <w:name w:val="annotation subject"/>
    <w:basedOn w:val="CommentText"/>
    <w:next w:val="CommentText"/>
    <w:link w:val="CommentSubjectChar"/>
    <w:rsid w:val="00783DE5"/>
    <w:rPr>
      <w:b/>
      <w:bCs/>
      <w:sz w:val="20"/>
      <w:szCs w:val="20"/>
    </w:rPr>
  </w:style>
  <w:style w:type="character" w:customStyle="1" w:styleId="CommentSubjectChar">
    <w:name w:val="Comment Subject Char"/>
    <w:basedOn w:val="CommentTextChar"/>
    <w:link w:val="CommentSubject"/>
    <w:rsid w:val="00783DE5"/>
    <w:rPr>
      <w:b/>
      <w:bCs/>
      <w:sz w:val="20"/>
      <w:szCs w:val="20"/>
    </w:rPr>
  </w:style>
  <w:style w:type="paragraph" w:styleId="Revision">
    <w:name w:val="Revision"/>
    <w:hidden/>
    <w:rsid w:val="00C352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866558">
      <w:bodyDiv w:val="1"/>
      <w:marLeft w:val="0"/>
      <w:marRight w:val="0"/>
      <w:marTop w:val="0"/>
      <w:marBottom w:val="0"/>
      <w:divBdr>
        <w:top w:val="none" w:sz="0" w:space="0" w:color="auto"/>
        <w:left w:val="none" w:sz="0" w:space="0" w:color="auto"/>
        <w:bottom w:val="none" w:sz="0" w:space="0" w:color="auto"/>
        <w:right w:val="none" w:sz="0" w:space="0" w:color="auto"/>
      </w:divBdr>
    </w:div>
    <w:div w:id="17259114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www.github.com/SchlossLab/Baxter\_glne007Modeling_2015"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33</Pages>
  <Words>5728</Words>
  <Characters>32653</Characters>
  <Application>Microsoft Macintosh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Microbiota-based model improves the sensitivity for detecting colonic lesions</vt:lpstr>
    </vt:vector>
  </TitlesOfParts>
  <Company>University of Michigan Medical School</Company>
  <LinksUpToDate>false</LinksUpToDate>
  <CharactersWithSpaces>38305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Niel Baxter</dc:creator>
  <cp:lastModifiedBy>Niel Baxter</cp:lastModifiedBy>
  <cp:revision>7</cp:revision>
  <dcterms:created xsi:type="dcterms:W3CDTF">2015-10-13T13:08:00Z</dcterms:created>
  <dcterms:modified xsi:type="dcterms:W3CDTF">2015-10-13T13:27:00Z</dcterms:modified>
</cp:coreProperties>
</file>