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6D79A" w14:textId="77777777" w:rsidR="002D1C67" w:rsidRDefault="003143A2" w:rsidP="00CD1017">
      <w:pPr>
        <w:pStyle w:val="Title"/>
        <w:spacing w:before="180" w:after="360"/>
      </w:pPr>
      <w:r>
        <w:t>Microbiota-based model improves the sensitivity for detecting colonic lesions</w:t>
      </w:r>
    </w:p>
    <w:p w14:paraId="3B39E605" w14:textId="77777777" w:rsidR="002D1C67" w:rsidRDefault="003143A2" w:rsidP="00CD1017">
      <w:pPr>
        <w:spacing w:after="360"/>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373A14B3" w14:textId="77777777" w:rsidR="002D1C67" w:rsidRDefault="003143A2" w:rsidP="00CD1017">
      <w:pPr>
        <w:spacing w:after="360"/>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Corresponding author</w:t>
      </w:r>
    </w:p>
    <w:p w14:paraId="4A38EA6C" w14:textId="77777777" w:rsidR="003143A2" w:rsidRDefault="003143A2" w:rsidP="00CD1017">
      <w:pPr>
        <w:spacing w:after="360"/>
        <w:jc w:val="left"/>
        <w:rPr>
          <w:rStyle w:val="Link"/>
        </w:rPr>
      </w:pPr>
      <w:r>
        <w:rPr>
          <w:b/>
        </w:rPr>
        <w:t>Email addresses:</w:t>
      </w:r>
      <w:r>
        <w:br/>
        <w:t xml:space="preserve">NTB: </w:t>
      </w:r>
      <w:hyperlink r:id="rId8">
        <w:r>
          <w:rPr>
            <w:rStyle w:val="Link"/>
          </w:rPr>
          <w:t>ntbaxter@umich.edu</w:t>
        </w:r>
      </w:hyperlink>
      <w:r>
        <w:br/>
        <w:t xml:space="preserve">MTR: </w:t>
      </w:r>
      <w:hyperlink r:id="rId9">
        <w:r>
          <w:rPr>
            <w:rStyle w:val="Link"/>
          </w:rPr>
          <w:t>mruffin@med.umich.edu</w:t>
        </w:r>
      </w:hyperlink>
      <w:r>
        <w:br/>
        <w:t xml:space="preserve">MAMR: </w:t>
      </w:r>
      <w:hyperlink r:id="rId10">
        <w:r>
          <w:rPr>
            <w:rStyle w:val="Link"/>
          </w:rPr>
          <w:t>maryroge@med.umich.edu</w:t>
        </w:r>
      </w:hyperlink>
      <w:r>
        <w:br/>
        <w:t xml:space="preserve">PDS: </w:t>
      </w:r>
      <w:hyperlink r:id="rId11">
        <w:r>
          <w:rPr>
            <w:rStyle w:val="Link"/>
          </w:rPr>
          <w:t>pschloss@umich.edu</w:t>
        </w:r>
      </w:hyperlink>
      <w:r>
        <w:rPr>
          <w:rStyle w:val="Link"/>
        </w:rPr>
        <w:br w:type="page"/>
      </w:r>
    </w:p>
    <w:p w14:paraId="04861172" w14:textId="77777777" w:rsidR="002D1C67" w:rsidRDefault="003143A2" w:rsidP="00CD1017">
      <w:pPr>
        <w:pStyle w:val="Heading3"/>
        <w:spacing w:before="180" w:after="360"/>
      </w:pPr>
      <w:bookmarkStart w:id="0" w:name="abstract"/>
      <w:bookmarkEnd w:id="0"/>
      <w:r>
        <w:lastRenderedPageBreak/>
        <w:t>Abstract</w:t>
      </w:r>
    </w:p>
    <w:p w14:paraId="2657FE95" w14:textId="77777777" w:rsidR="002D1C67" w:rsidRDefault="003143A2" w:rsidP="00CD1017">
      <w:pPr>
        <w:spacing w:after="360"/>
      </w:pPr>
      <w:r>
        <w:rPr>
          <w:b/>
        </w:rPr>
        <w:t>Background</w:t>
      </w:r>
      <w:r>
        <w:br/>
        <w:t>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14:paraId="18CE6E80" w14:textId="77777777" w:rsidR="002D1C67" w:rsidRDefault="003143A2" w:rsidP="00CD1017">
      <w:pPr>
        <w:spacing w:after="360"/>
      </w:pPr>
      <w:r>
        <w:rPr>
          <w:b/>
        </w:rPr>
        <w:t>Methods</w:t>
      </w:r>
      <w:r>
        <w:br/>
        <w:t>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14:paraId="4271EC35" w14:textId="77777777" w:rsidR="002D1C67" w:rsidRDefault="003143A2" w:rsidP="00CD1017">
      <w:pPr>
        <w:spacing w:after="360"/>
      </w:pPr>
      <w:r>
        <w:rPr>
          <w:b/>
        </w:rPr>
        <w:t>Results</w:t>
      </w:r>
      <w:r>
        <w:b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 with FIT.</w:t>
      </w:r>
    </w:p>
    <w:p w14:paraId="277F8093" w14:textId="77777777" w:rsidR="002D1C67" w:rsidRDefault="003143A2" w:rsidP="00CD1017">
      <w:pPr>
        <w:spacing w:after="360"/>
      </w:pPr>
      <w:r>
        <w:rPr>
          <w:b/>
        </w:rPr>
        <w:t>Conclusions</w:t>
      </w:r>
      <w:r>
        <w:br/>
        <w:t>These findings demonstrate the potential for microbiota analysis to complement existing screening methods to improve detection of colonic lesions.</w:t>
      </w:r>
    </w:p>
    <w:p w14:paraId="617460A4" w14:textId="77777777" w:rsidR="002D1C67" w:rsidRDefault="003143A2" w:rsidP="00CD1017">
      <w:pPr>
        <w:pStyle w:val="Heading3"/>
        <w:spacing w:before="180" w:after="360"/>
      </w:pPr>
      <w:bookmarkStart w:id="1" w:name="background"/>
      <w:bookmarkEnd w:id="1"/>
      <w:r>
        <w:t>Background</w:t>
      </w:r>
    </w:p>
    <w:p w14:paraId="48AC5A3B" w14:textId="77777777" w:rsidR="002D1C67" w:rsidRDefault="003143A2" w:rsidP="00CD1017">
      <w:pPr>
        <w:spacing w:after="360"/>
      </w:pPr>
      <w:r>
        <w:t>Colorectal cancer mortality has steadily declined in recent decades, due in large part to increased screening [1]. Yet current screening tests, the fecal immunochemical test (FIT) and the multitarget DNA test, have a sensitivity of 7.6% and 17.2%, respectively, for detecting non-advanced adenoma – just the type of early lesion that screening is meant to identify [2].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 [3]. Likewise the large disparity in screening rates between those with and without health insurance highlights the need for inexpensive screening methods [1, 4, 5]. Unfortunately cheaper, less invasive stool-based tests like guaic fecal occult blood test and FIT are unable to reliably detect adenomas [6]. The newly introduced stool DNA panel has improved accuracy compared to FIT, but is still limited in its ability to accurately detect adenomas [2]. Thus there is need for novel screening methods that are inexpensive and capable of detecting both cancer and adenomas.</w:t>
      </w:r>
    </w:p>
    <w:p w14:paraId="170E5D6E" w14:textId="77777777" w:rsidR="002D1C67" w:rsidRDefault="003143A2" w:rsidP="00CD1017">
      <w:pPr>
        <w:spacing w:after="360"/>
      </w:pPr>
      <w:r>
        <w:lastRenderedPageBreak/>
        <w:t>The gut microbiota, the collection of microorganisms that inhabit the gastrointestinal tract, are one potential source of biomarkers for detecting colonic lesions. Numerous studies have observed alterations in the gut bacterial communities of patients with CRC [7–12]. Experiments in animal models have demonstrated that such alterations have the potential to accelerate tumorigenesis [13]. Furthermore, several members of the gut microbiota have been shown to potentiate both the development and progression of CRC by a variety of mechanisms [14–16].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14:paraId="1D231031" w14:textId="77777777" w:rsidR="002D1C67" w:rsidRDefault="003143A2" w:rsidP="00CD1017">
      <w:pPr>
        <w:spacing w:after="360"/>
      </w:pPr>
      <w:r>
        <w:t>Two recent studies used statistical models that take into account the abundances of multiple bacterial species and the results of guaic fecal occult blood test (gFOBT) to distinguish healthy individuals from those with CRC [17, 18]. The analysis by Zackular et al. [17] used samples from a limited number of subjects (N=30 normal, 30 adenoma, and 30 carcinoma), while that of Zeller et al [18] 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14:paraId="6530E95C" w14:textId="77777777" w:rsidR="002D1C67" w:rsidRDefault="003143A2" w:rsidP="00CD1017">
      <w:pPr>
        <w:spacing w:after="360"/>
      </w:pPr>
      <w:r>
        <w:lastRenderedPageBreak/>
        <w:t>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 [19].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14:paraId="20756C27" w14:textId="77777777" w:rsidR="002D1C67" w:rsidRDefault="003143A2" w:rsidP="00CD1017">
      <w:pPr>
        <w:pStyle w:val="Heading3"/>
        <w:spacing w:before="180" w:after="360"/>
      </w:pPr>
      <w:bookmarkStart w:id="2" w:name="methods"/>
      <w:bookmarkEnd w:id="2"/>
      <w:r>
        <w:t>Methods</w:t>
      </w:r>
    </w:p>
    <w:p w14:paraId="53C2E610" w14:textId="77777777" w:rsidR="002D1C67" w:rsidRDefault="003143A2" w:rsidP="00CD1017">
      <w:pPr>
        <w:spacing w:after="360"/>
      </w:pPr>
      <w:r>
        <w:rPr>
          <w:b/>
        </w:rPr>
        <w:t>Study Design/Patient sampling.</w:t>
      </w:r>
      <w:r>
        <w:t xml:space="preserve"> 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preparation[20].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14:paraId="7700E21B" w14:textId="77777777" w:rsidR="002D1C67" w:rsidRDefault="003143A2" w:rsidP="00CD1017">
      <w:pPr>
        <w:spacing w:after="360"/>
      </w:pPr>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14:paraId="77EF0E08" w14:textId="77777777" w:rsidR="002D1C67" w:rsidRDefault="003143A2" w:rsidP="00CD1017">
      <w:pPr>
        <w:spacing w:after="360"/>
      </w:pPr>
      <w:r>
        <w:rPr>
          <w:b/>
        </w:rPr>
        <w:t>16S rRNA Gene Sequencing.</w:t>
      </w:r>
      <w:r>
        <w:t xml:space="preserve"> 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[21].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14:paraId="28FA3C39" w14:textId="77777777" w:rsidR="002D1C67" w:rsidRDefault="003143A2" w:rsidP="00CD1017">
      <w:pPr>
        <w:spacing w:after="360"/>
      </w:pPr>
      <w:r>
        <w:rPr>
          <w:b/>
        </w:rPr>
        <w:lastRenderedPageBreak/>
        <w:t>Sequence Curation.</w:t>
      </w:r>
      <w:r>
        <w:t xml:space="preserve"> The 16S rRNA gene sequences were curated using the mothur software package, as described previously [21].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[22].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14:paraId="22E51F2A" w14:textId="77777777" w:rsidR="002D1C67" w:rsidRDefault="003143A2" w:rsidP="00CD1017">
      <w:pPr>
        <w:spacing w:after="360"/>
      </w:pPr>
      <w:r>
        <w:rPr>
          <w:b/>
        </w:rPr>
        <w:t>Statistical Methods.</w:t>
      </w:r>
      <w:r>
        <w:t xml:space="preserve"> All statistical analyses were performed using R (v.3.2.0). Random Forest models were generated using the AUCRF package [23]. The AUC of ROC curves were compared using the method described by DeLong et al. [24]. The optimal cutoff for the MMT was determined using Youden's </w:t>
      </w:r>
      <w:r>
        <w:rPr>
          <w:i/>
        </w:rPr>
        <w:t>J</w:t>
      </w:r>
      <w:r>
        <w:t xml:space="preserve"> statistic as implemented in the pROC package in R [25]. The sensitivities of FIT and the MMT were compared using McNemar's Chi-squared test. To control for diagnosis while testing the effects of sex on the microbiome we used PERMANOVA as implemented in the adonis function in the vegan R package [26].</w:t>
      </w:r>
    </w:p>
    <w:p w14:paraId="4AE95A89" w14:textId="77777777" w:rsidR="002D1C67" w:rsidRDefault="003143A2" w:rsidP="00CD1017">
      <w:pPr>
        <w:pStyle w:val="Heading3"/>
        <w:spacing w:before="180" w:after="360"/>
      </w:pPr>
      <w:bookmarkStart w:id="3" w:name="results"/>
      <w:bookmarkEnd w:id="3"/>
      <w:r>
        <w:lastRenderedPageBreak/>
        <w:t>Results</w:t>
      </w:r>
    </w:p>
    <w:p w14:paraId="75431029" w14:textId="77777777" w:rsidR="002D1C67" w:rsidRDefault="003143A2" w:rsidP="00CD1017">
      <w:pPr>
        <w:spacing w:after="360"/>
      </w:pPr>
      <w:r>
        <w:rPr>
          <w:b/>
          <w:i/>
        </w:rPr>
        <w:t>Complementary detection of lesions by FIT and the microbiota.</w:t>
      </w:r>
      <w:r>
        <w:t xml:space="preserve"> 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 [23]. The optimal model utilized 22 bacterial populations (Fig. S1A). The vast majority of OTUs in the model (17 out of 22) belonged to the order Clostridales, 4 were associated with the genus </w:t>
      </w:r>
      <w:r>
        <w:rPr>
          <w:i/>
        </w:rPr>
        <w:t>Bacteroides</w:t>
      </w:r>
      <w:r>
        <w:t>, and one OTU was unclassified at the phylum level (Fig. S1B).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14:paraId="28CFDF4B" w14:textId="77777777" w:rsidR="002D1C67" w:rsidRDefault="003143A2" w:rsidP="00CD1017">
      <w:pPr>
        <w:spacing w:after="360"/>
      </w:pPr>
      <w:r>
        <w:t xml:space="preserve">Next we generated a random forest model for differentiating normal individuals from those with cancer using the relative abundance of 34 bacterial populations (Fig. S2A). Consistent </w:t>
      </w:r>
      <w:r>
        <w:lastRenderedPageBreak/>
        <w:t xml:space="preserve">with previous observations, the bacteria most strongly associated with CRC belonged to taxa commonly associated with periodontal disease [18, 27, 28].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S2C). The ROC curve for the model had an AUC of 0.847, which was similar to AUCs reported for other microbiota-based models for CRC [17, 18]. The AUC of this model was significantly better than a random assignment (p&lt;0.001), but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14:paraId="49B61763" w14:textId="77777777" w:rsidR="002D1C67" w:rsidRDefault="003143A2" w:rsidP="00CD1017">
      <w:pPr>
        <w:spacing w:after="360"/>
      </w:pPr>
      <w:r>
        <w:rPr>
          <w:b/>
          <w:i/>
        </w:rPr>
        <w:t>Multitarget Microbiota Test for colonic lesions.</w:t>
      </w:r>
      <w:r>
        <w:t xml:space="preserve"> 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S3). Three OTUs </w:t>
      </w:r>
      <w:r>
        <w:lastRenderedPageBreak/>
        <w:t xml:space="preserve">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which has been previously shown to be predictive of CRC [17, 18, 29]. Interestingly the majority of OTU used in the model, especially the Lachnospiraceae, were enriched in normal patients (Fig. S3), suggesting that a loss of beneficial organisms in addition to the emergence of pathogens may be indicative of CRC development.</w:t>
      </w:r>
    </w:p>
    <w:p w14:paraId="69AC1451" w14:textId="77777777" w:rsidR="002D1C67" w:rsidRDefault="003143A2" w:rsidP="00CD1017">
      <w:pPr>
        <w:spacing w:after="360"/>
      </w:pPr>
      <w:r>
        <w:rPr>
          <w:b/>
          <w:i/>
        </w:rPr>
        <w:t>Comparing MMT to FIT.</w:t>
      </w:r>
      <w:r>
        <w:t xml:space="preserve"> 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 [25].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w:t>
      </w:r>
      <w:r>
        <w:lastRenderedPageBreak/>
        <w:t>increased sensitivity of the MMT was accompanied by a decrease in specificity (83.7%) compared to FIT (97.1%).</w:t>
      </w:r>
    </w:p>
    <w:p w14:paraId="09946216" w14:textId="77777777" w:rsidR="002D1C67" w:rsidRDefault="003143A2" w:rsidP="00CD1017">
      <w:pPr>
        <w:spacing w:after="360"/>
      </w:pPr>
      <w:r>
        <w:t>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14:paraId="1C83A6BC" w14:textId="77777777" w:rsidR="002D1C67" w:rsidRDefault="003143A2" w:rsidP="00CD1017">
      <w:pPr>
        <w:spacing w:after="360"/>
      </w:pPr>
      <w:r>
        <w:t>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 [30].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14:paraId="01A02B61" w14:textId="77777777" w:rsidR="002D1C67" w:rsidRDefault="003143A2" w:rsidP="00CD1017">
      <w:pPr>
        <w:spacing w:after="360"/>
      </w:pPr>
      <w:r>
        <w:rPr>
          <w:b/>
          <w:i/>
        </w:rPr>
        <w:lastRenderedPageBreak/>
        <w:t>Effect of patient characteristics on model performance.</w:t>
      </w:r>
      <w:r>
        <w:t xml:space="preserve"> Previous studies have identified differences in diagnostic test performance for certain demographic groups or for people taking certain medications [31–33].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14:paraId="78ACDABD" w14:textId="77777777" w:rsidR="002D1C67" w:rsidRDefault="003143A2" w:rsidP="00CD1017">
      <w:pPr>
        <w:spacing w:after="360"/>
      </w:pPr>
      <w:r>
        <w:t xml:space="preserve">We have previously shown that incorporating patient metadata into microbiome-based diagnostic models can improve screening accuracy [17].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w:t>
      </w:r>
      <w:r>
        <w:lastRenderedPageBreak/>
        <w:t>specificity as the MMT (83.7%), it had significantly higher sensitivity for lesions (78.3%) than the MMT (71.4%, p=0.03). This result supports our previous observations that patient metadata could be used to further improve screening accuracy.</w:t>
      </w:r>
    </w:p>
    <w:p w14:paraId="1A506ED6" w14:textId="77777777" w:rsidR="002D1C67" w:rsidRDefault="003143A2" w:rsidP="00CD1017">
      <w:pPr>
        <w:pStyle w:val="Heading3"/>
        <w:spacing w:before="180" w:after="360"/>
      </w:pPr>
      <w:bookmarkStart w:id="4" w:name="discussion"/>
      <w:bookmarkEnd w:id="4"/>
      <w:r>
        <w:t>Discussion</w:t>
      </w:r>
    </w:p>
    <w:p w14:paraId="1AB8D598" w14:textId="77777777" w:rsidR="002D1C67" w:rsidRDefault="003143A2" w:rsidP="00CD1017">
      <w:pPr>
        <w:spacing w:after="360"/>
      </w:pPr>
      <w:r>
        <w:t>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14:paraId="3FE6F77E" w14:textId="77777777" w:rsidR="002D1C67" w:rsidRDefault="003143A2" w:rsidP="00CD1017">
      <w:pPr>
        <w:spacing w:after="360"/>
      </w:pPr>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w:t>
      </w:r>
      <w:r>
        <w:lastRenderedPageBreak/>
        <w:t>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14:paraId="1AB17D5C" w14:textId="77777777" w:rsidR="002D1C67" w:rsidRDefault="003143A2" w:rsidP="00CD1017">
      <w:pPr>
        <w:spacing w:after="360"/>
      </w:pPr>
      <w:r>
        <w:t xml:space="preserve">It was recently shown that when FIT was combined with host-associated DNA biomarkers, the ability to detect adenomas and carcinomas was significantly improved over FIT alone [2].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 [15, 16, 18].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[34]. Such models are likely to be useful as microbiota sequencing gains traction as a tool for characterizing health.</w:t>
      </w:r>
    </w:p>
    <w:p w14:paraId="2622EB12" w14:textId="77777777" w:rsidR="002D1C67" w:rsidRDefault="003143A2" w:rsidP="00CD1017">
      <w:pPr>
        <w:spacing w:after="360"/>
      </w:pPr>
      <w:r>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lastRenderedPageBreak/>
        <w:t>Parvimonas micra</w:t>
      </w:r>
      <w:r>
        <w:t xml:space="preserve"> (OTU281),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 [35–38]. Likewise Zeller et al. observed a depletion of a potential butyrate-producing </w:t>
      </w:r>
      <w:r>
        <w:rPr>
          <w:i/>
        </w:rPr>
        <w:t>Eubacterium spp.</w:t>
      </w:r>
      <w:r>
        <w:t xml:space="preserve"> in patients with CRC [18].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14:paraId="24A0D14E" w14:textId="77777777" w:rsidR="002D1C67" w:rsidRDefault="003143A2" w:rsidP="00CD1017">
      <w:pPr>
        <w:spacing w:after="360"/>
      </w:pPr>
      <w:r>
        <w:t xml:space="preserve">Like other groups, we noticed that the microbiota of CRC patients contained higher levels of bacterial taxa traditionally thought of as oral pathogens, including </w:t>
      </w:r>
      <w:r>
        <w:rPr>
          <w:i/>
        </w:rPr>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xml:space="preserve">. Periodontal pathogens have been shown to promote the progression of oral cancer [39]. Therefore it is possible that these taxa could influence the progression of CRC by a similar mechanism. These observation may warrant further investigation into a potential link between </w:t>
      </w:r>
      <w:r>
        <w:lastRenderedPageBreak/>
        <w:t>periodontal diseases and CRC. Furthermore, since the structure of an individual's oral microbiome is correlated with that of the gut [40], alterations in the oral community could potentially be a proxy for ongoing or future changes to the gut community.</w:t>
      </w:r>
    </w:p>
    <w:p w14:paraId="488A66EA" w14:textId="77777777" w:rsidR="002D1C67" w:rsidRDefault="003143A2" w:rsidP="00CD1017">
      <w:pPr>
        <w:spacing w:after="360"/>
      </w:pPr>
      <w:r>
        <w:t>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14:paraId="009B0716" w14:textId="77777777" w:rsidR="002D1C67" w:rsidRDefault="003143A2" w:rsidP="00CD1017">
      <w:pPr>
        <w:pStyle w:val="Heading3"/>
        <w:spacing w:before="180" w:after="360"/>
      </w:pPr>
      <w:bookmarkStart w:id="5" w:name="conclusions"/>
      <w:bookmarkEnd w:id="5"/>
      <w:r>
        <w:t>Conclusions</w:t>
      </w:r>
    </w:p>
    <w:p w14:paraId="0813A28A" w14:textId="55E11253" w:rsidR="00690BB1" w:rsidRDefault="003143A2" w:rsidP="00690BB1">
      <w:pPr>
        <w:spacing w:after="360"/>
      </w:pPr>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w:t>
      </w:r>
      <w:r>
        <w:lastRenderedPageBreak/>
        <w:t>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r w:rsidR="00690BB1">
        <w:br w:type="page"/>
      </w:r>
    </w:p>
    <w:p w14:paraId="7863BB7A" w14:textId="77777777" w:rsidR="002D1C67" w:rsidRDefault="003143A2" w:rsidP="00CD1017">
      <w:pPr>
        <w:spacing w:after="360"/>
        <w:jc w:val="left"/>
      </w:pPr>
      <w:r>
        <w:rPr>
          <w:b/>
        </w:rPr>
        <w:lastRenderedPageBreak/>
        <w:t>Abbreviations:</w:t>
      </w:r>
      <w:r>
        <w:br/>
        <w:t>FIT: fecal immunochemical test</w:t>
      </w:r>
      <w:r>
        <w:br/>
        <w:t>gFOBT: guaic fecal occult blood test</w:t>
      </w:r>
      <w:r>
        <w:br/>
        <w:t>OTU: operational taxonomic unit</w:t>
      </w:r>
      <w:r>
        <w:br/>
        <w:t>AUC: area under the curve</w:t>
      </w:r>
      <w:r>
        <w:br/>
        <w:t>ROC curve: reciever operating characteristic curve</w:t>
      </w:r>
      <w:r>
        <w:br/>
        <w:t>MMT: multitarget microbiota test</w:t>
      </w:r>
    </w:p>
    <w:p w14:paraId="251C31D4" w14:textId="77777777" w:rsidR="00CD1017" w:rsidRDefault="003143A2" w:rsidP="00CD1017">
      <w:pPr>
        <w:spacing w:after="360"/>
      </w:pPr>
      <w:r>
        <w:rPr>
          <w:b/>
        </w:rPr>
        <w:t>Availability of data and materials:</w:t>
      </w:r>
      <w:r>
        <w:t xml:space="preserve"> </w:t>
      </w:r>
      <w:r w:rsidR="00CD1017" w:rsidRPr="00CD1017">
        <w:t xml:space="preserve">Raw fastq files and a MIMARKS file are available through the NCBI Sequence Read Archive [SRP062005]. The exact data processing steps for going from the raw sequence data to the final manuscript is available at </w:t>
      </w:r>
      <w:hyperlink r:id="rId12" w:history="1">
        <w:r w:rsidR="00CD1017" w:rsidRPr="001C4820">
          <w:rPr>
            <w:rStyle w:val="Hyperlink"/>
          </w:rPr>
          <w:t>http://www.github.com/SchlossLab/Baxter_glne007Modeling_2015</w:t>
        </w:r>
      </w:hyperlink>
      <w:r w:rsidR="00CD1017" w:rsidRPr="00CD1017">
        <w:t>.</w:t>
      </w:r>
    </w:p>
    <w:p w14:paraId="45B06B41" w14:textId="77777777" w:rsidR="002D1C67" w:rsidRDefault="003143A2" w:rsidP="00CD1017">
      <w:pPr>
        <w:spacing w:after="360"/>
      </w:pPr>
      <w:r>
        <w:rPr>
          <w:b/>
        </w:rPr>
        <w:t>Competing interests:</w:t>
      </w:r>
      <w:r>
        <w:t xml:space="preserve"> The authors declare no competing financial interests.</w:t>
      </w:r>
    </w:p>
    <w:p w14:paraId="1C0F8344" w14:textId="77777777" w:rsidR="002D1C67" w:rsidRDefault="003143A2" w:rsidP="00CD1017">
      <w:pPr>
        <w:spacing w:after="360"/>
      </w:pPr>
      <w:r>
        <w:rPr>
          <w:b/>
        </w:rPr>
        <w:t>Author Contributions:</w:t>
      </w:r>
      <w:r>
        <w:t xml:space="preserve"> All authors were involved in the conception and design of the study. NTB processed samples and analyzed the data. All authors interpreted the data. NTB and PDS wrote the manuscript. All authors reviewed and revised the manuscript.</w:t>
      </w:r>
    </w:p>
    <w:p w14:paraId="1A2B9BB3" w14:textId="77777777" w:rsidR="002D1C67" w:rsidRDefault="003143A2" w:rsidP="00CD1017">
      <w:pPr>
        <w:spacing w:after="360"/>
      </w:pPr>
      <w:r>
        <w:rPr>
          <w:b/>
        </w:rPr>
        <w:t>Funding:</w:t>
      </w:r>
      <w:r>
        <w:t xml:space="preserve"> This study was supported by funding from the National Institutes of Health to P. Schloss (R01GM099514, P30DK034933) and to the Early Detection Research Network (U01CA86400).</w:t>
      </w:r>
    </w:p>
    <w:p w14:paraId="1600ED42" w14:textId="77777777" w:rsidR="00CD1017" w:rsidRDefault="003143A2" w:rsidP="00CD1017">
      <w:pPr>
        <w:spacing w:after="360"/>
      </w:pPr>
      <w:r>
        <w:rPr>
          <w:b/>
        </w:rPr>
        <w:t>Acknowledgements:</w:t>
      </w:r>
      <w:r>
        <w:t xml:space="preserve"> The authors thank the Great Lakes-New England Early Detection Research Network for providing the fecal samples that were used in this study.</w:t>
      </w:r>
      <w:r w:rsidR="00CD1017">
        <w:br w:type="page"/>
      </w:r>
    </w:p>
    <w:p w14:paraId="3C9ABE8A" w14:textId="77777777" w:rsidR="00CD1017" w:rsidRDefault="00CD1017" w:rsidP="00690BB1">
      <w:pPr>
        <w:pStyle w:val="Heading3"/>
        <w:spacing w:before="180" w:after="240"/>
      </w:pPr>
      <w:r>
        <w:lastRenderedPageBreak/>
        <w:t>References</w:t>
      </w:r>
    </w:p>
    <w:p w14:paraId="178C8B81" w14:textId="77777777" w:rsidR="00CD1017" w:rsidRDefault="00CD1017" w:rsidP="00690BB1">
      <w:pPr>
        <w:pStyle w:val="Bibliography"/>
        <w:spacing w:after="240"/>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14:paraId="05D07F67" w14:textId="77777777" w:rsidR="00CD1017" w:rsidRDefault="00CD1017" w:rsidP="00690BB1">
      <w:pPr>
        <w:pStyle w:val="Bibliography"/>
        <w:spacing w:after="240"/>
      </w:pPr>
      <w:r>
        <w:t xml:space="preserve">2. Imperiale TF, Ransohoff DF, Itzkowitz SH, Levin TR, Lavin P, Lidgard GP, Ahlquist DA, Berger BM: </w:t>
      </w:r>
      <w:r>
        <w:rPr>
          <w:b/>
        </w:rPr>
        <w:t>Multitarget stool DNA testing for colorectal-cancer screening</w:t>
      </w:r>
      <w:r>
        <w:t xml:space="preserve">. </w:t>
      </w:r>
      <w:r>
        <w:rPr>
          <w:i/>
        </w:rPr>
        <w:t>New England Journal of Medicine</w:t>
      </w:r>
      <w:r>
        <w:t xml:space="preserve">. 2014, </w:t>
      </w:r>
      <w:r>
        <w:rPr>
          <w:b/>
        </w:rPr>
        <w:t>370</w:t>
      </w:r>
      <w:r>
        <w:t>:1287–1297.</w:t>
      </w:r>
    </w:p>
    <w:p w14:paraId="2AB433FD" w14:textId="77777777" w:rsidR="00CD1017" w:rsidRDefault="00CD1017" w:rsidP="00690BB1">
      <w:pPr>
        <w:pStyle w:val="Bibliography"/>
        <w:spacing w:after="240"/>
      </w:pPr>
      <w:r>
        <w:t xml:space="preserve">3. Jones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5E3B32C5" w14:textId="77777777" w:rsidR="00CD1017" w:rsidRDefault="00CD1017" w:rsidP="00690BB1">
      <w:pPr>
        <w:pStyle w:val="Bibliography"/>
        <w:spacing w:after="240"/>
      </w:pPr>
      <w:r>
        <w:t xml:space="preserve">4. Hsia J, Kemper 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2017A2CF" w14:textId="77777777" w:rsidR="00CD1017" w:rsidRDefault="00CD1017" w:rsidP="00690BB1">
      <w:pPr>
        <w:pStyle w:val="Bibliography"/>
        <w:spacing w:after="240"/>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45CDA09D" w14:textId="77777777" w:rsidR="00CD1017" w:rsidRDefault="00CD1017" w:rsidP="00690BB1">
      <w:pPr>
        <w:pStyle w:val="Bibliography"/>
        <w:spacing w:after="240"/>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7C977076" w14:textId="77777777" w:rsidR="00CD1017" w:rsidRDefault="00CD1017" w:rsidP="00690BB1">
      <w:pPr>
        <w:pStyle w:val="Bibliography"/>
        <w:spacing w:after="240"/>
      </w:pPr>
      <w:r>
        <w:lastRenderedPageBreak/>
        <w:t xml:space="preserve">7. Wang T, Cai G, Qiu Y, Fei N, Zhang M, Pang X, Jia W, Cai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14:paraId="58C25F5E" w14:textId="77777777" w:rsidR="00CD1017" w:rsidRDefault="00CD1017" w:rsidP="00690BB1">
      <w:pPr>
        <w:pStyle w:val="Bibliography"/>
        <w:spacing w:after="240"/>
      </w:pPr>
      <w:r>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33D186C5" w14:textId="77777777" w:rsidR="00CD1017" w:rsidRDefault="00CD1017" w:rsidP="00690BB1">
      <w:pPr>
        <w:pStyle w:val="Bibliography"/>
        <w:spacing w:after="240"/>
      </w:pPr>
      <w:r>
        <w:t xml:space="preserve">9. Chen W, Liu F, Ling Z, Tong X, Xiang C: </w:t>
      </w:r>
      <w:r>
        <w:rPr>
          <w:b/>
        </w:rPr>
        <w:t>Human intestinal lumen and mucosa-associated microbiota in patients with colorectal cancer</w:t>
      </w:r>
      <w:r>
        <w:t xml:space="preserve">. </w:t>
      </w:r>
      <w:r>
        <w:rPr>
          <w:i/>
        </w:rPr>
        <w:t>PloS one</w:t>
      </w:r>
      <w:r>
        <w:t xml:space="preserve">. 2012, </w:t>
      </w:r>
      <w:r>
        <w:rPr>
          <w:b/>
        </w:rPr>
        <w:t>7</w:t>
      </w:r>
      <w:r>
        <w:t>:e39743.</w:t>
      </w:r>
    </w:p>
    <w:p w14:paraId="082C0372" w14:textId="77777777" w:rsidR="00CD1017" w:rsidRDefault="00CD1017" w:rsidP="00690BB1">
      <w:pPr>
        <w:pStyle w:val="Bibliography"/>
        <w:spacing w:after="240"/>
      </w:pPr>
      <w:r>
        <w:t xml:space="preserve">10. Shen XJ, Rawls JF, Randall TA, Burcall L, Mpande C, Jenkins N, Jovov B, Abdo Z, Sandler RS, Keku TO: </w:t>
      </w:r>
      <w:r>
        <w:rPr>
          <w:b/>
        </w:rPr>
        <w:t>Molecular characterization of mucosal adherent bacteria and associations with colorectal adenomas</w:t>
      </w:r>
      <w:r>
        <w:t xml:space="preserve">. </w:t>
      </w:r>
      <w:r>
        <w:rPr>
          <w:i/>
        </w:rPr>
        <w:t>Gut microbes</w:t>
      </w:r>
      <w:r>
        <w:t xml:space="preserve">. 2010, </w:t>
      </w:r>
      <w:r>
        <w:rPr>
          <w:b/>
        </w:rPr>
        <w:t>1</w:t>
      </w:r>
      <w:r>
        <w:t>:138–147.</w:t>
      </w:r>
    </w:p>
    <w:p w14:paraId="1B8CD1A8" w14:textId="77777777" w:rsidR="00CD1017" w:rsidRDefault="00CD1017" w:rsidP="00690BB1">
      <w:pPr>
        <w:pStyle w:val="Bibliography"/>
        <w:spacing w:after="240"/>
      </w:pPr>
      <w:r>
        <w:t xml:space="preserve">11. Kostic AD, Gevers D, Pedamallu CS, Michaud M, Duke F, Earl AM, Ojesina AI, Jung J, Bass AJ, Tabernero J, others: </w:t>
      </w:r>
      <w:r>
        <w:rPr>
          <w:b/>
        </w:rPr>
        <w:t>Genomic analysis identifies association of Fusobacterium with colorectal carcinoma</w:t>
      </w:r>
      <w:r>
        <w:t xml:space="preserve">. </w:t>
      </w:r>
      <w:r>
        <w:rPr>
          <w:i/>
        </w:rPr>
        <w:t>Genome research</w:t>
      </w:r>
      <w:r>
        <w:t xml:space="preserve">. 2012, </w:t>
      </w:r>
      <w:r>
        <w:rPr>
          <w:b/>
        </w:rPr>
        <w:t>22</w:t>
      </w:r>
      <w:r>
        <w:t>:292–298.</w:t>
      </w:r>
    </w:p>
    <w:p w14:paraId="0453D813" w14:textId="77777777" w:rsidR="00CD1017" w:rsidRDefault="00CD1017" w:rsidP="00690BB1">
      <w:pPr>
        <w:pStyle w:val="Bibliography"/>
        <w:spacing w:after="240"/>
      </w:pPr>
      <w:r>
        <w:t xml:space="preserve">12. Feng Q, Liang S, Jia H, Stadlmayr A, Tang L, Lan Z, Zhang D, Xia H, Xu X, Jie Z, others: </w:t>
      </w:r>
      <w:r>
        <w:rPr>
          <w:b/>
        </w:rPr>
        <w:t>Gut microbiome development along the colorectal adenoma–carcinoma sequence</w:t>
      </w:r>
      <w:r>
        <w:t xml:space="preserve">. </w:t>
      </w:r>
      <w:r>
        <w:rPr>
          <w:i/>
        </w:rPr>
        <w:t>Nature communications</w:t>
      </w:r>
      <w:r>
        <w:t xml:space="preserve">. 2015, </w:t>
      </w:r>
      <w:r>
        <w:rPr>
          <w:b/>
        </w:rPr>
        <w:t>6</w:t>
      </w:r>
      <w:r>
        <w:t>.</w:t>
      </w:r>
    </w:p>
    <w:p w14:paraId="1F9513AA" w14:textId="77777777" w:rsidR="00CD1017" w:rsidRDefault="00CD1017" w:rsidP="00690BB1">
      <w:pPr>
        <w:pStyle w:val="Bibliography"/>
        <w:spacing w:after="240"/>
      </w:pPr>
      <w:r>
        <w:t xml:space="preserve">13. Zackular JP, Baxter NT, Iverson KD, Sadler WD, Petrosino JF, Chen GY, Schloss PD: </w:t>
      </w:r>
      <w:r>
        <w:rPr>
          <w:b/>
        </w:rPr>
        <w:t>The gut microbiome modulates colon tumorigenesis</w:t>
      </w:r>
      <w:r>
        <w:t xml:space="preserve">. </w:t>
      </w:r>
      <w:r>
        <w:rPr>
          <w:i/>
        </w:rPr>
        <w:t>MBio</w:t>
      </w:r>
      <w:r>
        <w:t xml:space="preserve">. 2013, </w:t>
      </w:r>
      <w:r>
        <w:rPr>
          <w:b/>
        </w:rPr>
        <w:t>4</w:t>
      </w:r>
      <w:r>
        <w:t>:e00692–13.</w:t>
      </w:r>
    </w:p>
    <w:p w14:paraId="35203487" w14:textId="77777777" w:rsidR="00CD1017" w:rsidRDefault="00CD1017" w:rsidP="00690BB1">
      <w:pPr>
        <w:pStyle w:val="Bibliography"/>
        <w:spacing w:after="240"/>
      </w:pPr>
      <w:r>
        <w:lastRenderedPageBreak/>
        <w:t xml:space="preserve">14. Kostic AD, Chun E, Robertson L, Glickman JN, Gallini CA, Michaud M, Clancy TE, Chung DC, Lochhead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14:paraId="2F8BFBBB" w14:textId="77777777" w:rsidR="00CD1017" w:rsidRDefault="00CD1017" w:rsidP="00690BB1">
      <w:pPr>
        <w:pStyle w:val="Bibliography"/>
        <w:spacing w:after="240"/>
      </w:pPr>
      <w:r>
        <w:t xml:space="preserve">15. Wu S, Rhee K-J, Albesiano E, Rabizadeh S, Wu X, Yen H-R, Huso DL, Brancati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284502DC" w14:textId="77777777" w:rsidR="00CD1017" w:rsidRDefault="00CD1017" w:rsidP="00690BB1">
      <w:pPr>
        <w:pStyle w:val="Bibliography"/>
        <w:spacing w:after="240"/>
      </w:pPr>
      <w:r>
        <w:t xml:space="preserve">16. Arthur JC, Perez-Chanona E, Mühlbauer M, Tomkovich S, Uronis JM, Fan T-J, Campbell BJ, Abujamel T, Dogan B, Rogers AB, others: </w:t>
      </w:r>
      <w:r>
        <w:rPr>
          <w:b/>
        </w:rPr>
        <w:t>Intestinal inflammation targets cancer-inducing activity of the microbiota</w:t>
      </w:r>
      <w:r>
        <w:t xml:space="preserve">. </w:t>
      </w:r>
      <w:r>
        <w:rPr>
          <w:i/>
        </w:rPr>
        <w:t>science</w:t>
      </w:r>
      <w:r>
        <w:t xml:space="preserve">. 2012, </w:t>
      </w:r>
      <w:r>
        <w:rPr>
          <w:b/>
        </w:rPr>
        <w:t>338</w:t>
      </w:r>
      <w:r>
        <w:t>:120–123.</w:t>
      </w:r>
    </w:p>
    <w:p w14:paraId="7A8B8829" w14:textId="77777777" w:rsidR="00CD1017" w:rsidRDefault="00CD1017" w:rsidP="00690BB1">
      <w:pPr>
        <w:pStyle w:val="Bibliography"/>
        <w:spacing w:after="240"/>
      </w:pPr>
      <w:r>
        <w:t xml:space="preserve">17.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:1112–1121.</w:t>
      </w:r>
    </w:p>
    <w:p w14:paraId="55F38FB8" w14:textId="77777777" w:rsidR="00CD1017" w:rsidRDefault="00CD1017" w:rsidP="00690BB1">
      <w:pPr>
        <w:pStyle w:val="Bibliography"/>
        <w:spacing w:after="240"/>
      </w:pPr>
      <w:r>
        <w:t xml:space="preserve">18. Zeller G, Tap J, Voigt AY, Sunagawa S, Kultima JR, Costea PI, Amiot A, Böhm J, Brunetti F, Habermann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7BDD6560" w14:textId="77777777" w:rsidR="00CD1017" w:rsidRDefault="00CD1017" w:rsidP="00690BB1">
      <w:pPr>
        <w:pStyle w:val="Bibliography"/>
        <w:spacing w:after="240"/>
      </w:pPr>
      <w:r>
        <w:t xml:space="preserve">19. Liaw A, Wiener M: </w:t>
      </w:r>
      <w:r>
        <w:rPr>
          <w:b/>
        </w:rPr>
        <w:t>Classification and regression by randomForest</w:t>
      </w:r>
      <w:r>
        <w:t xml:space="preserve">. </w:t>
      </w:r>
      <w:r>
        <w:rPr>
          <w:i/>
        </w:rPr>
        <w:t>R news</w:t>
      </w:r>
      <w:r>
        <w:t xml:space="preserve">. 2002, </w:t>
      </w:r>
      <w:r>
        <w:rPr>
          <w:b/>
        </w:rPr>
        <w:t>2</w:t>
      </w:r>
      <w:r>
        <w:t>:18–22.</w:t>
      </w:r>
    </w:p>
    <w:p w14:paraId="7787046A" w14:textId="77777777" w:rsidR="00CD1017" w:rsidRDefault="00CD1017" w:rsidP="00690BB1">
      <w:pPr>
        <w:pStyle w:val="Bibliography"/>
        <w:spacing w:after="240"/>
      </w:pPr>
      <w:r>
        <w:t xml:space="preserve">20. O’Brien CL, Allison GE, Grimpen F, Pavli P: </w:t>
      </w:r>
      <w:r>
        <w:rPr>
          <w:b/>
        </w:rPr>
        <w:t>Impact of Colonoscopy Bowel Preparation on Intestinal Microbiota</w:t>
      </w:r>
      <w:r>
        <w:t xml:space="preserve">. </w:t>
      </w:r>
      <w:r>
        <w:rPr>
          <w:i/>
        </w:rPr>
        <w:t>PLoS ONE</w:t>
      </w:r>
      <w:r>
        <w:t xml:space="preserve">. 2013, </w:t>
      </w:r>
      <w:r>
        <w:rPr>
          <w:b/>
        </w:rPr>
        <w:t>8</w:t>
      </w:r>
      <w:r>
        <w:t>:e62815.</w:t>
      </w:r>
    </w:p>
    <w:p w14:paraId="11C1501F" w14:textId="77777777" w:rsidR="00CD1017" w:rsidRDefault="00CD1017" w:rsidP="00690BB1">
      <w:pPr>
        <w:pStyle w:val="Bibliography"/>
        <w:spacing w:after="240"/>
      </w:pPr>
      <w:r>
        <w:lastRenderedPageBreak/>
        <w:t xml:space="preserve">21. Kozich JJ, Westcott 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14:paraId="402B613F" w14:textId="77777777" w:rsidR="00CD1017" w:rsidRDefault="00CD1017" w:rsidP="00690BB1">
      <w:pPr>
        <w:pStyle w:val="Bibliography"/>
        <w:spacing w:after="240"/>
      </w:pPr>
      <w:r>
        <w:t xml:space="preserve">22. Wang Q, Garrity GM, Tiedje JM, Cole JR: </w:t>
      </w:r>
      <w:r>
        <w:rPr>
          <w:b/>
        </w:rPr>
        <w:t>Naive bayesian classifier for rapid assignment of rRNA sequences into the new bacterial taxonomy</w:t>
      </w:r>
      <w:r>
        <w:t xml:space="preserve">. </w:t>
      </w:r>
      <w:r>
        <w:rPr>
          <w:i/>
        </w:rPr>
        <w:t>Applied and environmental microbiology</w:t>
      </w:r>
      <w:r>
        <w:t xml:space="preserve">. 2007, </w:t>
      </w:r>
      <w:r>
        <w:rPr>
          <w:b/>
        </w:rPr>
        <w:t>73</w:t>
      </w:r>
      <w:r>
        <w:t>:5261–5267.</w:t>
      </w:r>
    </w:p>
    <w:p w14:paraId="5B3E7943" w14:textId="77777777" w:rsidR="00CD1017" w:rsidRDefault="00CD1017" w:rsidP="00690BB1">
      <w:pPr>
        <w:pStyle w:val="Bibliography"/>
        <w:spacing w:after="240"/>
      </w:pPr>
      <w:r>
        <w:t xml:space="preserve">23. Calle ML, Urrea V, Boulesteix A-L, Malats N: </w:t>
      </w:r>
      <w:r>
        <w:rPr>
          <w:b/>
        </w:rPr>
        <w:t>AUC-RF: A new strategy for genomic profiling with random forest</w:t>
      </w:r>
      <w:r>
        <w:t xml:space="preserve">. </w:t>
      </w:r>
      <w:r>
        <w:rPr>
          <w:i/>
        </w:rPr>
        <w:t>Human heredity</w:t>
      </w:r>
      <w:r>
        <w:t xml:space="preserve">. 2011, </w:t>
      </w:r>
      <w:r>
        <w:rPr>
          <w:b/>
        </w:rPr>
        <w:t>72</w:t>
      </w:r>
      <w:r>
        <w:t>:121–132.</w:t>
      </w:r>
    </w:p>
    <w:p w14:paraId="06BEF535" w14:textId="77777777" w:rsidR="00CD1017" w:rsidRDefault="00CD1017" w:rsidP="00690BB1">
      <w:pPr>
        <w:pStyle w:val="Bibliography"/>
        <w:spacing w:after="240"/>
      </w:pPr>
      <w:r>
        <w:t xml:space="preserve">24.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66D19B03" w14:textId="77777777" w:rsidR="00CD1017" w:rsidRDefault="00CD1017" w:rsidP="00690BB1">
      <w:pPr>
        <w:pStyle w:val="Bibliography"/>
        <w:spacing w:after="240"/>
      </w:pPr>
      <w:r>
        <w:t xml:space="preserve">25. Youden WJ: </w:t>
      </w:r>
      <w:r>
        <w:rPr>
          <w:b/>
        </w:rPr>
        <w:t>Index for rating diagnostic tests</w:t>
      </w:r>
      <w:r>
        <w:t xml:space="preserve">. </w:t>
      </w:r>
      <w:r>
        <w:rPr>
          <w:i/>
        </w:rPr>
        <w:t>Cancer</w:t>
      </w:r>
      <w:r>
        <w:t xml:space="preserve">. 1950, </w:t>
      </w:r>
      <w:r>
        <w:rPr>
          <w:b/>
        </w:rPr>
        <w:t>3</w:t>
      </w:r>
      <w:r>
        <w:t>:32–35.</w:t>
      </w:r>
    </w:p>
    <w:p w14:paraId="1234BB1A" w14:textId="77777777" w:rsidR="00CD1017" w:rsidRDefault="00CD1017" w:rsidP="00690BB1">
      <w:pPr>
        <w:pStyle w:val="Bibliography"/>
        <w:spacing w:after="240"/>
      </w:pPr>
      <w:r>
        <w:t xml:space="preserve">26. Dixon P, Palmer M: </w:t>
      </w:r>
      <w:r>
        <w:rPr>
          <w:b/>
        </w:rPr>
        <w:t>VEGAN, a package of r functions for community ecology</w:t>
      </w:r>
      <w:r>
        <w:t xml:space="preserve">. </w:t>
      </w:r>
      <w:r>
        <w:rPr>
          <w:i/>
        </w:rPr>
        <w:t>Journal of Vegetation Science</w:t>
      </w:r>
      <w:r>
        <w:t xml:space="preserve">. 2003, </w:t>
      </w:r>
      <w:r>
        <w:rPr>
          <w:b/>
        </w:rPr>
        <w:t>14</w:t>
      </w:r>
      <w:r>
        <w:t>:927–930.</w:t>
      </w:r>
    </w:p>
    <w:p w14:paraId="0BFA9556" w14:textId="77777777" w:rsidR="00CD1017" w:rsidRDefault="00CD1017" w:rsidP="00690BB1">
      <w:pPr>
        <w:pStyle w:val="Bibliography"/>
        <w:spacing w:after="240"/>
      </w:pPr>
      <w:r>
        <w:t xml:space="preserve">27.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14:paraId="273FC342" w14:textId="77777777" w:rsidR="00CD1017" w:rsidRDefault="00CD1017" w:rsidP="00690BB1">
      <w:pPr>
        <w:pStyle w:val="Bibliography"/>
        <w:spacing w:after="240"/>
      </w:pPr>
      <w:r>
        <w:lastRenderedPageBreak/>
        <w:t xml:space="preserve">28. Yu J, Feng Q, Wong SH, Zhang D, Liang Q yi, Qin Y, Tang L, Zhao H, Stenvang J, Li Y, others: </w:t>
      </w:r>
      <w:r>
        <w:rPr>
          <w:b/>
        </w:rPr>
        <w:t>Metagenomic analysis of faecal microbiome as a tool towards targeted non-invasive biomarkers for colorectal cancer</w:t>
      </w:r>
      <w:r>
        <w:t xml:space="preserve">. </w:t>
      </w:r>
      <w:r>
        <w:rPr>
          <w:i/>
        </w:rPr>
        <w:t>Gut</w:t>
      </w:r>
      <w:r>
        <w:t>. 2015:gutjnl–2015.</w:t>
      </w:r>
    </w:p>
    <w:p w14:paraId="54328B99" w14:textId="77777777" w:rsidR="00CD1017" w:rsidRDefault="00CD1017" w:rsidP="00690BB1">
      <w:pPr>
        <w:pStyle w:val="Bibliography"/>
        <w:spacing w:after="240"/>
      </w:pPr>
      <w:r>
        <w:t xml:space="preserve">29. Rex DK, Johnson DA, Anderson JC, Schoenfeld PS, Burke CA, Inadomi JM: </w:t>
      </w:r>
      <w:r>
        <w:rPr>
          <w:b/>
        </w:rPr>
        <w:t>American College of Gastroenterology guidelines for colorectal cancer screening 2008</w:t>
      </w:r>
      <w:r>
        <w:t xml:space="preserve">. </w:t>
      </w:r>
      <w:r>
        <w:rPr>
          <w:i/>
        </w:rPr>
        <w:t>The American journal of gastroenterology</w:t>
      </w:r>
      <w:r>
        <w:t xml:space="preserve">. 2009, </w:t>
      </w:r>
      <w:r>
        <w:rPr>
          <w:b/>
        </w:rPr>
        <w:t>104</w:t>
      </w:r>
      <w:r>
        <w:t>:739–750.</w:t>
      </w:r>
    </w:p>
    <w:p w14:paraId="32225782" w14:textId="77777777" w:rsidR="00CD1017" w:rsidRDefault="00CD1017" w:rsidP="00690BB1">
      <w:pPr>
        <w:pStyle w:val="Bibliography"/>
        <w:spacing w:after="240"/>
      </w:pPr>
      <w:r>
        <w:t xml:space="preserve">30. Heitman SJ, Ronksley PE, Hilsden RJ, Manns BJ, Rostom A, Hemmelgarn BR: </w:t>
      </w:r>
      <w:r>
        <w:rPr>
          <w:b/>
        </w:rPr>
        <w:t>Prevalence of adenomas and colorectal cancer in average risk individuals: a systematic review and meta-analysis</w:t>
      </w:r>
      <w:r>
        <w:t xml:space="preserve">. </w:t>
      </w:r>
      <w:r>
        <w:rPr>
          <w:i/>
        </w:rPr>
        <w:t>Clinical Gastroenterology and Hepatology</w:t>
      </w:r>
      <w:r>
        <w:t xml:space="preserve">. 2009, </w:t>
      </w:r>
      <w:r>
        <w:rPr>
          <w:b/>
        </w:rPr>
        <w:t>7</w:t>
      </w:r>
      <w:r>
        <w:t>:1272–1278.</w:t>
      </w:r>
    </w:p>
    <w:p w14:paraId="6A83D16B" w14:textId="77777777" w:rsidR="00CD1017" w:rsidRDefault="00CD1017" w:rsidP="00690BB1">
      <w:pPr>
        <w:pStyle w:val="Bibliography"/>
        <w:spacing w:after="240"/>
      </w:pPr>
      <w:r>
        <w:t xml:space="preserve">31. Symonds EL, Osborne JM, Cole SR, Bampton PA, Fraser RJ, Young GP: </w:t>
      </w:r>
      <w:r>
        <w:rPr>
          <w:b/>
        </w:rPr>
        <w:t>Factors affecting faecal immunochemical test positive rates: demographic, pathological, behavioural and environmental variables</w:t>
      </w:r>
      <w:r>
        <w:t xml:space="preserve">. </w:t>
      </w:r>
      <w:r>
        <w:rPr>
          <w:i/>
        </w:rPr>
        <w:t>Journal of Medical Screening</w:t>
      </w:r>
      <w:r>
        <w:t>. 2015:0969141315584783.</w:t>
      </w:r>
    </w:p>
    <w:p w14:paraId="5E05E2BE" w14:textId="77777777" w:rsidR="00CD1017" w:rsidRDefault="00CD1017" w:rsidP="00690BB1">
      <w:pPr>
        <w:pStyle w:val="Bibliography"/>
        <w:spacing w:after="240"/>
      </w:pPr>
      <w:r>
        <w:t xml:space="preserve">32. Kapidzic A, Meulen MP van der, Hol L, Roon AH van, Looman CW, Lansdorp-Vogelaar I, Ballegooijen M van, Vuuren AJ van, Reijerink JC, Leerdam ME van, others: </w:t>
      </w:r>
      <w:r>
        <w:rPr>
          <w:b/>
        </w:rPr>
        <w:t>Gender differences in fecal immunochemical test performance for early detection of colorectal neoplasia</w:t>
      </w:r>
      <w:r>
        <w:t xml:space="preserve">. </w:t>
      </w:r>
      <w:r>
        <w:rPr>
          <w:i/>
        </w:rPr>
        <w:t>Clinical Gastroenterology and Hepatology</w:t>
      </w:r>
      <w:r>
        <w:t>. 2015.</w:t>
      </w:r>
    </w:p>
    <w:p w14:paraId="22D869F1" w14:textId="77777777" w:rsidR="00CD1017" w:rsidRDefault="00CD1017" w:rsidP="00690BB1">
      <w:pPr>
        <w:pStyle w:val="Bibliography"/>
        <w:spacing w:after="240"/>
      </w:pPr>
      <w:r>
        <w:t xml:space="preserve">33. Levi Z, Rozen P, Hazazi R, Vilkin A, Waked A, Maoz E, Birkenfeld S, Lieberman N, Klang S, Niv Y: </w:t>
      </w:r>
      <w:r>
        <w:rPr>
          <w:b/>
        </w:rPr>
        <w:t>Sensitivity, but not specificity, of a quantitative immunochemical fecal occult blood test for neoplasia is slightly increased by the use of low-dose aspirin, NSAIDs, and anticoagulants</w:t>
      </w:r>
      <w:r>
        <w:t xml:space="preserve">. </w:t>
      </w:r>
      <w:r>
        <w:rPr>
          <w:i/>
        </w:rPr>
        <w:t>The American journal of gastroenterology</w:t>
      </w:r>
      <w:r>
        <w:t xml:space="preserve">. 2009, </w:t>
      </w:r>
      <w:r>
        <w:rPr>
          <w:b/>
        </w:rPr>
        <w:t>104</w:t>
      </w:r>
      <w:r>
        <w:t>:933–938.</w:t>
      </w:r>
    </w:p>
    <w:p w14:paraId="63651100" w14:textId="77777777" w:rsidR="00CD1017" w:rsidRDefault="00CD1017" w:rsidP="00690BB1">
      <w:pPr>
        <w:pStyle w:val="Bibliography"/>
        <w:spacing w:after="240"/>
      </w:pPr>
      <w:r>
        <w:lastRenderedPageBreak/>
        <w:t xml:space="preserve">34. Schubert AM, Sinani H, Schloss PD: </w:t>
      </w:r>
      <w:r>
        <w:rPr>
          <w:b/>
        </w:rPr>
        <w:t>Antibiotic-Induced Alterations of the Murine Gut Microbiota and Subsequent Effects on Colonization Resistance against Clostridium difficile</w:t>
      </w:r>
      <w:r>
        <w:t xml:space="preserve">. </w:t>
      </w:r>
      <w:r>
        <w:rPr>
          <w:i/>
        </w:rPr>
        <w:t>MBio</w:t>
      </w:r>
      <w:r>
        <w:t xml:space="preserve">. 2015, </w:t>
      </w:r>
      <w:r>
        <w:rPr>
          <w:b/>
        </w:rPr>
        <w:t>6</w:t>
      </w:r>
      <w:r>
        <w:t>.</w:t>
      </w:r>
    </w:p>
    <w:p w14:paraId="374A0DA9" w14:textId="77777777" w:rsidR="00CD1017" w:rsidRDefault="00CD1017" w:rsidP="00690BB1">
      <w:pPr>
        <w:pStyle w:val="Bibliography"/>
        <w:spacing w:after="240"/>
      </w:pPr>
      <w:r>
        <w:t xml:space="preserve">35. Pryde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14:paraId="2EFACC03" w14:textId="77777777" w:rsidR="00CD1017" w:rsidRDefault="00CD1017" w:rsidP="00690BB1">
      <w:pPr>
        <w:pStyle w:val="Bibliography"/>
        <w:spacing w:after="240"/>
      </w:pPr>
      <w:r>
        <w:t xml:space="preserve">36. Segain J, De La Blétiere DR, Bourreille A, Leray V, Gervois N, Rosales C, Ferrier L, Bonnet C, Blottiere H, Galmiche J: </w:t>
      </w:r>
      <w:r>
        <w:rPr>
          <w:b/>
        </w:rPr>
        <w:t>Butyrate inhibits inflammatory responses through nF</w:t>
      </w:r>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:397–403.</w:t>
      </w:r>
    </w:p>
    <w:p w14:paraId="66714ABB" w14:textId="77777777" w:rsidR="00CD1017" w:rsidRDefault="00CD1017" w:rsidP="00690BB1">
      <w:pPr>
        <w:pStyle w:val="Bibliography"/>
        <w:spacing w:after="240"/>
      </w:pPr>
      <w:r>
        <w:t xml:space="preserve">37. D’Argenio G, Cosenza V, Delle Cave M, Iovino P, Delle Valle N, Lombardi G, Mazzacca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14:paraId="234CD841" w14:textId="77777777" w:rsidR="00CD1017" w:rsidRDefault="00CD1017" w:rsidP="00690BB1">
      <w:pPr>
        <w:pStyle w:val="Bibliography"/>
        <w:spacing w:after="240"/>
      </w:pPr>
      <w:r>
        <w:t xml:space="preserve">38. Hague A, Elder DJ, Hicks DJ, Paraskeva C: </w:t>
      </w:r>
      <w:r>
        <w:rPr>
          <w:b/>
        </w:rPr>
        <w:t>Apoptosis in colorectal tumour cells: Induction by the short chain fatty acids butyrate, propionate and acetate and by the bile salt deoxycholate</w:t>
      </w:r>
      <w:r>
        <w:t xml:space="preserve">. </w:t>
      </w:r>
      <w:r>
        <w:rPr>
          <w:i/>
        </w:rPr>
        <w:t>International Journal of Cancer</w:t>
      </w:r>
      <w:r>
        <w:t xml:space="preserve">. 1995, </w:t>
      </w:r>
      <w:r>
        <w:rPr>
          <w:b/>
        </w:rPr>
        <w:t>60</w:t>
      </w:r>
      <w:r>
        <w:t>:400–406.</w:t>
      </w:r>
    </w:p>
    <w:p w14:paraId="5610F3CE" w14:textId="77777777" w:rsidR="00CD1017" w:rsidRDefault="00CD1017" w:rsidP="00690BB1">
      <w:pPr>
        <w:pStyle w:val="Bibliography"/>
        <w:spacing w:after="240"/>
      </w:pPr>
      <w:r>
        <w:t xml:space="preserve">39. Gallimidi AB, Fischman S, Revach B, Bulvik R, Maliutina A, Rubinstein AM, Nussbaum G, Elkin M: </w:t>
      </w:r>
      <w:r>
        <w:rPr>
          <w:b/>
        </w:rPr>
        <w:t>Periodontal pathogens porphyromonas gingivalis and fusobacterium nucleatum promote tumor progression in an oral-specific chemical carcinogenesis model.</w:t>
      </w:r>
      <w:r>
        <w:t xml:space="preserve"> </w:t>
      </w:r>
      <w:r>
        <w:rPr>
          <w:i/>
        </w:rPr>
        <w:t>Oncotarget</w:t>
      </w:r>
      <w:r>
        <w:t>. 2015.</w:t>
      </w:r>
    </w:p>
    <w:p w14:paraId="6365F688" w14:textId="77777777" w:rsidR="00CD1017" w:rsidRDefault="00CD1017" w:rsidP="00690BB1">
      <w:pPr>
        <w:pStyle w:val="Bibliography"/>
        <w:spacing w:after="240"/>
      </w:pPr>
      <w:r>
        <w:t xml:space="preserve">40. Ding T, Schloss PD: </w:t>
      </w:r>
      <w:r>
        <w:rPr>
          <w:b/>
        </w:rPr>
        <w:t>Dynamics and associations of microbial community types across the human body</w:t>
      </w:r>
      <w:r>
        <w:t xml:space="preserve">. </w:t>
      </w:r>
      <w:r>
        <w:rPr>
          <w:i/>
        </w:rPr>
        <w:t>Nature</w:t>
      </w:r>
      <w:r>
        <w:t xml:space="preserve">. 2014, </w:t>
      </w:r>
      <w:r>
        <w:rPr>
          <w:b/>
        </w:rPr>
        <w:t>509</w:t>
      </w:r>
      <w:r>
        <w:t>:357–360.</w:t>
      </w:r>
      <w:r>
        <w:br w:type="page"/>
      </w:r>
    </w:p>
    <w:p w14:paraId="59AFB14C" w14:textId="77777777" w:rsidR="002D1C67" w:rsidRDefault="003143A2" w:rsidP="00690BB1">
      <w:pPr>
        <w:pStyle w:val="Heading3"/>
        <w:spacing w:before="180" w:after="240"/>
      </w:pPr>
      <w:bookmarkStart w:id="6" w:name="figures"/>
      <w:bookmarkEnd w:id="6"/>
      <w:r>
        <w:lastRenderedPageBreak/>
        <w:t>Figures</w:t>
      </w:r>
    </w:p>
    <w:p w14:paraId="44318E0C" w14:textId="77777777" w:rsidR="002D1C67" w:rsidRDefault="003143A2" w:rsidP="00690BB1">
      <w:pPr>
        <w:spacing w:after="240"/>
      </w:pPr>
      <w:r>
        <w:rPr>
          <w:b/>
        </w:rPr>
        <w:t>Figure 1. Microbiota-based models can complement FIT.</w:t>
      </w:r>
      <w:r>
        <w:t xml:space="preserve"> (A,C)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14:paraId="3C23293E" w14:textId="77777777" w:rsidR="002D1C67" w:rsidRDefault="003143A2" w:rsidP="00690BB1">
      <w:pPr>
        <w:spacing w:after="240"/>
      </w:pPr>
      <w:r>
        <w:rPr>
          <w:b/>
        </w:rPr>
        <w:t>Figure 2. Comparing MMT to FIT.</w:t>
      </w:r>
      <w:r>
        <w:t xml:space="preserve"> (A)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14:paraId="2BF202EC" w14:textId="77777777" w:rsidR="002D1C67" w:rsidRDefault="003143A2" w:rsidP="00690BB1">
      <w:pPr>
        <w:spacing w:after="240"/>
      </w:pPr>
      <w:r>
        <w:rPr>
          <w:b/>
        </w:rPr>
        <w:t>Figure 3. Sensitivities for FIT and MMT for each stage of tumor development.</w:t>
      </w:r>
      <w:r>
        <w:t xml:space="preserve"> P-values based on McNemar's chi-squared test.</w:t>
      </w:r>
    </w:p>
    <w:p w14:paraId="7E66D193" w14:textId="77777777" w:rsidR="002D1C67" w:rsidRDefault="003143A2" w:rsidP="00690BB1">
      <w:pPr>
        <w:spacing w:after="240"/>
      </w:pPr>
      <w:r>
        <w:rPr>
          <w:b/>
        </w:rPr>
        <w:t>Figure 4. Relationship between FIT and MMT for each sample.</w:t>
      </w:r>
      <w:r>
        <w:t xml:space="preserve"> (A) Scatterplot of MMT and FIT results for each sample. Dashed lines show the cutoff for each test. Points with a FIT result of 0 are jittered to improve visibility. (B) Stripchart of MMT results for samples separated by binary FIT result.</w:t>
      </w:r>
    </w:p>
    <w:p w14:paraId="4982FD4C" w14:textId="77777777" w:rsidR="002D1C67" w:rsidRDefault="003143A2" w:rsidP="00690BB1">
      <w:pPr>
        <w:pStyle w:val="Heading3"/>
        <w:spacing w:before="180" w:after="240"/>
      </w:pPr>
      <w:bookmarkStart w:id="7" w:name="tables"/>
      <w:bookmarkEnd w:id="7"/>
      <w:r>
        <w:lastRenderedPageBreak/>
        <w:t>Tables</w:t>
      </w:r>
    </w:p>
    <w:tbl>
      <w:tblPr>
        <w:tblW w:w="9195" w:type="dxa"/>
        <w:tblInd w:w="93" w:type="dxa"/>
        <w:tblLayout w:type="fixed"/>
        <w:tblLook w:val="04A0" w:firstRow="1" w:lastRow="0" w:firstColumn="1" w:lastColumn="0" w:noHBand="0" w:noVBand="1"/>
      </w:tblPr>
      <w:tblGrid>
        <w:gridCol w:w="1365"/>
        <w:gridCol w:w="900"/>
        <w:gridCol w:w="1260"/>
        <w:gridCol w:w="2160"/>
        <w:gridCol w:w="1260"/>
        <w:gridCol w:w="2250"/>
      </w:tblGrid>
      <w:tr w:rsidR="00690BB1" w:rsidRPr="00690BB1" w14:paraId="6E93F066" w14:textId="77777777" w:rsidTr="00690BB1">
        <w:trPr>
          <w:trHeight w:val="300"/>
        </w:trPr>
        <w:tc>
          <w:tcPr>
            <w:tcW w:w="2265" w:type="dxa"/>
            <w:gridSpan w:val="2"/>
            <w:tcBorders>
              <w:top w:val="single" w:sz="8" w:space="0" w:color="auto"/>
              <w:left w:val="single" w:sz="8" w:space="0" w:color="auto"/>
              <w:bottom w:val="nil"/>
              <w:right w:val="single" w:sz="4" w:space="0" w:color="000000"/>
            </w:tcBorders>
            <w:shd w:val="clear" w:color="auto" w:fill="auto"/>
            <w:vAlign w:val="center"/>
            <w:hideMark/>
          </w:tcPr>
          <w:p w14:paraId="00C862E4" w14:textId="77777777" w:rsidR="00690BB1" w:rsidRPr="00690BB1" w:rsidRDefault="00690BB1" w:rsidP="00690BB1">
            <w:pPr>
              <w:spacing w:before="0" w:after="0" w:line="240" w:lineRule="auto"/>
              <w:jc w:val="center"/>
              <w:rPr>
                <w:rFonts w:ascii="Cambria" w:eastAsia="Times New Roman" w:hAnsi="Cambria" w:cs="Times New Roman"/>
                <w:b/>
                <w:bCs/>
                <w:color w:val="000000"/>
              </w:rPr>
            </w:pPr>
            <w:r w:rsidRPr="00690BB1">
              <w:rPr>
                <w:rFonts w:ascii="Cambria" w:eastAsia="Times New Roman" w:hAnsi="Cambria" w:cs="Times New Roman"/>
                <w:b/>
                <w:bCs/>
                <w:color w:val="000000"/>
              </w:rPr>
              <w:t>Diagnosis</w:t>
            </w:r>
          </w:p>
        </w:tc>
        <w:tc>
          <w:tcPr>
            <w:tcW w:w="3420" w:type="dxa"/>
            <w:gridSpan w:val="2"/>
            <w:tcBorders>
              <w:top w:val="single" w:sz="8" w:space="0" w:color="auto"/>
              <w:left w:val="nil"/>
              <w:bottom w:val="nil"/>
              <w:right w:val="single" w:sz="4" w:space="0" w:color="000000"/>
            </w:tcBorders>
            <w:shd w:val="clear" w:color="auto" w:fill="auto"/>
            <w:vAlign w:val="center"/>
            <w:hideMark/>
          </w:tcPr>
          <w:p w14:paraId="22867D40" w14:textId="77777777" w:rsidR="00690BB1" w:rsidRPr="00690BB1" w:rsidRDefault="00690BB1" w:rsidP="00690BB1">
            <w:pPr>
              <w:spacing w:before="0" w:after="0" w:line="240" w:lineRule="auto"/>
              <w:jc w:val="center"/>
              <w:rPr>
                <w:rFonts w:ascii="Cambria" w:eastAsia="Times New Roman" w:hAnsi="Cambria" w:cs="Times New Roman"/>
                <w:b/>
                <w:bCs/>
                <w:color w:val="000000"/>
              </w:rPr>
            </w:pPr>
            <w:r w:rsidRPr="00690BB1">
              <w:rPr>
                <w:rFonts w:ascii="Cambria" w:eastAsia="Times New Roman" w:hAnsi="Cambria" w:cs="Times New Roman"/>
                <w:b/>
                <w:bCs/>
                <w:color w:val="000000"/>
              </w:rPr>
              <w:t>Fecal Immunochemical Test</w:t>
            </w:r>
          </w:p>
        </w:tc>
        <w:tc>
          <w:tcPr>
            <w:tcW w:w="3510" w:type="dxa"/>
            <w:gridSpan w:val="2"/>
            <w:tcBorders>
              <w:top w:val="single" w:sz="8" w:space="0" w:color="auto"/>
              <w:left w:val="nil"/>
              <w:bottom w:val="nil"/>
              <w:right w:val="single" w:sz="8" w:space="0" w:color="000000"/>
            </w:tcBorders>
            <w:shd w:val="clear" w:color="auto" w:fill="auto"/>
            <w:vAlign w:val="center"/>
            <w:hideMark/>
          </w:tcPr>
          <w:p w14:paraId="1C7FD17A" w14:textId="77777777" w:rsidR="00690BB1" w:rsidRPr="00690BB1" w:rsidRDefault="00690BB1" w:rsidP="00690BB1">
            <w:pPr>
              <w:spacing w:before="0" w:after="0" w:line="240" w:lineRule="auto"/>
              <w:jc w:val="center"/>
              <w:rPr>
                <w:rFonts w:ascii="Cambria" w:eastAsia="Times New Roman" w:hAnsi="Cambria" w:cs="Times New Roman"/>
                <w:b/>
                <w:bCs/>
                <w:color w:val="000000"/>
              </w:rPr>
            </w:pPr>
            <w:r w:rsidRPr="00690BB1">
              <w:rPr>
                <w:rFonts w:ascii="Cambria" w:eastAsia="Times New Roman" w:hAnsi="Cambria" w:cs="Times New Roman"/>
                <w:b/>
                <w:bCs/>
                <w:color w:val="000000"/>
              </w:rPr>
              <w:t>Multitarget Microbiota Test</w:t>
            </w:r>
          </w:p>
        </w:tc>
      </w:tr>
      <w:tr w:rsidR="00690BB1" w:rsidRPr="00690BB1" w14:paraId="49D36B4A" w14:textId="77777777" w:rsidTr="00690BB1">
        <w:trPr>
          <w:trHeight w:val="520"/>
        </w:trPr>
        <w:tc>
          <w:tcPr>
            <w:tcW w:w="1365" w:type="dxa"/>
            <w:tcBorders>
              <w:top w:val="nil"/>
              <w:left w:val="single" w:sz="8" w:space="0" w:color="auto"/>
              <w:bottom w:val="nil"/>
              <w:right w:val="nil"/>
            </w:tcBorders>
            <w:shd w:val="clear" w:color="auto" w:fill="auto"/>
            <w:noWrap/>
            <w:vAlign w:val="center"/>
            <w:hideMark/>
          </w:tcPr>
          <w:p w14:paraId="3C7A6EA8"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900" w:type="dxa"/>
            <w:tcBorders>
              <w:top w:val="nil"/>
              <w:left w:val="nil"/>
              <w:bottom w:val="nil"/>
              <w:right w:val="single" w:sz="4" w:space="0" w:color="auto"/>
            </w:tcBorders>
            <w:shd w:val="clear" w:color="auto" w:fill="auto"/>
            <w:noWrap/>
            <w:vAlign w:val="center"/>
            <w:hideMark/>
          </w:tcPr>
          <w:p w14:paraId="3FF3ECF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vAlign w:val="center"/>
            <w:hideMark/>
          </w:tcPr>
          <w:p w14:paraId="0BD7641B"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True Positives</w:t>
            </w:r>
          </w:p>
        </w:tc>
        <w:tc>
          <w:tcPr>
            <w:tcW w:w="2160" w:type="dxa"/>
            <w:tcBorders>
              <w:top w:val="nil"/>
              <w:left w:val="nil"/>
              <w:bottom w:val="nil"/>
              <w:right w:val="single" w:sz="4" w:space="0" w:color="auto"/>
            </w:tcBorders>
            <w:shd w:val="clear" w:color="auto" w:fill="auto"/>
            <w:vAlign w:val="center"/>
            <w:hideMark/>
          </w:tcPr>
          <w:p w14:paraId="61280A24"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Sensitivity</w:t>
            </w:r>
            <w:r w:rsidRPr="00690BB1">
              <w:rPr>
                <w:rFonts w:ascii="Cambria" w:eastAsia="Times New Roman" w:hAnsi="Cambria" w:cs="Times New Roman"/>
                <w:color w:val="000000"/>
                <w:sz w:val="22"/>
                <w:szCs w:val="22"/>
              </w:rPr>
              <w:br/>
              <w:t>(95% CI)</w:t>
            </w:r>
          </w:p>
        </w:tc>
        <w:tc>
          <w:tcPr>
            <w:tcW w:w="1260" w:type="dxa"/>
            <w:tcBorders>
              <w:top w:val="nil"/>
              <w:left w:val="nil"/>
              <w:bottom w:val="nil"/>
              <w:right w:val="nil"/>
            </w:tcBorders>
            <w:shd w:val="clear" w:color="auto" w:fill="auto"/>
            <w:vAlign w:val="center"/>
            <w:hideMark/>
          </w:tcPr>
          <w:p w14:paraId="5819F8F8"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True Positives</w:t>
            </w:r>
          </w:p>
        </w:tc>
        <w:tc>
          <w:tcPr>
            <w:tcW w:w="2250" w:type="dxa"/>
            <w:tcBorders>
              <w:top w:val="nil"/>
              <w:left w:val="nil"/>
              <w:bottom w:val="nil"/>
              <w:right w:val="single" w:sz="8" w:space="0" w:color="auto"/>
            </w:tcBorders>
            <w:shd w:val="clear" w:color="auto" w:fill="auto"/>
            <w:vAlign w:val="center"/>
            <w:hideMark/>
          </w:tcPr>
          <w:p w14:paraId="77711F87"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Sensitivity</w:t>
            </w:r>
            <w:r w:rsidRPr="00690BB1">
              <w:rPr>
                <w:rFonts w:ascii="Cambria" w:eastAsia="Times New Roman" w:hAnsi="Cambria" w:cs="Times New Roman"/>
                <w:color w:val="000000"/>
                <w:sz w:val="22"/>
                <w:szCs w:val="22"/>
              </w:rPr>
              <w:br/>
              <w:t>(95% CI)</w:t>
            </w:r>
          </w:p>
        </w:tc>
        <w:bookmarkStart w:id="8" w:name="_GoBack"/>
        <w:bookmarkEnd w:id="8"/>
      </w:tr>
      <w:tr w:rsidR="00690BB1" w:rsidRPr="00690BB1" w14:paraId="2A6A9457" w14:textId="77777777" w:rsidTr="001F14D7">
        <w:trPr>
          <w:trHeight w:val="300"/>
        </w:trPr>
        <w:tc>
          <w:tcPr>
            <w:tcW w:w="1365" w:type="dxa"/>
            <w:tcBorders>
              <w:top w:val="nil"/>
              <w:left w:val="single" w:sz="8" w:space="0" w:color="auto"/>
              <w:bottom w:val="nil"/>
              <w:right w:val="nil"/>
            </w:tcBorders>
            <w:shd w:val="clear" w:color="auto" w:fill="auto"/>
            <w:noWrap/>
            <w:vAlign w:val="center"/>
            <w:hideMark/>
          </w:tcPr>
          <w:p w14:paraId="4EC7C96D"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Cancer</w:t>
            </w:r>
          </w:p>
        </w:tc>
        <w:tc>
          <w:tcPr>
            <w:tcW w:w="900" w:type="dxa"/>
            <w:tcBorders>
              <w:top w:val="nil"/>
              <w:left w:val="nil"/>
              <w:bottom w:val="nil"/>
              <w:right w:val="single" w:sz="4" w:space="0" w:color="auto"/>
            </w:tcBorders>
            <w:shd w:val="clear" w:color="auto" w:fill="auto"/>
            <w:noWrap/>
            <w:vAlign w:val="center"/>
            <w:hideMark/>
          </w:tcPr>
          <w:p w14:paraId="618748BE"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n=120</w:t>
            </w:r>
          </w:p>
        </w:tc>
        <w:tc>
          <w:tcPr>
            <w:tcW w:w="1260" w:type="dxa"/>
            <w:tcBorders>
              <w:top w:val="nil"/>
              <w:left w:val="nil"/>
              <w:bottom w:val="nil"/>
              <w:right w:val="nil"/>
            </w:tcBorders>
            <w:shd w:val="clear" w:color="auto" w:fill="auto"/>
            <w:noWrap/>
            <w:vAlign w:val="center"/>
            <w:hideMark/>
          </w:tcPr>
          <w:p w14:paraId="1DFE7B50"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90</w:t>
            </w:r>
          </w:p>
        </w:tc>
        <w:tc>
          <w:tcPr>
            <w:tcW w:w="2160" w:type="dxa"/>
            <w:tcBorders>
              <w:top w:val="nil"/>
              <w:left w:val="nil"/>
              <w:bottom w:val="nil"/>
              <w:right w:val="single" w:sz="4" w:space="0" w:color="auto"/>
            </w:tcBorders>
            <w:shd w:val="clear" w:color="auto" w:fill="auto"/>
            <w:noWrap/>
            <w:vAlign w:val="center"/>
            <w:hideMark/>
          </w:tcPr>
          <w:p w14:paraId="46CD812E"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75.0</w:t>
            </w:r>
            <w:r w:rsidRPr="00690BB1">
              <w:rPr>
                <w:rFonts w:ascii="Cambria" w:eastAsia="Times New Roman" w:hAnsi="Cambria" w:cs="Times New Roman"/>
                <w:color w:val="000000"/>
                <w:sz w:val="22"/>
                <w:szCs w:val="22"/>
              </w:rPr>
              <w:t xml:space="preserve"> (66.7-82.5)</w:t>
            </w:r>
          </w:p>
        </w:tc>
        <w:tc>
          <w:tcPr>
            <w:tcW w:w="1260" w:type="dxa"/>
            <w:tcBorders>
              <w:top w:val="nil"/>
              <w:left w:val="nil"/>
              <w:bottom w:val="nil"/>
              <w:right w:val="nil"/>
            </w:tcBorders>
            <w:shd w:val="clear" w:color="auto" w:fill="auto"/>
            <w:noWrap/>
            <w:vAlign w:val="center"/>
            <w:hideMark/>
          </w:tcPr>
          <w:p w14:paraId="54E1A8BD"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114</w:t>
            </w:r>
          </w:p>
        </w:tc>
        <w:tc>
          <w:tcPr>
            <w:tcW w:w="2250" w:type="dxa"/>
            <w:tcBorders>
              <w:top w:val="nil"/>
              <w:left w:val="nil"/>
              <w:bottom w:val="nil"/>
              <w:right w:val="single" w:sz="8" w:space="0" w:color="auto"/>
            </w:tcBorders>
            <w:shd w:val="clear" w:color="auto" w:fill="auto"/>
            <w:noWrap/>
            <w:vAlign w:val="center"/>
            <w:hideMark/>
          </w:tcPr>
          <w:p w14:paraId="70132B21"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95.0</w:t>
            </w:r>
            <w:r w:rsidRPr="00690BB1">
              <w:rPr>
                <w:rFonts w:ascii="Cambria" w:eastAsia="Times New Roman" w:hAnsi="Cambria" w:cs="Times New Roman"/>
                <w:color w:val="000000"/>
                <w:sz w:val="22"/>
                <w:szCs w:val="22"/>
              </w:rPr>
              <w:t xml:space="preserve"> (90.8-98.3)</w:t>
            </w:r>
          </w:p>
        </w:tc>
      </w:tr>
      <w:tr w:rsidR="00690BB1" w:rsidRPr="00690BB1" w14:paraId="74A35459" w14:textId="77777777" w:rsidTr="001F14D7">
        <w:trPr>
          <w:trHeight w:val="300"/>
        </w:trPr>
        <w:tc>
          <w:tcPr>
            <w:tcW w:w="1365" w:type="dxa"/>
            <w:tcBorders>
              <w:top w:val="nil"/>
              <w:left w:val="single" w:sz="8" w:space="0" w:color="auto"/>
              <w:bottom w:val="nil"/>
              <w:right w:val="nil"/>
            </w:tcBorders>
            <w:shd w:val="clear" w:color="auto" w:fill="auto"/>
            <w:noWrap/>
            <w:vAlign w:val="center"/>
            <w:hideMark/>
          </w:tcPr>
          <w:p w14:paraId="55C9911D"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Adenoma</w:t>
            </w:r>
          </w:p>
        </w:tc>
        <w:tc>
          <w:tcPr>
            <w:tcW w:w="900" w:type="dxa"/>
            <w:tcBorders>
              <w:top w:val="nil"/>
              <w:left w:val="nil"/>
              <w:bottom w:val="nil"/>
              <w:right w:val="single" w:sz="4" w:space="0" w:color="auto"/>
            </w:tcBorders>
            <w:shd w:val="clear" w:color="auto" w:fill="auto"/>
            <w:noWrap/>
            <w:vAlign w:val="center"/>
            <w:hideMark/>
          </w:tcPr>
          <w:p w14:paraId="30D0F8A0"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n=198</w:t>
            </w:r>
          </w:p>
        </w:tc>
        <w:tc>
          <w:tcPr>
            <w:tcW w:w="1260" w:type="dxa"/>
            <w:tcBorders>
              <w:top w:val="nil"/>
              <w:left w:val="nil"/>
              <w:bottom w:val="nil"/>
              <w:right w:val="nil"/>
            </w:tcBorders>
            <w:shd w:val="clear" w:color="auto" w:fill="auto"/>
            <w:noWrap/>
            <w:vAlign w:val="center"/>
            <w:hideMark/>
          </w:tcPr>
          <w:p w14:paraId="5BDEEBF6"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31</w:t>
            </w:r>
          </w:p>
        </w:tc>
        <w:tc>
          <w:tcPr>
            <w:tcW w:w="2160" w:type="dxa"/>
            <w:tcBorders>
              <w:top w:val="nil"/>
              <w:left w:val="nil"/>
              <w:bottom w:val="nil"/>
              <w:right w:val="single" w:sz="4" w:space="0" w:color="auto"/>
            </w:tcBorders>
            <w:shd w:val="clear" w:color="auto" w:fill="auto"/>
            <w:noWrap/>
            <w:vAlign w:val="center"/>
            <w:hideMark/>
          </w:tcPr>
          <w:p w14:paraId="120F3468"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15.7</w:t>
            </w:r>
            <w:r w:rsidRPr="00690BB1">
              <w:rPr>
                <w:rFonts w:ascii="Cambria" w:eastAsia="Times New Roman" w:hAnsi="Cambria" w:cs="Times New Roman"/>
                <w:color w:val="000000"/>
                <w:sz w:val="22"/>
                <w:szCs w:val="22"/>
              </w:rPr>
              <w:t xml:space="preserve"> (10.6-20.7)</w:t>
            </w:r>
          </w:p>
        </w:tc>
        <w:tc>
          <w:tcPr>
            <w:tcW w:w="1260" w:type="dxa"/>
            <w:tcBorders>
              <w:top w:val="nil"/>
              <w:left w:val="nil"/>
              <w:bottom w:val="nil"/>
              <w:right w:val="nil"/>
            </w:tcBorders>
            <w:shd w:val="clear" w:color="auto" w:fill="auto"/>
            <w:noWrap/>
            <w:vAlign w:val="center"/>
            <w:hideMark/>
          </w:tcPr>
          <w:p w14:paraId="6C5A2CCE"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113</w:t>
            </w:r>
          </w:p>
        </w:tc>
        <w:tc>
          <w:tcPr>
            <w:tcW w:w="2250" w:type="dxa"/>
            <w:tcBorders>
              <w:top w:val="nil"/>
              <w:left w:val="nil"/>
              <w:bottom w:val="nil"/>
              <w:right w:val="single" w:sz="8" w:space="0" w:color="auto"/>
            </w:tcBorders>
            <w:shd w:val="clear" w:color="auto" w:fill="auto"/>
            <w:noWrap/>
            <w:vAlign w:val="center"/>
            <w:hideMark/>
          </w:tcPr>
          <w:p w14:paraId="5A75CF6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57.1</w:t>
            </w:r>
            <w:r w:rsidRPr="00690BB1">
              <w:rPr>
                <w:rFonts w:ascii="Cambria" w:eastAsia="Times New Roman" w:hAnsi="Cambria" w:cs="Times New Roman"/>
                <w:color w:val="000000"/>
                <w:sz w:val="22"/>
                <w:szCs w:val="22"/>
              </w:rPr>
              <w:t xml:space="preserve">  (50.5-64.1)</w:t>
            </w:r>
          </w:p>
        </w:tc>
      </w:tr>
      <w:tr w:rsidR="00690BB1" w:rsidRPr="00690BB1" w14:paraId="700158DC" w14:textId="77777777" w:rsidTr="001F14D7">
        <w:trPr>
          <w:trHeight w:val="300"/>
        </w:trPr>
        <w:tc>
          <w:tcPr>
            <w:tcW w:w="1365" w:type="dxa"/>
            <w:tcBorders>
              <w:top w:val="nil"/>
              <w:left w:val="single" w:sz="8" w:space="0" w:color="auto"/>
              <w:bottom w:val="nil"/>
              <w:right w:val="nil"/>
            </w:tcBorders>
            <w:shd w:val="clear" w:color="auto" w:fill="auto"/>
            <w:noWrap/>
            <w:vAlign w:val="center"/>
            <w:hideMark/>
          </w:tcPr>
          <w:p w14:paraId="38E7CCA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Any Lesions</w:t>
            </w:r>
          </w:p>
        </w:tc>
        <w:tc>
          <w:tcPr>
            <w:tcW w:w="900" w:type="dxa"/>
            <w:tcBorders>
              <w:top w:val="nil"/>
              <w:left w:val="nil"/>
              <w:bottom w:val="nil"/>
              <w:right w:val="single" w:sz="4" w:space="0" w:color="auto"/>
            </w:tcBorders>
            <w:shd w:val="clear" w:color="auto" w:fill="auto"/>
            <w:noWrap/>
            <w:vAlign w:val="center"/>
            <w:hideMark/>
          </w:tcPr>
          <w:p w14:paraId="2FA3C385"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n=318</w:t>
            </w:r>
          </w:p>
        </w:tc>
        <w:tc>
          <w:tcPr>
            <w:tcW w:w="1260" w:type="dxa"/>
            <w:tcBorders>
              <w:top w:val="nil"/>
              <w:left w:val="nil"/>
              <w:bottom w:val="nil"/>
              <w:right w:val="nil"/>
            </w:tcBorders>
            <w:shd w:val="clear" w:color="auto" w:fill="auto"/>
            <w:noWrap/>
            <w:vAlign w:val="center"/>
            <w:hideMark/>
          </w:tcPr>
          <w:p w14:paraId="38908169"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121</w:t>
            </w:r>
          </w:p>
        </w:tc>
        <w:tc>
          <w:tcPr>
            <w:tcW w:w="2160" w:type="dxa"/>
            <w:tcBorders>
              <w:top w:val="nil"/>
              <w:left w:val="nil"/>
              <w:bottom w:val="nil"/>
              <w:right w:val="single" w:sz="4" w:space="0" w:color="auto"/>
            </w:tcBorders>
            <w:shd w:val="clear" w:color="auto" w:fill="auto"/>
            <w:noWrap/>
            <w:vAlign w:val="center"/>
            <w:hideMark/>
          </w:tcPr>
          <w:p w14:paraId="1AC1668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38.1</w:t>
            </w:r>
            <w:r w:rsidRPr="00690BB1">
              <w:rPr>
                <w:rFonts w:ascii="Cambria" w:eastAsia="Times New Roman" w:hAnsi="Cambria" w:cs="Times New Roman"/>
                <w:color w:val="000000"/>
                <w:sz w:val="22"/>
                <w:szCs w:val="22"/>
              </w:rPr>
              <w:t xml:space="preserve"> (33-43.1)</w:t>
            </w:r>
          </w:p>
        </w:tc>
        <w:tc>
          <w:tcPr>
            <w:tcW w:w="1260" w:type="dxa"/>
            <w:tcBorders>
              <w:top w:val="nil"/>
              <w:left w:val="nil"/>
              <w:bottom w:val="nil"/>
              <w:right w:val="nil"/>
            </w:tcBorders>
            <w:shd w:val="clear" w:color="auto" w:fill="auto"/>
            <w:noWrap/>
            <w:vAlign w:val="center"/>
            <w:hideMark/>
          </w:tcPr>
          <w:p w14:paraId="0887D4B1"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227</w:t>
            </w:r>
          </w:p>
        </w:tc>
        <w:tc>
          <w:tcPr>
            <w:tcW w:w="2250" w:type="dxa"/>
            <w:tcBorders>
              <w:top w:val="nil"/>
              <w:left w:val="nil"/>
              <w:bottom w:val="nil"/>
              <w:right w:val="single" w:sz="8" w:space="0" w:color="auto"/>
            </w:tcBorders>
            <w:shd w:val="clear" w:color="auto" w:fill="auto"/>
            <w:noWrap/>
            <w:vAlign w:val="center"/>
            <w:hideMark/>
          </w:tcPr>
          <w:p w14:paraId="5DF736E2"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71.4</w:t>
            </w:r>
            <w:r w:rsidRPr="00690BB1">
              <w:rPr>
                <w:rFonts w:ascii="Cambria" w:eastAsia="Times New Roman" w:hAnsi="Cambria" w:cs="Times New Roman"/>
                <w:color w:val="000000"/>
                <w:sz w:val="22"/>
                <w:szCs w:val="22"/>
              </w:rPr>
              <w:t xml:space="preserve"> (66.4-76.1)</w:t>
            </w:r>
          </w:p>
        </w:tc>
      </w:tr>
      <w:tr w:rsidR="00690BB1" w:rsidRPr="00690BB1" w14:paraId="437C0B74" w14:textId="77777777" w:rsidTr="00690BB1">
        <w:trPr>
          <w:trHeight w:val="300"/>
        </w:trPr>
        <w:tc>
          <w:tcPr>
            <w:tcW w:w="1365" w:type="dxa"/>
            <w:tcBorders>
              <w:top w:val="nil"/>
              <w:left w:val="single" w:sz="8" w:space="0" w:color="auto"/>
              <w:bottom w:val="nil"/>
              <w:right w:val="nil"/>
            </w:tcBorders>
            <w:shd w:val="clear" w:color="auto" w:fill="auto"/>
            <w:noWrap/>
            <w:vAlign w:val="center"/>
            <w:hideMark/>
          </w:tcPr>
          <w:p w14:paraId="7EBAEB2D"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900" w:type="dxa"/>
            <w:tcBorders>
              <w:top w:val="nil"/>
              <w:left w:val="nil"/>
              <w:bottom w:val="nil"/>
              <w:right w:val="single" w:sz="4" w:space="0" w:color="auto"/>
            </w:tcBorders>
            <w:shd w:val="clear" w:color="auto" w:fill="auto"/>
            <w:noWrap/>
            <w:vAlign w:val="center"/>
            <w:hideMark/>
          </w:tcPr>
          <w:p w14:paraId="63DD15E8"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noWrap/>
            <w:vAlign w:val="center"/>
            <w:hideMark/>
          </w:tcPr>
          <w:p w14:paraId="339E4929"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2160" w:type="dxa"/>
            <w:tcBorders>
              <w:top w:val="nil"/>
              <w:left w:val="nil"/>
              <w:bottom w:val="nil"/>
              <w:right w:val="single" w:sz="4" w:space="0" w:color="auto"/>
            </w:tcBorders>
            <w:shd w:val="clear" w:color="auto" w:fill="auto"/>
            <w:noWrap/>
            <w:vAlign w:val="center"/>
            <w:hideMark/>
          </w:tcPr>
          <w:p w14:paraId="5A69889A"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noWrap/>
            <w:vAlign w:val="center"/>
            <w:hideMark/>
          </w:tcPr>
          <w:p w14:paraId="1DAA6C91"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p>
        </w:tc>
        <w:tc>
          <w:tcPr>
            <w:tcW w:w="2250" w:type="dxa"/>
            <w:tcBorders>
              <w:top w:val="nil"/>
              <w:left w:val="nil"/>
              <w:bottom w:val="nil"/>
              <w:right w:val="single" w:sz="8" w:space="0" w:color="auto"/>
            </w:tcBorders>
            <w:shd w:val="clear" w:color="auto" w:fill="auto"/>
            <w:noWrap/>
            <w:vAlign w:val="center"/>
            <w:hideMark/>
          </w:tcPr>
          <w:p w14:paraId="2E13AA61"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r>
      <w:tr w:rsidR="00690BB1" w:rsidRPr="00690BB1" w14:paraId="299F6059" w14:textId="77777777" w:rsidTr="00690BB1">
        <w:trPr>
          <w:trHeight w:val="520"/>
        </w:trPr>
        <w:tc>
          <w:tcPr>
            <w:tcW w:w="1365" w:type="dxa"/>
            <w:tcBorders>
              <w:top w:val="nil"/>
              <w:left w:val="single" w:sz="8" w:space="0" w:color="auto"/>
              <w:bottom w:val="nil"/>
              <w:right w:val="nil"/>
            </w:tcBorders>
            <w:shd w:val="clear" w:color="auto" w:fill="auto"/>
            <w:noWrap/>
            <w:vAlign w:val="center"/>
            <w:hideMark/>
          </w:tcPr>
          <w:p w14:paraId="08D02E2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900" w:type="dxa"/>
            <w:tcBorders>
              <w:top w:val="nil"/>
              <w:left w:val="nil"/>
              <w:bottom w:val="nil"/>
              <w:right w:val="single" w:sz="4" w:space="0" w:color="auto"/>
            </w:tcBorders>
            <w:shd w:val="clear" w:color="auto" w:fill="auto"/>
            <w:noWrap/>
            <w:vAlign w:val="center"/>
            <w:hideMark/>
          </w:tcPr>
          <w:p w14:paraId="3587F6F9"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vAlign w:val="center"/>
            <w:hideMark/>
          </w:tcPr>
          <w:p w14:paraId="3C1A6FA5"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True Negatives</w:t>
            </w:r>
          </w:p>
        </w:tc>
        <w:tc>
          <w:tcPr>
            <w:tcW w:w="2160" w:type="dxa"/>
            <w:tcBorders>
              <w:top w:val="nil"/>
              <w:left w:val="nil"/>
              <w:bottom w:val="nil"/>
              <w:right w:val="single" w:sz="4" w:space="0" w:color="auto"/>
            </w:tcBorders>
            <w:shd w:val="clear" w:color="auto" w:fill="auto"/>
            <w:vAlign w:val="center"/>
            <w:hideMark/>
          </w:tcPr>
          <w:p w14:paraId="5D39E7D4"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Specificity</w:t>
            </w:r>
            <w:r w:rsidRPr="00690BB1">
              <w:rPr>
                <w:rFonts w:ascii="Cambria" w:eastAsia="Times New Roman" w:hAnsi="Cambria" w:cs="Times New Roman"/>
                <w:color w:val="000000"/>
                <w:sz w:val="22"/>
                <w:szCs w:val="22"/>
              </w:rPr>
              <w:br/>
              <w:t>(95% CI)</w:t>
            </w:r>
          </w:p>
        </w:tc>
        <w:tc>
          <w:tcPr>
            <w:tcW w:w="1260" w:type="dxa"/>
            <w:tcBorders>
              <w:top w:val="nil"/>
              <w:left w:val="nil"/>
              <w:bottom w:val="nil"/>
              <w:right w:val="nil"/>
            </w:tcBorders>
            <w:shd w:val="clear" w:color="auto" w:fill="auto"/>
            <w:vAlign w:val="center"/>
            <w:hideMark/>
          </w:tcPr>
          <w:p w14:paraId="117F9685"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True Negatives</w:t>
            </w:r>
          </w:p>
        </w:tc>
        <w:tc>
          <w:tcPr>
            <w:tcW w:w="2250" w:type="dxa"/>
            <w:tcBorders>
              <w:top w:val="nil"/>
              <w:left w:val="nil"/>
              <w:bottom w:val="nil"/>
              <w:right w:val="single" w:sz="8" w:space="0" w:color="auto"/>
            </w:tcBorders>
            <w:shd w:val="clear" w:color="auto" w:fill="auto"/>
            <w:vAlign w:val="center"/>
            <w:hideMark/>
          </w:tcPr>
          <w:p w14:paraId="66BE325F"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Specificity</w:t>
            </w:r>
            <w:r w:rsidRPr="00690BB1">
              <w:rPr>
                <w:rFonts w:ascii="Cambria" w:eastAsia="Times New Roman" w:hAnsi="Cambria" w:cs="Times New Roman"/>
                <w:color w:val="000000"/>
                <w:sz w:val="22"/>
                <w:szCs w:val="22"/>
              </w:rPr>
              <w:br/>
              <w:t>(95% CI)</w:t>
            </w:r>
          </w:p>
        </w:tc>
      </w:tr>
      <w:tr w:rsidR="00690BB1" w:rsidRPr="00690BB1" w14:paraId="3301A8F4" w14:textId="77777777" w:rsidTr="001F14D7">
        <w:trPr>
          <w:trHeight w:val="320"/>
        </w:trPr>
        <w:tc>
          <w:tcPr>
            <w:tcW w:w="1365" w:type="dxa"/>
            <w:tcBorders>
              <w:top w:val="nil"/>
              <w:left w:val="single" w:sz="8" w:space="0" w:color="auto"/>
              <w:bottom w:val="single" w:sz="8" w:space="0" w:color="auto"/>
              <w:right w:val="nil"/>
            </w:tcBorders>
            <w:shd w:val="clear" w:color="auto" w:fill="auto"/>
            <w:noWrap/>
            <w:vAlign w:val="center"/>
            <w:hideMark/>
          </w:tcPr>
          <w:p w14:paraId="623FF725"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Normal</w:t>
            </w:r>
          </w:p>
        </w:tc>
        <w:tc>
          <w:tcPr>
            <w:tcW w:w="900" w:type="dxa"/>
            <w:tcBorders>
              <w:top w:val="nil"/>
              <w:left w:val="nil"/>
              <w:bottom w:val="single" w:sz="8" w:space="0" w:color="auto"/>
              <w:right w:val="single" w:sz="4" w:space="0" w:color="auto"/>
            </w:tcBorders>
            <w:shd w:val="clear" w:color="auto" w:fill="auto"/>
            <w:noWrap/>
            <w:vAlign w:val="center"/>
            <w:hideMark/>
          </w:tcPr>
          <w:p w14:paraId="4AF924DA"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n=172</w:t>
            </w:r>
          </w:p>
        </w:tc>
        <w:tc>
          <w:tcPr>
            <w:tcW w:w="1260" w:type="dxa"/>
            <w:tcBorders>
              <w:top w:val="nil"/>
              <w:left w:val="nil"/>
              <w:bottom w:val="single" w:sz="8" w:space="0" w:color="auto"/>
              <w:right w:val="nil"/>
            </w:tcBorders>
            <w:shd w:val="clear" w:color="auto" w:fill="auto"/>
            <w:noWrap/>
            <w:vAlign w:val="center"/>
            <w:hideMark/>
          </w:tcPr>
          <w:p w14:paraId="530793F0"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167</w:t>
            </w:r>
          </w:p>
        </w:tc>
        <w:tc>
          <w:tcPr>
            <w:tcW w:w="2160" w:type="dxa"/>
            <w:tcBorders>
              <w:top w:val="nil"/>
              <w:left w:val="nil"/>
              <w:bottom w:val="single" w:sz="8" w:space="0" w:color="auto"/>
              <w:right w:val="single" w:sz="4" w:space="0" w:color="auto"/>
            </w:tcBorders>
            <w:shd w:val="clear" w:color="auto" w:fill="auto"/>
            <w:noWrap/>
            <w:vAlign w:val="center"/>
            <w:hideMark/>
          </w:tcPr>
          <w:p w14:paraId="64C348BC"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97.1</w:t>
            </w:r>
            <w:r w:rsidRPr="00690BB1">
              <w:rPr>
                <w:rFonts w:ascii="Cambria" w:eastAsia="Times New Roman" w:hAnsi="Cambria" w:cs="Times New Roman"/>
                <w:color w:val="000000"/>
                <w:sz w:val="22"/>
                <w:szCs w:val="22"/>
              </w:rPr>
              <w:t xml:space="preserve"> (94.8-99.4)</w:t>
            </w:r>
          </w:p>
        </w:tc>
        <w:tc>
          <w:tcPr>
            <w:tcW w:w="1260" w:type="dxa"/>
            <w:tcBorders>
              <w:top w:val="nil"/>
              <w:left w:val="nil"/>
              <w:bottom w:val="single" w:sz="8" w:space="0" w:color="auto"/>
              <w:right w:val="nil"/>
            </w:tcBorders>
            <w:shd w:val="clear" w:color="auto" w:fill="auto"/>
            <w:noWrap/>
            <w:vAlign w:val="center"/>
            <w:hideMark/>
          </w:tcPr>
          <w:p w14:paraId="32CA3960"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color w:val="000000"/>
                <w:sz w:val="22"/>
                <w:szCs w:val="22"/>
              </w:rPr>
              <w:t>144</w:t>
            </w:r>
          </w:p>
        </w:tc>
        <w:tc>
          <w:tcPr>
            <w:tcW w:w="2250" w:type="dxa"/>
            <w:tcBorders>
              <w:top w:val="nil"/>
              <w:left w:val="nil"/>
              <w:bottom w:val="single" w:sz="8" w:space="0" w:color="auto"/>
              <w:right w:val="single" w:sz="8" w:space="0" w:color="auto"/>
            </w:tcBorders>
            <w:shd w:val="clear" w:color="auto" w:fill="auto"/>
            <w:noWrap/>
            <w:vAlign w:val="center"/>
            <w:hideMark/>
          </w:tcPr>
          <w:p w14:paraId="1307F2FE" w14:textId="77777777" w:rsidR="00690BB1" w:rsidRPr="00690BB1" w:rsidRDefault="00690BB1" w:rsidP="00690BB1">
            <w:pPr>
              <w:spacing w:before="0" w:after="0" w:line="240" w:lineRule="auto"/>
              <w:jc w:val="center"/>
              <w:rPr>
                <w:rFonts w:ascii="Cambria" w:eastAsia="Times New Roman" w:hAnsi="Cambria" w:cs="Times New Roman"/>
                <w:color w:val="000000"/>
                <w:sz w:val="22"/>
                <w:szCs w:val="22"/>
              </w:rPr>
            </w:pPr>
            <w:r w:rsidRPr="00690BB1">
              <w:rPr>
                <w:rFonts w:ascii="Cambria" w:eastAsia="Times New Roman" w:hAnsi="Cambria" w:cs="Times New Roman"/>
                <w:b/>
                <w:bCs/>
                <w:color w:val="000000"/>
                <w:sz w:val="22"/>
                <w:szCs w:val="22"/>
              </w:rPr>
              <w:t>83.7</w:t>
            </w:r>
            <w:r w:rsidRPr="00690BB1">
              <w:rPr>
                <w:rFonts w:ascii="Cambria" w:eastAsia="Times New Roman" w:hAnsi="Cambria" w:cs="Times New Roman"/>
                <w:color w:val="000000"/>
                <w:sz w:val="22"/>
                <w:szCs w:val="22"/>
              </w:rPr>
              <w:t xml:space="preserve"> (78.5-89)</w:t>
            </w:r>
          </w:p>
        </w:tc>
      </w:tr>
    </w:tbl>
    <w:p w14:paraId="27ED7F2E" w14:textId="66888D72" w:rsidR="006A4D51" w:rsidRDefault="003143A2" w:rsidP="00690BB1">
      <w:pPr>
        <w:spacing w:after="240"/>
      </w:pPr>
      <w:r>
        <w:rPr>
          <w:b/>
        </w:rPr>
        <w:t>Table 1. Sensitivities and specificities for FIT and MMT.</w:t>
      </w:r>
      <w:r>
        <w:t xml:space="preserve"> The 95% confidence intervals were computed with 2000 stratified bootstrap replicates.</w:t>
      </w:r>
    </w:p>
    <w:p w14:paraId="27346615" w14:textId="77777777" w:rsidR="00690BB1" w:rsidRDefault="00690BB1" w:rsidP="00690BB1">
      <w:pPr>
        <w:spacing w:after="240"/>
      </w:pPr>
    </w:p>
    <w:tbl>
      <w:tblPr>
        <w:tblW w:w="8820" w:type="dxa"/>
        <w:tblInd w:w="648" w:type="dxa"/>
        <w:tblLayout w:type="fixed"/>
        <w:tblLook w:val="04A0" w:firstRow="1" w:lastRow="0" w:firstColumn="1" w:lastColumn="0" w:noHBand="0" w:noVBand="1"/>
      </w:tblPr>
      <w:tblGrid>
        <w:gridCol w:w="2430"/>
        <w:gridCol w:w="1260"/>
        <w:gridCol w:w="2070"/>
        <w:gridCol w:w="1530"/>
        <w:gridCol w:w="1530"/>
      </w:tblGrid>
      <w:tr w:rsidR="00690BB1" w:rsidRPr="00690BB1" w14:paraId="039E13E6" w14:textId="77777777" w:rsidTr="00690BB1">
        <w:trPr>
          <w:trHeight w:val="826"/>
        </w:trPr>
        <w:tc>
          <w:tcPr>
            <w:tcW w:w="2430" w:type="dxa"/>
            <w:tcBorders>
              <w:top w:val="single" w:sz="8" w:space="0" w:color="auto"/>
              <w:left w:val="single" w:sz="8" w:space="0" w:color="auto"/>
              <w:bottom w:val="single" w:sz="8" w:space="0" w:color="auto"/>
              <w:right w:val="nil"/>
            </w:tcBorders>
            <w:shd w:val="clear" w:color="auto" w:fill="auto"/>
            <w:noWrap/>
            <w:vAlign w:val="center"/>
            <w:hideMark/>
          </w:tcPr>
          <w:p w14:paraId="2EF9FAEA" w14:textId="77777777" w:rsidR="00690BB1" w:rsidRPr="00690BB1" w:rsidRDefault="00690BB1"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Condition</w:t>
            </w:r>
          </w:p>
        </w:tc>
        <w:tc>
          <w:tcPr>
            <w:tcW w:w="1260" w:type="dxa"/>
            <w:tcBorders>
              <w:top w:val="single" w:sz="8" w:space="0" w:color="auto"/>
              <w:left w:val="nil"/>
              <w:bottom w:val="single" w:sz="8" w:space="0" w:color="auto"/>
              <w:right w:val="nil"/>
            </w:tcBorders>
            <w:shd w:val="clear" w:color="auto" w:fill="auto"/>
            <w:noWrap/>
            <w:vAlign w:val="center"/>
            <w:hideMark/>
          </w:tcPr>
          <w:p w14:paraId="471BBAD3"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Prevalence</w:t>
            </w:r>
          </w:p>
        </w:tc>
        <w:tc>
          <w:tcPr>
            <w:tcW w:w="2070" w:type="dxa"/>
            <w:tcBorders>
              <w:top w:val="single" w:sz="8" w:space="0" w:color="auto"/>
              <w:left w:val="nil"/>
              <w:bottom w:val="single" w:sz="8" w:space="0" w:color="auto"/>
              <w:right w:val="nil"/>
            </w:tcBorders>
            <w:shd w:val="clear" w:color="auto" w:fill="auto"/>
            <w:vAlign w:val="center"/>
            <w:hideMark/>
          </w:tcPr>
          <w:p w14:paraId="0DDB0600"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Number of Persons, ages 50-75 years, with Condition</w:t>
            </w:r>
          </w:p>
        </w:tc>
        <w:tc>
          <w:tcPr>
            <w:tcW w:w="1530" w:type="dxa"/>
            <w:tcBorders>
              <w:top w:val="single" w:sz="8" w:space="0" w:color="auto"/>
              <w:left w:val="nil"/>
              <w:bottom w:val="single" w:sz="8" w:space="0" w:color="auto"/>
              <w:right w:val="nil"/>
            </w:tcBorders>
            <w:shd w:val="clear" w:color="auto" w:fill="auto"/>
            <w:vAlign w:val="center"/>
            <w:hideMark/>
          </w:tcPr>
          <w:p w14:paraId="2681DD35"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True Positives identified by FIT</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5F0FFE5D"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True Positives identified by MMT</w:t>
            </w:r>
          </w:p>
        </w:tc>
      </w:tr>
      <w:tr w:rsidR="00690BB1" w:rsidRPr="00690BB1" w14:paraId="78B36323" w14:textId="77777777" w:rsidTr="00690BB1">
        <w:trPr>
          <w:trHeight w:val="151"/>
        </w:trPr>
        <w:tc>
          <w:tcPr>
            <w:tcW w:w="2430" w:type="dxa"/>
            <w:tcBorders>
              <w:top w:val="nil"/>
              <w:left w:val="single" w:sz="8" w:space="0" w:color="auto"/>
              <w:bottom w:val="nil"/>
              <w:right w:val="nil"/>
            </w:tcBorders>
            <w:shd w:val="clear" w:color="auto" w:fill="auto"/>
            <w:noWrap/>
            <w:vAlign w:val="bottom"/>
            <w:hideMark/>
          </w:tcPr>
          <w:p w14:paraId="626E176C" w14:textId="77777777" w:rsidR="00690BB1" w:rsidRPr="00690BB1" w:rsidRDefault="00690BB1"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 </w:t>
            </w:r>
          </w:p>
        </w:tc>
        <w:tc>
          <w:tcPr>
            <w:tcW w:w="1260" w:type="dxa"/>
            <w:tcBorders>
              <w:top w:val="nil"/>
              <w:left w:val="nil"/>
              <w:bottom w:val="nil"/>
              <w:right w:val="nil"/>
            </w:tcBorders>
            <w:shd w:val="clear" w:color="auto" w:fill="auto"/>
            <w:noWrap/>
            <w:vAlign w:val="bottom"/>
            <w:hideMark/>
          </w:tcPr>
          <w:p w14:paraId="34858545" w14:textId="77777777" w:rsidR="00690BB1" w:rsidRPr="00690BB1" w:rsidRDefault="00690BB1" w:rsidP="00690BB1">
            <w:pPr>
              <w:spacing w:before="0" w:after="0" w:line="240" w:lineRule="auto"/>
              <w:jc w:val="left"/>
              <w:rPr>
                <w:rFonts w:ascii="Arial" w:eastAsia="Times New Roman" w:hAnsi="Arial" w:cs="Arial"/>
                <w:color w:val="000000"/>
                <w:sz w:val="20"/>
                <w:szCs w:val="20"/>
              </w:rPr>
            </w:pPr>
          </w:p>
        </w:tc>
        <w:tc>
          <w:tcPr>
            <w:tcW w:w="2070" w:type="dxa"/>
            <w:tcBorders>
              <w:top w:val="nil"/>
              <w:left w:val="nil"/>
              <w:bottom w:val="nil"/>
              <w:right w:val="nil"/>
            </w:tcBorders>
            <w:shd w:val="clear" w:color="auto" w:fill="auto"/>
            <w:noWrap/>
            <w:vAlign w:val="bottom"/>
            <w:hideMark/>
          </w:tcPr>
          <w:p w14:paraId="01566549" w14:textId="77777777" w:rsidR="00690BB1" w:rsidRPr="00690BB1" w:rsidRDefault="00690BB1" w:rsidP="00690BB1">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6A78645A" w14:textId="77777777" w:rsidR="00690BB1" w:rsidRPr="00690BB1" w:rsidRDefault="00690BB1" w:rsidP="00690BB1">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single" w:sz="8" w:space="0" w:color="auto"/>
            </w:tcBorders>
            <w:shd w:val="clear" w:color="auto" w:fill="auto"/>
            <w:noWrap/>
            <w:vAlign w:val="bottom"/>
            <w:hideMark/>
          </w:tcPr>
          <w:p w14:paraId="27AED1CD" w14:textId="77777777" w:rsidR="00690BB1" w:rsidRPr="00690BB1" w:rsidRDefault="00690BB1"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 </w:t>
            </w:r>
          </w:p>
        </w:tc>
      </w:tr>
      <w:tr w:rsidR="00690BB1" w:rsidRPr="00690BB1" w14:paraId="7822EBB8" w14:textId="77777777" w:rsidTr="00690BB1">
        <w:trPr>
          <w:trHeight w:val="300"/>
        </w:trPr>
        <w:tc>
          <w:tcPr>
            <w:tcW w:w="2430" w:type="dxa"/>
            <w:tcBorders>
              <w:top w:val="nil"/>
              <w:left w:val="single" w:sz="8" w:space="0" w:color="auto"/>
              <w:bottom w:val="nil"/>
              <w:right w:val="nil"/>
            </w:tcBorders>
            <w:shd w:val="clear" w:color="auto" w:fill="auto"/>
            <w:noWrap/>
            <w:vAlign w:val="center"/>
            <w:hideMark/>
          </w:tcPr>
          <w:p w14:paraId="14EF225D" w14:textId="77777777" w:rsidR="00690BB1" w:rsidRPr="00690BB1" w:rsidRDefault="00690BB1"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Cancer</w:t>
            </w:r>
          </w:p>
        </w:tc>
        <w:tc>
          <w:tcPr>
            <w:tcW w:w="1260" w:type="dxa"/>
            <w:tcBorders>
              <w:top w:val="nil"/>
              <w:left w:val="nil"/>
              <w:bottom w:val="nil"/>
              <w:right w:val="nil"/>
            </w:tcBorders>
            <w:shd w:val="clear" w:color="auto" w:fill="auto"/>
            <w:noWrap/>
            <w:vAlign w:val="center"/>
            <w:hideMark/>
          </w:tcPr>
          <w:p w14:paraId="35060BF3"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0.3%</w:t>
            </w:r>
          </w:p>
        </w:tc>
        <w:tc>
          <w:tcPr>
            <w:tcW w:w="2070" w:type="dxa"/>
            <w:tcBorders>
              <w:top w:val="nil"/>
              <w:left w:val="nil"/>
              <w:bottom w:val="nil"/>
              <w:right w:val="nil"/>
            </w:tcBorders>
            <w:shd w:val="clear" w:color="auto" w:fill="auto"/>
            <w:noWrap/>
            <w:vAlign w:val="center"/>
            <w:hideMark/>
          </w:tcPr>
          <w:p w14:paraId="44052BAA"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241,483</w:t>
            </w:r>
          </w:p>
        </w:tc>
        <w:tc>
          <w:tcPr>
            <w:tcW w:w="1530" w:type="dxa"/>
            <w:tcBorders>
              <w:top w:val="nil"/>
              <w:left w:val="nil"/>
              <w:bottom w:val="nil"/>
              <w:right w:val="nil"/>
            </w:tcBorders>
            <w:shd w:val="clear" w:color="auto" w:fill="auto"/>
            <w:noWrap/>
            <w:vAlign w:val="bottom"/>
            <w:hideMark/>
          </w:tcPr>
          <w:p w14:paraId="1568F00D"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181,112</w:t>
            </w:r>
          </w:p>
        </w:tc>
        <w:tc>
          <w:tcPr>
            <w:tcW w:w="1530" w:type="dxa"/>
            <w:tcBorders>
              <w:top w:val="nil"/>
              <w:left w:val="nil"/>
              <w:bottom w:val="nil"/>
              <w:right w:val="single" w:sz="8" w:space="0" w:color="auto"/>
            </w:tcBorders>
            <w:shd w:val="clear" w:color="auto" w:fill="auto"/>
            <w:noWrap/>
            <w:vAlign w:val="bottom"/>
            <w:hideMark/>
          </w:tcPr>
          <w:p w14:paraId="75CDEDA6"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229,409</w:t>
            </w:r>
          </w:p>
        </w:tc>
      </w:tr>
      <w:tr w:rsidR="00690BB1" w:rsidRPr="00690BB1" w14:paraId="5430BDE4" w14:textId="77777777" w:rsidTr="00690BB1">
        <w:trPr>
          <w:trHeight w:val="300"/>
        </w:trPr>
        <w:tc>
          <w:tcPr>
            <w:tcW w:w="2430" w:type="dxa"/>
            <w:tcBorders>
              <w:top w:val="nil"/>
              <w:left w:val="single" w:sz="8" w:space="0" w:color="auto"/>
              <w:bottom w:val="nil"/>
              <w:right w:val="nil"/>
            </w:tcBorders>
            <w:shd w:val="clear" w:color="auto" w:fill="auto"/>
            <w:noWrap/>
            <w:vAlign w:val="center"/>
            <w:hideMark/>
          </w:tcPr>
          <w:p w14:paraId="6EB9D9C4" w14:textId="77777777" w:rsidR="00690BB1" w:rsidRPr="00690BB1" w:rsidRDefault="00690BB1"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Advanced Adenoma</w:t>
            </w:r>
          </w:p>
        </w:tc>
        <w:tc>
          <w:tcPr>
            <w:tcW w:w="1260" w:type="dxa"/>
            <w:tcBorders>
              <w:top w:val="nil"/>
              <w:left w:val="nil"/>
              <w:bottom w:val="nil"/>
              <w:right w:val="nil"/>
            </w:tcBorders>
            <w:shd w:val="clear" w:color="auto" w:fill="auto"/>
            <w:noWrap/>
            <w:vAlign w:val="center"/>
            <w:hideMark/>
          </w:tcPr>
          <w:p w14:paraId="6AE43201"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5.7%</w:t>
            </w:r>
          </w:p>
        </w:tc>
        <w:tc>
          <w:tcPr>
            <w:tcW w:w="2070" w:type="dxa"/>
            <w:tcBorders>
              <w:top w:val="nil"/>
              <w:left w:val="nil"/>
              <w:bottom w:val="nil"/>
              <w:right w:val="nil"/>
            </w:tcBorders>
            <w:shd w:val="clear" w:color="auto" w:fill="auto"/>
            <w:noWrap/>
            <w:vAlign w:val="center"/>
            <w:hideMark/>
          </w:tcPr>
          <w:p w14:paraId="4F5F4FAA"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4,588,174</w:t>
            </w:r>
          </w:p>
        </w:tc>
        <w:tc>
          <w:tcPr>
            <w:tcW w:w="1530" w:type="dxa"/>
            <w:tcBorders>
              <w:top w:val="nil"/>
              <w:left w:val="nil"/>
              <w:bottom w:val="nil"/>
              <w:right w:val="nil"/>
            </w:tcBorders>
            <w:shd w:val="clear" w:color="auto" w:fill="auto"/>
            <w:noWrap/>
            <w:vAlign w:val="bottom"/>
            <w:hideMark/>
          </w:tcPr>
          <w:p w14:paraId="16801DFA"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720,343</w:t>
            </w:r>
          </w:p>
        </w:tc>
        <w:tc>
          <w:tcPr>
            <w:tcW w:w="1530" w:type="dxa"/>
            <w:tcBorders>
              <w:top w:val="nil"/>
              <w:left w:val="nil"/>
              <w:bottom w:val="nil"/>
              <w:right w:val="single" w:sz="8" w:space="0" w:color="auto"/>
            </w:tcBorders>
            <w:shd w:val="clear" w:color="auto" w:fill="auto"/>
            <w:noWrap/>
            <w:vAlign w:val="bottom"/>
            <w:hideMark/>
          </w:tcPr>
          <w:p w14:paraId="4C0AC4E7"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2,619,847</w:t>
            </w:r>
          </w:p>
        </w:tc>
      </w:tr>
      <w:tr w:rsidR="00690BB1" w:rsidRPr="00690BB1" w14:paraId="20D563C6" w14:textId="77777777" w:rsidTr="00690BB1">
        <w:trPr>
          <w:trHeight w:val="234"/>
        </w:trPr>
        <w:tc>
          <w:tcPr>
            <w:tcW w:w="2430" w:type="dxa"/>
            <w:tcBorders>
              <w:top w:val="nil"/>
              <w:left w:val="single" w:sz="8" w:space="0" w:color="auto"/>
              <w:bottom w:val="single" w:sz="8" w:space="0" w:color="auto"/>
              <w:right w:val="nil"/>
            </w:tcBorders>
            <w:shd w:val="clear" w:color="auto" w:fill="auto"/>
            <w:noWrap/>
            <w:vAlign w:val="center"/>
            <w:hideMark/>
          </w:tcPr>
          <w:p w14:paraId="6CF1A3D9" w14:textId="77777777" w:rsidR="00690BB1" w:rsidRPr="00690BB1" w:rsidRDefault="00690BB1" w:rsidP="00690BB1">
            <w:pPr>
              <w:spacing w:before="0" w:after="0" w:line="240" w:lineRule="auto"/>
              <w:jc w:val="left"/>
              <w:rPr>
                <w:rFonts w:ascii="Arial" w:eastAsia="Times New Roman" w:hAnsi="Arial" w:cs="Arial"/>
                <w:color w:val="000000"/>
                <w:sz w:val="20"/>
                <w:szCs w:val="20"/>
              </w:rPr>
            </w:pPr>
            <w:r w:rsidRPr="00690BB1">
              <w:rPr>
                <w:rFonts w:ascii="Arial" w:eastAsia="Times New Roman" w:hAnsi="Arial" w:cs="Arial"/>
                <w:color w:val="000000"/>
                <w:sz w:val="20"/>
                <w:szCs w:val="20"/>
              </w:rPr>
              <w:t>Non-advanced Adenoma</w:t>
            </w:r>
          </w:p>
        </w:tc>
        <w:tc>
          <w:tcPr>
            <w:tcW w:w="1260" w:type="dxa"/>
            <w:tcBorders>
              <w:top w:val="nil"/>
              <w:left w:val="nil"/>
              <w:bottom w:val="single" w:sz="8" w:space="0" w:color="auto"/>
              <w:right w:val="nil"/>
            </w:tcBorders>
            <w:shd w:val="clear" w:color="auto" w:fill="auto"/>
            <w:noWrap/>
            <w:vAlign w:val="center"/>
            <w:hideMark/>
          </w:tcPr>
          <w:p w14:paraId="0D27BBBD"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17.7%</w:t>
            </w:r>
          </w:p>
        </w:tc>
        <w:tc>
          <w:tcPr>
            <w:tcW w:w="2070" w:type="dxa"/>
            <w:tcBorders>
              <w:top w:val="nil"/>
              <w:left w:val="nil"/>
              <w:bottom w:val="single" w:sz="8" w:space="0" w:color="auto"/>
              <w:right w:val="nil"/>
            </w:tcBorders>
            <w:shd w:val="clear" w:color="auto" w:fill="auto"/>
            <w:noWrap/>
            <w:vAlign w:val="center"/>
            <w:hideMark/>
          </w:tcPr>
          <w:p w14:paraId="4859F789"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14,247,488</w:t>
            </w:r>
          </w:p>
        </w:tc>
        <w:tc>
          <w:tcPr>
            <w:tcW w:w="1530" w:type="dxa"/>
            <w:tcBorders>
              <w:top w:val="nil"/>
              <w:left w:val="nil"/>
              <w:bottom w:val="single" w:sz="8" w:space="0" w:color="auto"/>
              <w:right w:val="nil"/>
            </w:tcBorders>
            <w:shd w:val="clear" w:color="auto" w:fill="auto"/>
            <w:noWrap/>
            <w:vAlign w:val="bottom"/>
            <w:hideMark/>
          </w:tcPr>
          <w:p w14:paraId="3E7A0D40"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2,236,856</w:t>
            </w:r>
          </w:p>
        </w:tc>
        <w:tc>
          <w:tcPr>
            <w:tcW w:w="1530" w:type="dxa"/>
            <w:tcBorders>
              <w:top w:val="nil"/>
              <w:left w:val="nil"/>
              <w:bottom w:val="single" w:sz="8" w:space="0" w:color="auto"/>
              <w:right w:val="single" w:sz="8" w:space="0" w:color="auto"/>
            </w:tcBorders>
            <w:shd w:val="clear" w:color="auto" w:fill="auto"/>
            <w:noWrap/>
            <w:vAlign w:val="bottom"/>
            <w:hideMark/>
          </w:tcPr>
          <w:p w14:paraId="6B5B18DA" w14:textId="77777777" w:rsidR="00690BB1" w:rsidRPr="00690BB1" w:rsidRDefault="00690BB1" w:rsidP="00690BB1">
            <w:pPr>
              <w:spacing w:before="0" w:after="0" w:line="240" w:lineRule="auto"/>
              <w:jc w:val="right"/>
              <w:rPr>
                <w:rFonts w:ascii="Arial" w:eastAsia="Times New Roman" w:hAnsi="Arial" w:cs="Arial"/>
                <w:color w:val="000000"/>
                <w:sz w:val="20"/>
                <w:szCs w:val="20"/>
              </w:rPr>
            </w:pPr>
            <w:r w:rsidRPr="00690BB1">
              <w:rPr>
                <w:rFonts w:ascii="Arial" w:eastAsia="Times New Roman" w:hAnsi="Arial" w:cs="Arial"/>
                <w:color w:val="000000"/>
                <w:sz w:val="20"/>
                <w:szCs w:val="20"/>
              </w:rPr>
              <w:t>8,135,316</w:t>
            </w:r>
          </w:p>
        </w:tc>
      </w:tr>
      <w:tr w:rsidR="00690BB1" w:rsidRPr="00690BB1" w14:paraId="763BF769" w14:textId="77777777" w:rsidTr="00690BB1">
        <w:trPr>
          <w:trHeight w:val="300"/>
        </w:trPr>
        <w:tc>
          <w:tcPr>
            <w:tcW w:w="8820" w:type="dxa"/>
            <w:gridSpan w:val="5"/>
            <w:vMerge w:val="restart"/>
            <w:tcBorders>
              <w:top w:val="single" w:sz="8" w:space="0" w:color="auto"/>
              <w:left w:val="nil"/>
              <w:bottom w:val="nil"/>
              <w:right w:val="nil"/>
            </w:tcBorders>
            <w:shd w:val="clear" w:color="auto" w:fill="auto"/>
            <w:vAlign w:val="center"/>
            <w:hideMark/>
          </w:tcPr>
          <w:p w14:paraId="35617115" w14:textId="77777777" w:rsidR="00690BB1" w:rsidRPr="00690BB1" w:rsidRDefault="00690BB1" w:rsidP="00690BB1">
            <w:pPr>
              <w:spacing w:before="0" w:after="0" w:line="240" w:lineRule="auto"/>
              <w:jc w:val="center"/>
              <w:rPr>
                <w:rFonts w:ascii="Arial" w:eastAsia="Times New Roman" w:hAnsi="Arial" w:cs="Arial"/>
                <w:color w:val="000000"/>
                <w:sz w:val="20"/>
                <w:szCs w:val="20"/>
              </w:rPr>
            </w:pPr>
            <w:r w:rsidRPr="00690BB1">
              <w:rPr>
                <w:rFonts w:ascii="Arial" w:eastAsia="Times New Roman" w:hAnsi="Arial" w:cs="Arial"/>
                <w:color w:val="000000"/>
                <w:sz w:val="20"/>
                <w:szCs w:val="20"/>
              </w:rPr>
              <w:t xml:space="preserve">      *Number of persons in the United States in 2010, 50-75 years of age, was 80,494,283.</w:t>
            </w:r>
          </w:p>
        </w:tc>
      </w:tr>
      <w:tr w:rsidR="00690BB1" w:rsidRPr="00690BB1" w14:paraId="1A6CB3E5" w14:textId="77777777" w:rsidTr="00690BB1">
        <w:trPr>
          <w:trHeight w:val="300"/>
        </w:trPr>
        <w:tc>
          <w:tcPr>
            <w:tcW w:w="8820" w:type="dxa"/>
            <w:gridSpan w:val="5"/>
            <w:vMerge/>
            <w:tcBorders>
              <w:top w:val="single" w:sz="8" w:space="0" w:color="auto"/>
              <w:left w:val="nil"/>
              <w:bottom w:val="nil"/>
              <w:right w:val="nil"/>
            </w:tcBorders>
            <w:vAlign w:val="center"/>
            <w:hideMark/>
          </w:tcPr>
          <w:p w14:paraId="758F6D9A" w14:textId="77777777" w:rsidR="00690BB1" w:rsidRPr="00690BB1" w:rsidRDefault="00690BB1" w:rsidP="00690BB1">
            <w:pPr>
              <w:spacing w:before="0" w:after="0" w:line="240" w:lineRule="auto"/>
              <w:jc w:val="left"/>
              <w:rPr>
                <w:rFonts w:ascii="Arial" w:eastAsia="Times New Roman" w:hAnsi="Arial" w:cs="Arial"/>
                <w:color w:val="000000"/>
                <w:sz w:val="20"/>
                <w:szCs w:val="20"/>
              </w:rPr>
            </w:pPr>
          </w:p>
        </w:tc>
      </w:tr>
    </w:tbl>
    <w:p w14:paraId="0C28C5C4" w14:textId="121D3D16" w:rsidR="00057D1D" w:rsidRDefault="003143A2" w:rsidP="00057D1D">
      <w:pPr>
        <w:spacing w:after="240"/>
      </w:pPr>
      <w:r>
        <w:rPr>
          <w:b/>
        </w:rPr>
        <w:t>Table 2. Estimated performance on average risk population.</w:t>
      </w:r>
      <w:r>
        <w:t xml:space="preserve"> Number of true positives identified through FIT and MMT in the United States in adults 50-75 years of age, based on published estimates o</w:t>
      </w:r>
      <w:r w:rsidR="00057D1D">
        <w:t>f CRC prevalence.</w:t>
      </w:r>
      <w:r w:rsidR="00057D1D">
        <w:br w:type="page"/>
      </w:r>
    </w:p>
    <w:p w14:paraId="0EE0C9EF" w14:textId="77777777" w:rsidR="002D1C67" w:rsidRDefault="003143A2" w:rsidP="00690BB1">
      <w:pPr>
        <w:pStyle w:val="Heading3"/>
        <w:spacing w:before="180" w:after="240"/>
      </w:pPr>
      <w:bookmarkStart w:id="9" w:name="additional-files"/>
      <w:bookmarkEnd w:id="9"/>
      <w:r>
        <w:lastRenderedPageBreak/>
        <w:t>Additional Files</w:t>
      </w:r>
    </w:p>
    <w:p w14:paraId="60AF7F42" w14:textId="77777777" w:rsidR="002D1C67" w:rsidRDefault="003143A2" w:rsidP="00690BB1">
      <w:pPr>
        <w:spacing w:after="240"/>
      </w:pPr>
      <w:r>
        <w:rPr>
          <w:b/>
        </w:rPr>
        <w:t>Additional file 1: Figure S1. Random forest feature selection for detecting adenomas.</w:t>
      </w:r>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14:paraId="47B1F1F9" w14:textId="77777777" w:rsidR="002D1C67" w:rsidRDefault="003143A2" w:rsidP="00690BB1">
      <w:pPr>
        <w:spacing w:after="240"/>
      </w:pPr>
      <w:r>
        <w:rPr>
          <w:b/>
        </w:rPr>
        <w:t>Additional file 2: Figure S2. Random forest feature selection for detecting cancers.</w:t>
      </w:r>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14:paraId="109CC5FC" w14:textId="77777777" w:rsidR="002D1C67" w:rsidRDefault="003143A2" w:rsidP="00690BB1">
      <w:pPr>
        <w:spacing w:after="240"/>
      </w:pPr>
      <w:r>
        <w:rPr>
          <w:b/>
        </w:rPr>
        <w:t>Additional file 3: Figure S3. Bacterial OTUs in MMT.</w:t>
      </w:r>
      <w:r>
        <w:t xml:space="preserve"> (left) Importance of each OTU used in the MMT as measured by the mean decrease in the Gini index when the OTU is removed from the model. (right) Stripchart of the relative abundances of each OTU in the MMT with black lines at the medians.</w:t>
      </w:r>
    </w:p>
    <w:p w14:paraId="696416EE" w14:textId="77777777" w:rsidR="002D1C67" w:rsidRDefault="003143A2" w:rsidP="00690BB1">
      <w:pPr>
        <w:spacing w:after="240"/>
      </w:pPr>
      <w:r>
        <w:rPr>
          <w:b/>
        </w:rPr>
        <w:t>Additional file 4: Figure S4. MMT performance by sex.</w:t>
      </w:r>
      <w:r>
        <w:t xml:space="preserve"> ROC curves (left) and stripchart (right) of MMT results separated by sex.</w:t>
      </w:r>
    </w:p>
    <w:sectPr w:rsidR="002D1C67" w:rsidSect="003143A2">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DCCF2" w14:textId="77777777" w:rsidR="003143A2" w:rsidRDefault="003143A2">
      <w:pPr>
        <w:spacing w:before="0" w:after="0" w:line="240" w:lineRule="auto"/>
      </w:pPr>
      <w:r>
        <w:separator/>
      </w:r>
    </w:p>
  </w:endnote>
  <w:endnote w:type="continuationSeparator" w:id="0">
    <w:p w14:paraId="318757BF" w14:textId="77777777" w:rsidR="003143A2" w:rsidRDefault="003143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B4945" w14:textId="77777777" w:rsidR="003143A2" w:rsidRDefault="003143A2" w:rsidP="003143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56CF9B" w14:textId="77777777" w:rsidR="003143A2" w:rsidRDefault="003143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58888" w14:textId="77777777" w:rsidR="003143A2" w:rsidRDefault="003143A2" w:rsidP="003143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14D7">
      <w:rPr>
        <w:rStyle w:val="PageNumber"/>
        <w:noProof/>
      </w:rPr>
      <w:t>26</w:t>
    </w:r>
    <w:r>
      <w:rPr>
        <w:rStyle w:val="PageNumber"/>
      </w:rPr>
      <w:fldChar w:fldCharType="end"/>
    </w:r>
  </w:p>
  <w:p w14:paraId="14737EAF" w14:textId="77777777" w:rsidR="003143A2" w:rsidRDefault="003143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0A61E" w14:textId="77777777" w:rsidR="003143A2" w:rsidRDefault="003143A2">
      <w:pPr>
        <w:spacing w:before="0" w:after="0" w:line="240" w:lineRule="auto"/>
      </w:pPr>
      <w:r>
        <w:separator/>
      </w:r>
    </w:p>
  </w:footnote>
  <w:footnote w:type="continuationSeparator" w:id="0">
    <w:p w14:paraId="00AA6C12" w14:textId="77777777" w:rsidR="003143A2" w:rsidRDefault="003143A2">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3A1DF02"/>
    <w:multiLevelType w:val="multilevel"/>
    <w:tmpl w:val="44283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7D1D"/>
    <w:rsid w:val="001F14D7"/>
    <w:rsid w:val="002D1C67"/>
    <w:rsid w:val="003143A2"/>
    <w:rsid w:val="004E29B3"/>
    <w:rsid w:val="00590D07"/>
    <w:rsid w:val="005D7571"/>
    <w:rsid w:val="00690BB1"/>
    <w:rsid w:val="006A4D51"/>
    <w:rsid w:val="00784D58"/>
    <w:rsid w:val="008D6863"/>
    <w:rsid w:val="00B86B75"/>
    <w:rsid w:val="00BC48D5"/>
    <w:rsid w:val="00C36279"/>
    <w:rsid w:val="00CD101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0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3143A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143A2"/>
    <w:rPr>
      <w:rFonts w:ascii="Lucida Grande" w:hAnsi="Lucida Grande" w:cs="Lucida Grande"/>
      <w:sz w:val="18"/>
      <w:szCs w:val="18"/>
    </w:rPr>
  </w:style>
  <w:style w:type="character" w:styleId="Hyperlink">
    <w:name w:val="Hyperlink"/>
    <w:basedOn w:val="DefaultParagraphFont"/>
    <w:rsid w:val="00CD10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3143A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143A2"/>
    <w:rPr>
      <w:rFonts w:ascii="Lucida Grande" w:hAnsi="Lucida Grande" w:cs="Lucida Grande"/>
      <w:sz w:val="18"/>
      <w:szCs w:val="18"/>
    </w:rPr>
  </w:style>
  <w:style w:type="character" w:styleId="Hyperlink">
    <w:name w:val="Hyperlink"/>
    <w:basedOn w:val="DefaultParagraphFont"/>
    <w:rsid w:val="00CD10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88842">
      <w:bodyDiv w:val="1"/>
      <w:marLeft w:val="0"/>
      <w:marRight w:val="0"/>
      <w:marTop w:val="0"/>
      <w:marBottom w:val="0"/>
      <w:divBdr>
        <w:top w:val="none" w:sz="0" w:space="0" w:color="auto"/>
        <w:left w:val="none" w:sz="0" w:space="0" w:color="auto"/>
        <w:bottom w:val="none" w:sz="0" w:space="0" w:color="auto"/>
        <w:right w:val="none" w:sz="0" w:space="0" w:color="auto"/>
      </w:divBdr>
    </w:div>
    <w:div w:id="638605929">
      <w:bodyDiv w:val="1"/>
      <w:marLeft w:val="0"/>
      <w:marRight w:val="0"/>
      <w:marTop w:val="0"/>
      <w:marBottom w:val="0"/>
      <w:divBdr>
        <w:top w:val="none" w:sz="0" w:space="0" w:color="auto"/>
        <w:left w:val="none" w:sz="0" w:space="0" w:color="auto"/>
        <w:bottom w:val="none" w:sz="0" w:space="0" w:color="auto"/>
        <w:right w:val="none" w:sz="0" w:space="0" w:color="auto"/>
      </w:divBdr>
    </w:div>
    <w:div w:id="698705006">
      <w:bodyDiv w:val="1"/>
      <w:marLeft w:val="0"/>
      <w:marRight w:val="0"/>
      <w:marTop w:val="0"/>
      <w:marBottom w:val="0"/>
      <w:divBdr>
        <w:top w:val="none" w:sz="0" w:space="0" w:color="auto"/>
        <w:left w:val="none" w:sz="0" w:space="0" w:color="auto"/>
        <w:bottom w:val="none" w:sz="0" w:space="0" w:color="auto"/>
        <w:right w:val="none" w:sz="0" w:space="0" w:color="auto"/>
      </w:divBdr>
    </w:div>
    <w:div w:id="1262374884">
      <w:bodyDiv w:val="1"/>
      <w:marLeft w:val="0"/>
      <w:marRight w:val="0"/>
      <w:marTop w:val="0"/>
      <w:marBottom w:val="0"/>
      <w:divBdr>
        <w:top w:val="none" w:sz="0" w:space="0" w:color="auto"/>
        <w:left w:val="none" w:sz="0" w:space="0" w:color="auto"/>
        <w:bottom w:val="none" w:sz="0" w:space="0" w:color="auto"/>
        <w:right w:val="none" w:sz="0" w:space="0" w:color="auto"/>
      </w:divBdr>
    </w:div>
    <w:div w:id="1282569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schloss@umich.edu" TargetMode="External"/><Relationship Id="rId12" Type="http://schemas.openxmlformats.org/officeDocument/2006/relationships/hyperlink" Target="http://www.github.com/SchlossLab/Baxter_glne007Modeling_2015"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tbaxter@umich.edu" TargetMode="External"/><Relationship Id="rId9" Type="http://schemas.openxmlformats.org/officeDocument/2006/relationships/hyperlink" Target="mailto:mruffin@med.umich.edu" TargetMode="External"/><Relationship Id="rId10" Type="http://schemas.openxmlformats.org/officeDocument/2006/relationships/hyperlink" Target="mailto:maryroge@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6210</Words>
  <Characters>35402</Characters>
  <Application>Microsoft Macintosh Word</Application>
  <DocSecurity>0</DocSecurity>
  <Lines>295</Lines>
  <Paragraphs>83</Paragraphs>
  <ScaleCrop>false</ScaleCrop>
  <Company>University of Michigan Medical School</Company>
  <LinksUpToDate>false</LinksUpToDate>
  <CharactersWithSpaces>41529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7</cp:revision>
  <dcterms:created xsi:type="dcterms:W3CDTF">2016-01-21T01:09:00Z</dcterms:created>
  <dcterms:modified xsi:type="dcterms:W3CDTF">2016-01-21T01:41:00Z</dcterms:modified>
</cp:coreProperties>
</file>