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F5BC9" w14:textId="77777777" w:rsidR="008F7CF0" w:rsidRDefault="001D7A82">
      <w:pPr>
        <w:pStyle w:val="Title"/>
      </w:pPr>
      <w:r>
        <w:t>Microbiota-based model improves the sensitivity for detecting colonic lesions</w:t>
      </w:r>
    </w:p>
    <w:p w14:paraId="53B0D4C2" w14:textId="77777777" w:rsidR="008F7CF0" w:rsidRDefault="001D7A82" w:rsidP="001D7A82">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41DEECCC" w14:textId="41E94FDA" w:rsidR="008F7CF0" w:rsidRDefault="001D7A82" w:rsidP="001D7A82">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del w:id="0" w:author="Niel Baxter" w:date="2016-01-14T13:39:00Z">
        <w:r w:rsidR="006C5A11">
          <w:delText xml:space="preserve">To whom correspondence should be addressed: </w:delText>
        </w:r>
        <w:r w:rsidR="000F1D5E">
          <w:fldChar w:fldCharType="begin"/>
        </w:r>
        <w:r w:rsidR="000F1D5E">
          <w:delInstrText xml:space="preserve"> HYPERLINK "mailto:pschloss@umich.edu" \h </w:delInstrText>
        </w:r>
        <w:r w:rsidR="000F1D5E">
          <w:fldChar w:fldCharType="separate"/>
        </w:r>
        <w:r w:rsidR="006C5A11">
          <w:rPr>
            <w:rStyle w:val="Link"/>
          </w:rPr>
          <w:delText>pschloss@umich.edu</w:delText>
        </w:r>
        <w:r w:rsidR="000F1D5E">
          <w:rPr>
            <w:rStyle w:val="Link"/>
          </w:rPr>
          <w:fldChar w:fldCharType="end"/>
        </w:r>
      </w:del>
      <w:ins w:id="1" w:author="Niel Baxter" w:date="2016-01-14T13:39:00Z">
        <w:r>
          <w:t>Corresponding author</w:t>
        </w:r>
      </w:ins>
    </w:p>
    <w:p w14:paraId="202F222E" w14:textId="77777777" w:rsidR="001D7A82" w:rsidRPr="000F1D5E" w:rsidRDefault="001D7A82" w:rsidP="00A55AB2">
      <w:pPr>
        <w:jc w:val="left"/>
        <w:rPr>
          <w:rStyle w:val="Link"/>
        </w:rPr>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t xml:space="preserve">PDS: </w:t>
      </w:r>
      <w:hyperlink r:id="rId12">
        <w:r>
          <w:rPr>
            <w:rStyle w:val="Link"/>
          </w:rPr>
          <w:t>pschloss@umich.edu</w:t>
        </w:r>
      </w:hyperlink>
      <w:ins w:id="2" w:author="Niel Baxter" w:date="2016-01-14T13:39:00Z">
        <w:r>
          <w:rPr>
            <w:rStyle w:val="Link"/>
          </w:rPr>
          <w:br w:type="page"/>
        </w:r>
      </w:ins>
    </w:p>
    <w:p w14:paraId="4B3F10E8" w14:textId="77777777" w:rsidR="008F7CF0" w:rsidRDefault="001D7A82" w:rsidP="000F1D5E">
      <w:pPr>
        <w:pStyle w:val="Heading3"/>
        <w:spacing w:before="180" w:after="360"/>
      </w:pPr>
      <w:bookmarkStart w:id="3" w:name="abstract"/>
      <w:bookmarkEnd w:id="3"/>
      <w:r>
        <w:lastRenderedPageBreak/>
        <w:t>Abstract</w:t>
      </w:r>
    </w:p>
    <w:p w14:paraId="4D787816" w14:textId="77777777" w:rsidR="008F7CF0" w:rsidRDefault="001D7A82" w:rsidP="000F1D5E">
      <w:pPr>
        <w:spacing w:after="360"/>
      </w:pPr>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21A3BBBC" w14:textId="3922DB9F" w:rsidR="008F7CF0" w:rsidRDefault="001D7A82" w:rsidP="000F1D5E">
      <w:pPr>
        <w:spacing w:after="360"/>
      </w:pPr>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2165E9AD" w14:textId="77777777" w:rsidR="008F7CF0" w:rsidRDefault="001D7A82" w:rsidP="000F1D5E">
      <w:pPr>
        <w:spacing w:after="360"/>
      </w:pPr>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5DC2452C" w14:textId="77777777" w:rsidR="008F7CF0" w:rsidRDefault="001D7A82" w:rsidP="000F1D5E">
      <w:pPr>
        <w:spacing w:after="360"/>
      </w:pPr>
      <w:r>
        <w:rPr>
          <w:b/>
        </w:rPr>
        <w:t>Conclusions</w:t>
      </w:r>
      <w:r>
        <w:br/>
        <w:t>These findings demonstrate the potential for microbiota analysis to complement existing screening methods to improve detection of colonic lesions.</w:t>
      </w:r>
    </w:p>
    <w:p w14:paraId="00E49316" w14:textId="77777777" w:rsidR="008F7CF0" w:rsidRDefault="001D7A82" w:rsidP="000F1D5E">
      <w:pPr>
        <w:pStyle w:val="Heading3"/>
        <w:spacing w:before="180" w:after="360"/>
      </w:pPr>
      <w:bookmarkStart w:id="4" w:name="background"/>
      <w:bookmarkEnd w:id="4"/>
      <w:r>
        <w:t>Background</w:t>
      </w:r>
    </w:p>
    <w:p w14:paraId="5BEB6E42" w14:textId="77777777" w:rsidR="008F7CF0" w:rsidRDefault="001D7A82" w:rsidP="000F1D5E">
      <w:pPr>
        <w:spacing w:after="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71F1CDD0" w14:textId="6749EA92" w:rsidR="008F7CF0" w:rsidRDefault="001D7A82" w:rsidP="000F1D5E">
      <w:pPr>
        <w:spacing w:after="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[7–12]. Experiments in animal models have demonstrated that such alterations have the potential to accelerate tumorigenesis [13]. Furthermore, several members of the gut microbiota have been shown to potentiate both the development and progression of CRC by a variety of mechanisms [14–16].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6471A92F" w14:textId="1C503B85" w:rsidR="008F7CF0" w:rsidRDefault="001D7A82" w:rsidP="000F1D5E">
      <w:pPr>
        <w:spacing w:after="360"/>
      </w:pPr>
      <w:r>
        <w:t>Two recent studies used statistical models that take into account the abundances of multiple bacterial species and the results of guaic fecal occult blood test (gFOBT) to distinguish healthy individuals from those with CRC [17, 18]. The analysis by Zackular et al. [17] used samples from a limited number of subjects (N=30 normal, 30 adenoma, and 30 carcinoma), while that of Zeller et al [18]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77745D64" w14:textId="61C8DB39" w:rsidR="008F7CF0" w:rsidRDefault="001D7A82" w:rsidP="000F1D5E">
      <w:pPr>
        <w:spacing w:after="360"/>
      </w:pPr>
      <w:r>
        <w:lastRenderedPageBreak/>
        <w:t>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[19].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462FC60E" w14:textId="77777777" w:rsidR="008F7CF0" w:rsidRDefault="001D7A82" w:rsidP="000F1D5E">
      <w:pPr>
        <w:pStyle w:val="Heading3"/>
        <w:spacing w:before="180" w:after="360"/>
      </w:pPr>
      <w:bookmarkStart w:id="5" w:name="methods"/>
      <w:bookmarkEnd w:id="5"/>
      <w:r>
        <w:t>Methods</w:t>
      </w:r>
    </w:p>
    <w:p w14:paraId="31CDE353" w14:textId="0287D9C9" w:rsidR="008F7CF0" w:rsidRDefault="001D7A82" w:rsidP="000F1D5E">
      <w:pPr>
        <w:spacing w:after="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preparation[20]. Stool samples were packed in ice, shipped to a processing center via next day delivery and stored at -80˚C. The University of Michigan Institutional Review Board approved this study, and all subjects provided informed consent</w:t>
      </w:r>
      <w:ins w:id="6" w:author="Niel Baxter" w:date="2016-01-14T13:39:00Z">
        <w:r>
          <w:t>.</w:t>
        </w:r>
        <w:r w:rsidR="00A55AB2">
          <w:t xml:space="preserve"> This study conformed to the guidelines of the Helsinki Declaration</w:t>
        </w:r>
      </w:ins>
      <w:r w:rsidR="00A55AB2">
        <w:t>.</w:t>
      </w:r>
    </w:p>
    <w:p w14:paraId="4296B1A2" w14:textId="77777777" w:rsidR="008F7CF0" w:rsidRDefault="001D7A82" w:rsidP="000F1D5E">
      <w:pPr>
        <w:spacing w:after="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2A295C75" w14:textId="23250E00" w:rsidR="008F7CF0" w:rsidRDefault="001D7A82" w:rsidP="000F1D5E">
      <w:pPr>
        <w:spacing w:after="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[21].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0FCCCEB9" w14:textId="69A82EDF" w:rsidR="008F7CF0" w:rsidRDefault="001D7A82" w:rsidP="000F1D5E">
      <w:pPr>
        <w:spacing w:after="360"/>
      </w:pPr>
      <w:r>
        <w:rPr>
          <w:b/>
        </w:rPr>
        <w:lastRenderedPageBreak/>
        <w:t>Sequence Curation.</w:t>
      </w:r>
      <w:r>
        <w:t xml:space="preserve"> The 16S rRNA gene sequences were curated using the mothur software package, as described previously [21].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[22].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14:paraId="3F2336FF" w14:textId="70933C85" w:rsidR="001D7A82" w:rsidRDefault="001D7A82" w:rsidP="000F1D5E">
      <w:pPr>
        <w:spacing w:after="360"/>
      </w:pPr>
      <w:r>
        <w:rPr>
          <w:b/>
        </w:rPr>
        <w:t>Statistical Methods.</w:t>
      </w:r>
      <w:r>
        <w:t xml:space="preserve"> All statistical analyses were performed using R (v.3.2.0). Random Forest models were generated using the AUCRF package [23]. The AUC of ROC curves were compared using the method described by DeLong et al. [24]. The optimal cutoff for the MMT was determined using Youden's </w:t>
      </w:r>
      <w:r>
        <w:rPr>
          <w:i/>
        </w:rPr>
        <w:t>J</w:t>
      </w:r>
      <w:r>
        <w:t xml:space="preserve"> statistic as implemented in the pROC package in R [25]. The sensitivities of FIT and the MMT were compared using McNemar's Chi-squared test. To control for diagnosis while testing the effects of sex on the microbiome we used PERMANOVA as implemented in the adonis function in the vegan R package [26].</w:t>
      </w:r>
      <w:r>
        <w:br w:type="page"/>
      </w:r>
    </w:p>
    <w:p w14:paraId="4501996C" w14:textId="77777777" w:rsidR="008F7CF0" w:rsidRDefault="001D7A82" w:rsidP="000F1D5E">
      <w:pPr>
        <w:pStyle w:val="Heading3"/>
        <w:spacing w:before="180" w:after="360"/>
      </w:pPr>
      <w:bookmarkStart w:id="7" w:name="results"/>
      <w:bookmarkEnd w:id="7"/>
      <w:r>
        <w:lastRenderedPageBreak/>
        <w:t>Results</w:t>
      </w:r>
    </w:p>
    <w:p w14:paraId="69679455" w14:textId="320AFA6E" w:rsidR="008F7CF0" w:rsidRDefault="001D7A82" w:rsidP="000F1D5E">
      <w:pPr>
        <w:spacing w:after="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[23]. The optimal model utilized 22 bacterial populations (Fig. S1A).</w:t>
      </w:r>
      <w:ins w:id="8" w:author="Niel Baxter" w:date="2016-01-14T13:39:00Z">
        <w:r>
          <w:t xml:space="preserve"> The vast majority of OTUs in the model (17 out of 22) belonged to the order </w:t>
        </w:r>
        <w:proofErr w:type="spellStart"/>
        <w:r>
          <w:t>Clostridales</w:t>
        </w:r>
        <w:proofErr w:type="spellEnd"/>
        <w:r>
          <w:t xml:space="preserve">, 4 were associated with the genus </w:t>
        </w:r>
        <w:r>
          <w:rPr>
            <w:i/>
          </w:rPr>
          <w:t>Bacteroides</w:t>
        </w:r>
        <w:r>
          <w:t xml:space="preserve">, and one OTU was </w:t>
        </w:r>
        <w:proofErr w:type="spellStart"/>
        <w:r>
          <w:t>uclassified</w:t>
        </w:r>
        <w:proofErr w:type="spellEnd"/>
        <w:r>
          <w:t xml:space="preserve"> (Fig. S1B).</w:t>
        </w:r>
      </w:ins>
      <w:r>
        <w:t xml:space="preserve"> The AUC for the microbiota model (0.673) was significantly different from a random assignment (p&lt;0.001), but not significantly different from that of FIT (FIT AUC:0.639, p&gt;0.05, Fig. 1A). At the 100ng/ml cutoff FIT detected 15.7% of </w:t>
      </w:r>
      <w:del w:id="9" w:author="Niel Baxter" w:date="2016-01-14T13:39:00Z">
        <w:r w:rsidR="006C5A11">
          <w:delText>cancers</w:delText>
        </w:r>
      </w:del>
      <w:ins w:id="10" w:author="Niel Baxter" w:date="2016-01-14T13:39:00Z">
        <w:r>
          <w:t>adenomas</w:t>
        </w:r>
      </w:ins>
      <w:r>
        <w:t xml:space="preserve">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45B26163" w14:textId="535A98DB" w:rsidR="008F7CF0" w:rsidRDefault="001D7A82" w:rsidP="000F1D5E">
      <w:pPr>
        <w:spacing w:after="360"/>
      </w:pPr>
      <w:r>
        <w:t xml:space="preserve">Next we generated a random forest model for differentiating normal individuals from those with cancer using the relative abundance </w:t>
      </w:r>
      <w:ins w:id="11" w:author="Niel Baxter" w:date="2016-01-14T13:39:00Z">
        <w:r>
          <w:t xml:space="preserve">of </w:t>
        </w:r>
      </w:ins>
      <w:r>
        <w:t xml:space="preserve">34 bacterial populations (Fig. S2A). Consistent </w:t>
      </w:r>
      <w:r>
        <w:lastRenderedPageBreak/>
        <w:t xml:space="preserve">with previous observations, the bacteria most strongly associated with CRC belonged to taxa commonly associated with periodontal disease [18, 27, 28].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0.847, which was similar to AUCs reported for other microbiota-based models for CRC [17, 18] 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674EEB01" w14:textId="045307E0" w:rsidR="008F7CF0" w:rsidRDefault="001D7A82" w:rsidP="000F1D5E">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w:t>
      </w:r>
      <w:ins w:id="12" w:author="Niel Baxter" w:date="2016-01-14T13:39:00Z">
        <w:r>
          <w:t>.</w:t>
        </w:r>
      </w:ins>
      <w:r>
        <w:t xml:space="preserve"> Of those OTUs, 16 were members of the Firmicutes phylum, including 3 from the Ruminococcaceae family and 10 from the Lachnospiraceae family (Fig. </w:t>
      </w:r>
      <w:del w:id="13" w:author="Niel Baxter" w:date="2016-01-14T13:39:00Z">
        <w:r w:rsidR="006C5A11">
          <w:delText>S4</w:delText>
        </w:r>
      </w:del>
      <w:ins w:id="14" w:author="Niel Baxter" w:date="2016-01-14T13:39:00Z">
        <w:r>
          <w:t>S3</w:t>
        </w:r>
      </w:ins>
      <w:r>
        <w:t xml:space="preserve">). Three OTUs were associated with the genus </w:t>
      </w:r>
      <w:r>
        <w:rPr>
          <w:i/>
        </w:rPr>
        <w:t>Bacteroides</w:t>
      </w:r>
      <w:r>
        <w:t xml:space="preserve">. The remaining OTUs were associated with </w:t>
      </w:r>
      <w:r>
        <w:rPr>
          <w:i/>
        </w:rPr>
        <w:lastRenderedPageBreak/>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xml:space="preserve">, which has been previously shown to be predictive of CRC [17, 18, 29]. Interestingly the majority of OTU used in the model, especially the Lachnospiraceae, were enriched in normal patients (Fig. </w:t>
      </w:r>
      <w:ins w:id="15" w:author="Niel Baxter" w:date="2016-01-14T13:39:00Z">
        <w:r>
          <w:t>S3</w:t>
        </w:r>
      </w:ins>
      <w:r>
        <w:t>), suggesting that a loss of beneficial organisms in addition to the emergence of pathogens may be indicative of CRC development.</w:t>
      </w:r>
    </w:p>
    <w:p w14:paraId="599A6F9C" w14:textId="037DC1E1" w:rsidR="008F7CF0" w:rsidRDefault="001D7A82" w:rsidP="000F1D5E">
      <w:pPr>
        <w:spacing w:after="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[25].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w:t>
      </w:r>
      <w:r>
        <w:lastRenderedPageBreak/>
        <w:t>increased sensitivity of the MMT was accompanied by a decrease in specificity (83.7%) compared to FIT (97.1%).</w:t>
      </w:r>
    </w:p>
    <w:p w14:paraId="14B8A33E" w14:textId="77777777" w:rsidR="008F7CF0" w:rsidRDefault="001D7A82" w:rsidP="000F1D5E">
      <w:pPr>
        <w:spacing w:after="360"/>
      </w:pPr>
      <w:r>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0A5B46C3" w14:textId="491334C6" w:rsidR="008F7CF0" w:rsidRDefault="001D7A82" w:rsidP="000F1D5E">
      <w:pPr>
        <w:spacing w:after="360"/>
      </w:pPr>
      <w:r>
        <w:t>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 [30].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14:paraId="6AB65405" w14:textId="7870BCD2" w:rsidR="008F7CF0" w:rsidRDefault="001D7A82" w:rsidP="000F1D5E">
      <w:pPr>
        <w:spacing w:after="360"/>
      </w:pPr>
      <w:r>
        <w:rPr>
          <w:b/>
          <w:i/>
        </w:rPr>
        <w:lastRenderedPageBreak/>
        <w:t xml:space="preserve">Effect of </w:t>
      </w:r>
      <w:del w:id="16" w:author="Niel Baxter" w:date="2016-01-14T13:39:00Z">
        <w:r w:rsidR="006C5A11">
          <w:rPr>
            <w:b/>
            <w:i/>
          </w:rPr>
          <w:delText>sex</w:delText>
        </w:r>
      </w:del>
      <w:ins w:id="17" w:author="Niel Baxter" w:date="2016-01-14T13:39:00Z">
        <w:r>
          <w:rPr>
            <w:b/>
            <w:i/>
          </w:rPr>
          <w:t>patient characteristics</w:t>
        </w:r>
      </w:ins>
      <w:r>
        <w:rPr>
          <w:b/>
          <w:i/>
        </w:rPr>
        <w:t xml:space="preserve"> on model performance.</w:t>
      </w:r>
      <w:r>
        <w:t xml:space="preserve"> Previous studies have identified differences in diagnostic test performance for certain demographic groups or for people taking certain medications [31–33].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w:t>
      </w:r>
      <w:del w:id="18" w:author="Niel Baxter" w:date="2016-01-14T13:39:00Z">
        <w:r w:rsidR="006C5A11">
          <w:delText>S6</w:delText>
        </w:r>
      </w:del>
      <w:ins w:id="19" w:author="Niel Baxter" w:date="2016-01-14T13:39:00Z">
        <w:r>
          <w:t>S4</w:t>
        </w:r>
      </w:ins>
      <w:r>
        <w:t>).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6FC231F5" w14:textId="77777777" w:rsidR="008F7CF0" w:rsidRDefault="001D7A82" w:rsidP="001D7A82">
      <w:pPr>
        <w:spacing w:after="360"/>
        <w:rPr>
          <w:ins w:id="20" w:author="Niel Baxter" w:date="2016-01-14T13:39:00Z"/>
        </w:rPr>
      </w:pPr>
      <w:ins w:id="21" w:author="Niel Baxter" w:date="2016-01-14T13:39:00Z">
        <w:r>
          <w:t xml:space="preserve">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w:t>
        </w:r>
        <w:r>
          <w:lastRenderedPageBreak/>
          <w:t>specificity as the MMT (83.7%), it had significantly higher sensitivity for lesions (78.3%) than the MMT (71.4%, p=0.03). This result supports our previous observations that patient metadata could be used to further improve screening accuracy.</w:t>
        </w:r>
      </w:ins>
    </w:p>
    <w:p w14:paraId="080384A9" w14:textId="77777777" w:rsidR="008F7CF0" w:rsidRDefault="001D7A82" w:rsidP="000F1D5E">
      <w:pPr>
        <w:pStyle w:val="Heading3"/>
        <w:spacing w:before="180" w:after="360"/>
      </w:pPr>
      <w:bookmarkStart w:id="22" w:name="discussion"/>
      <w:bookmarkEnd w:id="22"/>
      <w:r>
        <w:t>Discussion</w:t>
      </w:r>
    </w:p>
    <w:p w14:paraId="0A04F63A" w14:textId="77777777" w:rsidR="008F7CF0" w:rsidRDefault="001D7A82" w:rsidP="000F1D5E">
      <w:pPr>
        <w:spacing w:after="360"/>
      </w:pPr>
      <w:r>
        <w:t>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ins w:id="23" w:author="Niel Baxter" w:date="2016-01-14T13:39:00Z">
        <w:r>
          <w:t xml:space="preserve"> One way to approach screening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w:t>
        </w:r>
        <w:r>
          <w:lastRenderedPageBreak/>
          <w:t>yield better patient outcomes (to include both likely benefits of early diagnosis as well as adverse effects of unnecessary testing).</w:t>
        </w:r>
      </w:ins>
    </w:p>
    <w:p w14:paraId="7B66D6B3" w14:textId="2C598482" w:rsidR="008F7CF0" w:rsidRDefault="001D7A82" w:rsidP="000F1D5E">
      <w:pPr>
        <w:spacing w:after="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[15, 16, 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[34]. Such models are likely to be useful as microbiota sequencing gains traction as a tool for characterizing health.</w:t>
      </w:r>
    </w:p>
    <w:p w14:paraId="334783BE" w14:textId="3F1C6332" w:rsidR="008F7CF0" w:rsidRDefault="001D7A82" w:rsidP="000F1D5E">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t>Parvimonas micra</w:t>
      </w:r>
      <w:r>
        <w:t xml:space="preserve"> (OTU281), were excluded from the MMT. </w:t>
      </w:r>
      <w:ins w:id="24" w:author="Niel Baxter" w:date="2016-01-14T13:39:00Z">
        <w:r>
          <w:t xml:space="preserve">This is likely due to these OTUs being significantly correlated FIT (all p&lt;0.001, Spearman correlation), meaning they add little information when used in combination with FIT. </w:t>
        </w:r>
      </w:ins>
      <w:r>
        <w:t xml:space="preserve">Instead the MMT is enriched for </w:t>
      </w:r>
      <w:r>
        <w:lastRenderedPageBreak/>
        <w:t xml:space="preserve">OTUs that help detect adenomas. Thus the MMT model relies primarily on FIT for detecting cancer, and uses the microbiota to </w:t>
      </w:r>
      <w:ins w:id="25" w:author="Niel Baxter" w:date="2016-01-14T13:39:00Z">
        <w:r>
          <w:t xml:space="preserve">help </w:t>
        </w:r>
      </w:ins>
      <w:r>
        <w:t>identify adenomas</w:t>
      </w:r>
      <w:ins w:id="26" w:author="Niel Baxter" w:date="2016-01-14T13:39:00Z">
        <w:r>
          <w:t xml:space="preserve"> undetectable by FIT alone</w:t>
        </w:r>
      </w:ins>
      <w:r>
        <w:t xml:space="preserv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[35–38]. Likewise Zeller et al. observed a depletion of butyrate-producing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5995ED75" w14:textId="2B005FDE" w:rsidR="008F7CF0" w:rsidRDefault="006C5A11" w:rsidP="000F1D5E">
      <w:pPr>
        <w:spacing w:after="360"/>
      </w:pPr>
      <w:del w:id="27" w:author="Niel Baxter" w:date="2016-01-14T13:39:00Z">
        <w:r>
          <w:delText>All previous studies describing differences in the gut microbiota of individuals with varying stages of CRC, including this one, have relied on samples</w:delText>
        </w:r>
      </w:del>
      <w:ins w:id="28" w:author="Niel Baxter" w:date="2016-01-14T13:39:00Z">
        <w:r w:rsidR="001D7A82">
          <w:t>The biggest shortcoming for this study is that the model was not applied to separate validation set. Doing so would require a dataset containing both FIT results and sequences of the V4 region of the 16S rRNA gene. To our knowledge, such a dataset is not available, making it impossible to further validate the MMT model at this time. Another potential shortcoming of this experiment is that many of the samples were</w:t>
        </w:r>
      </w:ins>
      <w:r w:rsidR="001D7A82">
        <w:t xml:space="preserve"> collected after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t>
      </w:r>
      <w:r w:rsidR="001D7A82">
        <w:lastRenderedPageBreak/>
        <w:t>were collected prior to colonoscopy. Furthermore, future development of this approach will require prospective sampling of additional individuals to demonstrate the clinical potential of the approach.</w:t>
      </w:r>
    </w:p>
    <w:p w14:paraId="67C38EBF" w14:textId="2ADFA733" w:rsidR="008F7CF0" w:rsidRDefault="001D7A82" w:rsidP="000F1D5E">
      <w:pPr>
        <w:spacing w:after="360"/>
      </w:pPr>
      <w:r>
        <w:t xml:space="preserve">Like other groups before us,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[39].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 [40], alterations in the oral community could potentially be a proxy for ongoing or future changes to the gut community.</w:t>
      </w:r>
    </w:p>
    <w:p w14:paraId="54482F25" w14:textId="77777777" w:rsidR="008F7CF0" w:rsidRDefault="001D7A82" w:rsidP="000F1D5E">
      <w:pPr>
        <w:pStyle w:val="Heading3"/>
        <w:spacing w:before="180" w:after="360"/>
      </w:pPr>
      <w:bookmarkStart w:id="29" w:name="conclusions"/>
      <w:bookmarkEnd w:id="29"/>
      <w:r>
        <w:t>Conclusions</w:t>
      </w:r>
    </w:p>
    <w:p w14:paraId="70457EA6" w14:textId="77777777" w:rsidR="008F7CF0" w:rsidRDefault="001D7A82" w:rsidP="000F1D5E">
      <w:pPr>
        <w:spacing w:after="360"/>
      </w:pPr>
      <w:r>
        <w:t>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ins w:id="30" w:author="Niel Baxter" w:date="2016-01-14T13:39:00Z">
        <w:r>
          <w:br w:type="page"/>
        </w:r>
      </w:ins>
    </w:p>
    <w:p w14:paraId="351888D6" w14:textId="77777777" w:rsidR="008F7CF0" w:rsidRDefault="001D7A82" w:rsidP="000F1D5E">
      <w:pPr>
        <w:spacing w:after="360"/>
        <w:jc w:val="left"/>
      </w:pPr>
      <w:bookmarkStart w:id="31" w:name="declarations"/>
      <w:bookmarkEnd w:id="31"/>
      <w:r>
        <w:rPr>
          <w:b/>
        </w:rPr>
        <w:lastRenderedPageBreak/>
        <w:t>Abbreviations:</w:t>
      </w:r>
      <w:r>
        <w:br/>
        <w:t>FIT: fecal immunochemical test</w:t>
      </w:r>
      <w:r>
        <w:br/>
        <w:t>gFOBT: guaic fecal occult blood test</w:t>
      </w:r>
      <w:r>
        <w:br/>
        <w:t>OTU: operational taxonomic unit</w:t>
      </w:r>
      <w:r>
        <w:br/>
        <w:t>MMT: multitarget microbiota test</w:t>
      </w:r>
    </w:p>
    <w:p w14:paraId="09464E31" w14:textId="07546957" w:rsidR="008F7CF0" w:rsidRDefault="001D7A82" w:rsidP="000F1D5E">
      <w:pPr>
        <w:spacing w:after="360"/>
      </w:pPr>
      <w:r>
        <w:rPr>
          <w:b/>
        </w:rPr>
        <w:t>Availability of data and materials:</w:t>
      </w:r>
      <w:r>
        <w:t xml:space="preserve"> Raw fastq files and a MIMARKS file are available through the NCBI Sequence Read Archive [SRP062005]. The exact data processing steps including an automated workflow going from the raw sequence data to the final manuscript is available at </w:t>
      </w:r>
      <w:hyperlink r:id="rId13">
        <w:r>
          <w:rPr>
            <w:rStyle w:val="Link"/>
          </w:rPr>
          <w:t>www.github.com/SchlossLab/Baxter_glne007Modeling_2015</w:t>
        </w:r>
      </w:hyperlink>
      <w:r>
        <w:t>.</w:t>
      </w:r>
    </w:p>
    <w:p w14:paraId="6932561C" w14:textId="77777777" w:rsidR="008F7CF0" w:rsidRDefault="001D7A82" w:rsidP="000F1D5E">
      <w:pPr>
        <w:spacing w:after="360"/>
      </w:pPr>
      <w:r>
        <w:rPr>
          <w:b/>
        </w:rPr>
        <w:t>Competing interests:</w:t>
      </w:r>
      <w:r>
        <w:t xml:space="preserve"> The authors declare no competing financial interests.</w:t>
      </w:r>
    </w:p>
    <w:p w14:paraId="4B1E65BC" w14:textId="77777777" w:rsidR="008F7CF0" w:rsidRDefault="001D7A82" w:rsidP="000F1D5E">
      <w:pPr>
        <w:spacing w:after="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6831B6E9" w14:textId="77777777" w:rsidR="008F7CF0" w:rsidRDefault="001D7A82" w:rsidP="000F1D5E">
      <w:pPr>
        <w:spacing w:after="360"/>
      </w:pPr>
      <w:r>
        <w:rPr>
          <w:b/>
        </w:rPr>
        <w:t>Funding:</w:t>
      </w:r>
      <w:r>
        <w:t xml:space="preserve"> This study was supported by funding from the National Institutes of Health to P. Schloss (R01GM099514</w:t>
      </w:r>
      <w:ins w:id="32" w:author="Niel Baxter" w:date="2016-01-14T13:39:00Z">
        <w:r>
          <w:t>, P30DK034933</w:t>
        </w:r>
      </w:ins>
      <w:r>
        <w:t>) and to the Early Detection Research Network (U01CA86400).</w:t>
      </w:r>
    </w:p>
    <w:p w14:paraId="5642EBC6" w14:textId="77777777" w:rsidR="008F7CF0" w:rsidRDefault="001D7A82" w:rsidP="000F1D5E">
      <w:pPr>
        <w:spacing w:after="360"/>
      </w:pPr>
      <w:r>
        <w:rPr>
          <w:b/>
        </w:rPr>
        <w:t>Acknowledgements:</w:t>
      </w:r>
      <w:r>
        <w:t xml:space="preserve"> The authors thank the Great Lakes-New England Early Detection Research Network for providing the fecal samples that were used in this study.</w:t>
      </w:r>
    </w:p>
    <w:p w14:paraId="605BF0AE" w14:textId="77777777" w:rsidR="008F7CF0" w:rsidRDefault="001D7A82" w:rsidP="000F1D5E">
      <w:pPr>
        <w:pStyle w:val="Heading3"/>
      </w:pPr>
      <w:bookmarkStart w:id="33" w:name="figures"/>
      <w:bookmarkStart w:id="34" w:name="references"/>
      <w:bookmarkEnd w:id="33"/>
      <w:bookmarkEnd w:id="34"/>
      <w:r>
        <w:lastRenderedPageBreak/>
        <w:t>References</w:t>
      </w:r>
    </w:p>
    <w:p w14:paraId="422D36AD" w14:textId="77777777" w:rsidR="008F7CF0" w:rsidRDefault="001D7A82">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5B97612A" w14:textId="77777777" w:rsidR="008F7CF0" w:rsidRDefault="001D7A82">
      <w:pPr>
        <w:pStyle w:val="Bibliography"/>
      </w:pPr>
      <w:r>
        <w:t xml:space="preserve">2.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59776BB0" w14:textId="77777777" w:rsidR="008F7CF0" w:rsidRDefault="001D7A82">
      <w:pPr>
        <w:pStyle w:val="Bibliography"/>
      </w:pPr>
      <w:r>
        <w:t xml:space="preserve">3.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556B1A33" w14:textId="77777777" w:rsidR="008F7CF0" w:rsidRDefault="001D7A82">
      <w:pPr>
        <w:pStyle w:val="Bibliography"/>
      </w:pPr>
      <w:r>
        <w:t xml:space="preserve">4.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08D8F983" w14:textId="77777777" w:rsidR="008F7CF0" w:rsidRDefault="001D7A82">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6E8C80C" w14:textId="77777777" w:rsidR="008F7CF0" w:rsidRDefault="001D7A82">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2B4F2357" w14:textId="77777777" w:rsidR="008F7CF0" w:rsidRDefault="001D7A82">
      <w:pPr>
        <w:pStyle w:val="Bibliography"/>
      </w:pPr>
      <w:r>
        <w:t xml:space="preserve">7. Wang T, Cai G, Qiu Y, Fei N, Zhang M, Pang X, Jia W, Cai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160B962D" w14:textId="77777777" w:rsidR="008F7CF0" w:rsidRDefault="001D7A82">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558D0075" w14:textId="77777777" w:rsidR="008F7CF0" w:rsidRDefault="001D7A82">
      <w:pPr>
        <w:pStyle w:val="Bibliography"/>
      </w:pPr>
      <w:r>
        <w:t xml:space="preserve">9. Chen W, Liu F, Ling Z, Tong X, Xiang C: </w:t>
      </w:r>
      <w:r>
        <w:rPr>
          <w:b/>
        </w:rPr>
        <w:t>Human intestinal lumen and mucosa-associated microbiota in patients with colorectal cancer</w:t>
      </w:r>
      <w:r>
        <w:t xml:space="preserve">. </w:t>
      </w:r>
      <w:r>
        <w:rPr>
          <w:i/>
        </w:rPr>
        <w:t>PloS one</w:t>
      </w:r>
      <w:r>
        <w:t xml:space="preserve">. 2012, </w:t>
      </w:r>
      <w:r>
        <w:rPr>
          <w:b/>
        </w:rPr>
        <w:t>7</w:t>
      </w:r>
      <w:r>
        <w:t>:e39743.</w:t>
      </w:r>
    </w:p>
    <w:p w14:paraId="1D57669E" w14:textId="77777777" w:rsidR="008F7CF0" w:rsidRDefault="001D7A82">
      <w:pPr>
        <w:pStyle w:val="Bibliography"/>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3D087445" w14:textId="77777777" w:rsidR="008F7CF0" w:rsidRDefault="001D7A82">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8614FBD" w14:textId="0D56A6FC" w:rsidR="008F7CF0" w:rsidRDefault="001D7A82">
      <w:pPr>
        <w:pStyle w:val="Bibliography"/>
      </w:pPr>
      <w:r>
        <w:t xml:space="preserve">12. </w:t>
      </w:r>
      <w:proofErr w:type="spellStart"/>
      <w:ins w:id="35" w:author="Niel Baxter" w:date="2016-01-14T13:39:00Z">
        <w:r>
          <w:t>Feng</w:t>
        </w:r>
        <w:proofErr w:type="spellEnd"/>
        <w:r>
          <w:t xml:space="preserve"> Q, Liang S, </w:t>
        </w:r>
        <w:proofErr w:type="spellStart"/>
        <w:r>
          <w:t>Jia</w:t>
        </w:r>
        <w:proofErr w:type="spellEnd"/>
        <w:r>
          <w:t xml:space="preserve"> H, </w:t>
        </w:r>
        <w:proofErr w:type="spellStart"/>
        <w:r>
          <w:t>Stadlmayr</w:t>
        </w:r>
        <w:proofErr w:type="spellEnd"/>
        <w:r>
          <w:t xml:space="preserve"> A, Tang L, </w:t>
        </w:r>
        <w:proofErr w:type="spellStart"/>
        <w:r>
          <w:t>Lan</w:t>
        </w:r>
        <w:proofErr w:type="spellEnd"/>
        <w:r>
          <w:t xml:space="preserve"> Z, Zhang D, Xia H, </w:t>
        </w:r>
        <w:proofErr w:type="spellStart"/>
        <w:r>
          <w:t>Xu</w:t>
        </w:r>
        <w:proofErr w:type="spellEnd"/>
        <w:r>
          <w:t xml:space="preserve"> X, </w:t>
        </w:r>
        <w:proofErr w:type="spellStart"/>
        <w:r>
          <w:t>Jie</w:t>
        </w:r>
        <w:proofErr w:type="spellEnd"/>
        <w:r>
          <w:t xml:space="preserve"> Z, others: </w:t>
        </w:r>
        <w:r>
          <w:rPr>
            <w:b/>
          </w:rPr>
          <w:t>Gut microbiome development along the colorectal adenoma–carcinoma sequence</w:t>
        </w:r>
        <w:r>
          <w:t xml:space="preserve">. </w:t>
        </w:r>
        <w:r>
          <w:rPr>
            <w:i/>
          </w:rPr>
          <w:t>Nature communications</w:t>
        </w:r>
        <w:r>
          <w:t xml:space="preserve">. 2015, </w:t>
        </w:r>
        <w:r>
          <w:rPr>
            <w:b/>
          </w:rPr>
          <w:t>6</w:t>
        </w:r>
      </w:ins>
      <w:moveFromRangeStart w:id="36" w:author="Niel Baxter" w:date="2016-01-14T13:39:00Z" w:name="move314398082"/>
      <w:moveFrom w:id="37" w:author="Niel Baxter" w:date="2016-01-14T13:39:00Z">
        <w:r>
          <w:t xml:space="preserve">Zackular JP, Baxter NT, Iverson KD, Sadler WD, Petrosino JF, Chen GY, Schloss PD: </w:t>
        </w:r>
        <w:r>
          <w:rPr>
            <w:b/>
          </w:rPr>
          <w:t>The gut microbiome modulates colon tumorigenesis</w:t>
        </w:r>
        <w:r>
          <w:t xml:space="preserve">. </w:t>
        </w:r>
        <w:r>
          <w:rPr>
            <w:i/>
          </w:rPr>
          <w:t>MBio</w:t>
        </w:r>
        <w:r>
          <w:t xml:space="preserve">. 2013, </w:t>
        </w:r>
        <w:r>
          <w:rPr>
            <w:b/>
          </w:rPr>
          <w:t>4</w:t>
        </w:r>
        <w:r>
          <w:t>:e00692–13</w:t>
        </w:r>
      </w:moveFrom>
      <w:moveFromRangeEnd w:id="36"/>
      <w:r>
        <w:t>.</w:t>
      </w:r>
    </w:p>
    <w:p w14:paraId="183CC2E1" w14:textId="5B0F26F4" w:rsidR="008F7CF0" w:rsidRDefault="001D7A82">
      <w:pPr>
        <w:pStyle w:val="Bibliography"/>
      </w:pPr>
      <w:r>
        <w:t xml:space="preserve">13. </w:t>
      </w:r>
      <w:moveToRangeStart w:id="38" w:author="Niel Baxter" w:date="2016-01-14T13:39:00Z" w:name="move314398082"/>
      <w:proofErr w:type="spellStart"/>
      <w:moveTo w:id="39" w:author="Niel Baxter" w:date="2016-01-14T13:39:00Z">
        <w:r>
          <w:t>Zackular</w:t>
        </w:r>
        <w:proofErr w:type="spellEnd"/>
        <w:r>
          <w:t xml:space="preserve"> JP, Baxter NT, Iverson KD, Sadler WD, </w:t>
        </w:r>
        <w:proofErr w:type="spellStart"/>
        <w:r>
          <w:t>Petrosino</w:t>
        </w:r>
        <w:proofErr w:type="spellEnd"/>
        <w:r>
          <w:t xml:space="preserve"> JF, Chen GY, </w:t>
        </w:r>
        <w:proofErr w:type="spellStart"/>
        <w:r>
          <w:t>Schloss</w:t>
        </w:r>
        <w:proofErr w:type="spellEnd"/>
        <w:r>
          <w:t xml:space="preserve"> PD: </w:t>
        </w:r>
        <w:r>
          <w:rPr>
            <w:b/>
          </w:rPr>
          <w:t>The gut microbiome modulates colon tumorigenesis</w:t>
        </w:r>
        <w:r>
          <w:t xml:space="preserve">. </w:t>
        </w:r>
        <w:proofErr w:type="spellStart"/>
        <w:r>
          <w:rPr>
            <w:i/>
          </w:rPr>
          <w:t>MBio</w:t>
        </w:r>
        <w:proofErr w:type="spellEnd"/>
        <w:r>
          <w:t xml:space="preserve">. 2013, </w:t>
        </w:r>
        <w:r>
          <w:rPr>
            <w:b/>
          </w:rPr>
          <w:t>4</w:t>
        </w:r>
        <w:r>
          <w:t>:e00692–13</w:t>
        </w:r>
      </w:moveTo>
      <w:moveToRangeEnd w:id="38"/>
      <w:r>
        <w:t>.</w:t>
      </w:r>
    </w:p>
    <w:p w14:paraId="6E0CF492" w14:textId="77777777" w:rsidR="008F7CF0" w:rsidRDefault="001D7A82">
      <w:pPr>
        <w:pStyle w:val="Bibliography"/>
      </w:pPr>
      <w:r>
        <w:t>14.</w:t>
      </w:r>
      <w:r>
        <w:t xml:space="preserve"> Kostic AD, Chun E, Robertson L, Glickman JN, Gallini CA, Michaud M, Clancy TE, Chung DC, Lochhead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020F8625" w14:textId="6F1D2AD4" w:rsidR="008F7CF0" w:rsidRDefault="001D7A82">
      <w:pPr>
        <w:pStyle w:val="Bibliography"/>
      </w:pPr>
      <w:r>
        <w:lastRenderedPageBreak/>
        <w:t>15</w:t>
      </w:r>
      <w:r>
        <w:t xml:space="preserve">.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2899EBB8" w14:textId="640F8435" w:rsidR="008F7CF0" w:rsidRDefault="001D7A82">
      <w:pPr>
        <w:pStyle w:val="Bibliography"/>
      </w:pPr>
      <w:r>
        <w:t>16</w:t>
      </w:r>
      <w:r>
        <w:t xml:space="preserve">. Arthur JC, Perez-Chanona E, Mühlbauer M, Tomkovich S, Uronis JM, Fan T-J, Campbell BJ, Abujamel T, Dogan B, Rogers AB, others: </w:t>
      </w:r>
      <w:r>
        <w:rPr>
          <w:b/>
        </w:rPr>
        <w:t>Intestinal inflammation targets cancer-inducing activity of the microbiota</w:t>
      </w:r>
      <w:r>
        <w:t xml:space="preserve">. </w:t>
      </w:r>
      <w:r>
        <w:rPr>
          <w:i/>
        </w:rPr>
        <w:t>science</w:t>
      </w:r>
      <w:r>
        <w:t xml:space="preserve">. 2012, </w:t>
      </w:r>
      <w:r>
        <w:rPr>
          <w:b/>
        </w:rPr>
        <w:t>338</w:t>
      </w:r>
      <w:r>
        <w:t>:120–123.</w:t>
      </w:r>
    </w:p>
    <w:p w14:paraId="33F4C71E" w14:textId="1B992723" w:rsidR="008F7CF0" w:rsidRDefault="001D7A82">
      <w:pPr>
        <w:pStyle w:val="Bibliography"/>
      </w:pPr>
      <w:r>
        <w:t>17</w:t>
      </w:r>
      <w:r>
        <w:t xml:space="preserve">.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50878923" w14:textId="7A7428BC" w:rsidR="008F7CF0" w:rsidRDefault="001D7A82">
      <w:pPr>
        <w:pStyle w:val="Bibliography"/>
      </w:pPr>
      <w:r>
        <w:t>18</w:t>
      </w:r>
      <w:r>
        <w:t xml:space="preserve">.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AA4E93D" w14:textId="7D02BB9B" w:rsidR="008F7CF0" w:rsidRDefault="001D7A82">
      <w:pPr>
        <w:pStyle w:val="Bibliography"/>
      </w:pPr>
      <w:r>
        <w:t>19</w:t>
      </w:r>
      <w:r>
        <w:t xml:space="preserve">. Liaw A, Wiener M: </w:t>
      </w:r>
      <w:r>
        <w:rPr>
          <w:b/>
        </w:rPr>
        <w:t>Classification and regression by randomForest</w:t>
      </w:r>
      <w:r>
        <w:t xml:space="preserve">. </w:t>
      </w:r>
      <w:r>
        <w:rPr>
          <w:i/>
        </w:rPr>
        <w:t>R news</w:t>
      </w:r>
      <w:r>
        <w:t xml:space="preserve">. 2002, </w:t>
      </w:r>
      <w:r>
        <w:rPr>
          <w:b/>
        </w:rPr>
        <w:t>2</w:t>
      </w:r>
      <w:r>
        <w:t>:18–22.</w:t>
      </w:r>
    </w:p>
    <w:p w14:paraId="2394CE16" w14:textId="4254ECAD" w:rsidR="008F7CF0" w:rsidRDefault="001D7A82">
      <w:pPr>
        <w:pStyle w:val="Bibliography"/>
      </w:pPr>
      <w:r>
        <w:t>20</w:t>
      </w:r>
      <w:r>
        <w:t xml:space="preserve">. O’Brien CL, Allison GE, Grimpen F, Pavli P: </w:t>
      </w:r>
      <w:r>
        <w:rPr>
          <w:b/>
        </w:rPr>
        <w:t>Impact of Colonoscopy Bowel Preparation on Intestinal Microbiota</w:t>
      </w:r>
      <w:r>
        <w:t xml:space="preserve">. </w:t>
      </w:r>
      <w:r>
        <w:rPr>
          <w:i/>
        </w:rPr>
        <w:t>PLoS ONE</w:t>
      </w:r>
      <w:r>
        <w:t xml:space="preserve">. 2013, </w:t>
      </w:r>
      <w:r>
        <w:rPr>
          <w:b/>
        </w:rPr>
        <w:t>8</w:t>
      </w:r>
      <w:r>
        <w:t>:e62815.</w:t>
      </w:r>
    </w:p>
    <w:p w14:paraId="1EB2DE76" w14:textId="71CCA5F3" w:rsidR="008F7CF0" w:rsidRDefault="001D7A82">
      <w:pPr>
        <w:pStyle w:val="Bibliography"/>
      </w:pPr>
      <w:r>
        <w:t>21</w:t>
      </w:r>
      <w:r>
        <w:t xml:space="preserve">.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4F0D1EBF" w14:textId="72E21380" w:rsidR="008F7CF0" w:rsidRDefault="001D7A82">
      <w:pPr>
        <w:pStyle w:val="Bibliography"/>
      </w:pPr>
      <w:r>
        <w:lastRenderedPageBreak/>
        <w:t>22</w:t>
      </w:r>
      <w:r>
        <w:t xml:space="preserve">.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456162F9" w14:textId="256DD0F7" w:rsidR="008F7CF0" w:rsidRDefault="001D7A82">
      <w:pPr>
        <w:pStyle w:val="Bibliography"/>
      </w:pPr>
      <w:r>
        <w:t>23</w:t>
      </w:r>
      <w:r>
        <w:t xml:space="preserve">.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441EBF47" w14:textId="5518C630" w:rsidR="008F7CF0" w:rsidRDefault="001D7A82">
      <w:pPr>
        <w:pStyle w:val="Bibliography"/>
      </w:pPr>
      <w:r>
        <w:t>24</w:t>
      </w:r>
      <w:r>
        <w:t xml:space="preserve">.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6A9CD1F2" w14:textId="5E5F09C8" w:rsidR="008F7CF0" w:rsidRDefault="001D7A82">
      <w:pPr>
        <w:pStyle w:val="Bibliography"/>
      </w:pPr>
      <w:r>
        <w:t>25</w:t>
      </w:r>
      <w:r>
        <w:t xml:space="preserve">. Youden WJ: </w:t>
      </w:r>
      <w:r>
        <w:rPr>
          <w:b/>
        </w:rPr>
        <w:t>Index for rating diagnostic tests</w:t>
      </w:r>
      <w:r>
        <w:t xml:space="preserve">. </w:t>
      </w:r>
      <w:r>
        <w:rPr>
          <w:i/>
        </w:rPr>
        <w:t>Cancer</w:t>
      </w:r>
      <w:r>
        <w:t xml:space="preserve">. 1950, </w:t>
      </w:r>
      <w:r>
        <w:rPr>
          <w:b/>
        </w:rPr>
        <w:t>3</w:t>
      </w:r>
      <w:r>
        <w:t>:32–35.</w:t>
      </w:r>
    </w:p>
    <w:p w14:paraId="1D2F11E0" w14:textId="473F42FE" w:rsidR="008F7CF0" w:rsidRDefault="001D7A82">
      <w:pPr>
        <w:pStyle w:val="Bibliography"/>
      </w:pPr>
      <w:r>
        <w:t>26</w:t>
      </w:r>
      <w:r>
        <w:t xml:space="preserve">. Dixon P, Palmer M: </w:t>
      </w:r>
      <w:r>
        <w:rPr>
          <w:b/>
        </w:rPr>
        <w:t>VEGAN, a package of r functions for community ecology</w:t>
      </w:r>
      <w:r>
        <w:t xml:space="preserve">. </w:t>
      </w:r>
      <w:r>
        <w:rPr>
          <w:i/>
        </w:rPr>
        <w:t>Journal of Vegetation Science</w:t>
      </w:r>
      <w:r>
        <w:t xml:space="preserve">. 2003, </w:t>
      </w:r>
      <w:r>
        <w:rPr>
          <w:b/>
        </w:rPr>
        <w:t>14</w:t>
      </w:r>
      <w:r>
        <w:t>:927–930.</w:t>
      </w:r>
    </w:p>
    <w:p w14:paraId="31CD7380" w14:textId="1F3A5093" w:rsidR="008F7CF0" w:rsidRDefault="001D7A82">
      <w:pPr>
        <w:pStyle w:val="Bibliography"/>
      </w:pPr>
      <w:r>
        <w:t>27</w:t>
      </w:r>
      <w:r>
        <w:t xml:space="preserve">.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31D4C706" w14:textId="1BDCC0E0" w:rsidR="008F7CF0" w:rsidRDefault="001D7A82">
      <w:pPr>
        <w:pStyle w:val="Bibliography"/>
      </w:pPr>
      <w:r>
        <w:t>28</w:t>
      </w:r>
      <w:r>
        <w:t xml:space="preserve">.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2015:gutjnl–2015.</w:t>
      </w:r>
    </w:p>
    <w:p w14:paraId="4AE3FCA2" w14:textId="2E07BE18" w:rsidR="008F7CF0" w:rsidRDefault="001D7A82">
      <w:pPr>
        <w:pStyle w:val="Bibliography"/>
      </w:pPr>
      <w:r>
        <w:t>29</w:t>
      </w:r>
      <w:r>
        <w:t xml:space="preserve">. Rex DK, Johnson DA, Anderson JC, Schoenfeld PS, Burke CA, Inadomi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275FA952" w14:textId="3E28DD12" w:rsidR="008F7CF0" w:rsidRDefault="001D7A82">
      <w:pPr>
        <w:pStyle w:val="Bibliography"/>
      </w:pPr>
      <w:r>
        <w:lastRenderedPageBreak/>
        <w:t>30</w:t>
      </w:r>
      <w:r>
        <w:t xml:space="preserve">.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Hepatology</w:t>
      </w:r>
      <w:r>
        <w:t xml:space="preserve">. 2009, </w:t>
      </w:r>
      <w:r>
        <w:rPr>
          <w:b/>
        </w:rPr>
        <w:t>7</w:t>
      </w:r>
      <w:r>
        <w:t>:1272–1278.</w:t>
      </w:r>
    </w:p>
    <w:p w14:paraId="1BEF79CB" w14:textId="70B59A32" w:rsidR="008F7CF0" w:rsidRDefault="001D7A82">
      <w:pPr>
        <w:pStyle w:val="Bibliography"/>
      </w:pPr>
      <w:r>
        <w:t>31</w:t>
      </w:r>
      <w:r>
        <w:t xml:space="preserve">. Symonds EL, Osborne JM, Cole SR, Bampton PA, Fraser RJ, Young GP: </w:t>
      </w:r>
      <w:r>
        <w:rPr>
          <w:b/>
        </w:rPr>
        <w:t>Factors affecting faecal immunochemical test positive rates: demographic, pathological, behavioural and environmental variables</w:t>
      </w:r>
      <w:r>
        <w:t xml:space="preserve">. </w:t>
      </w:r>
      <w:r>
        <w:rPr>
          <w:i/>
        </w:rPr>
        <w:t>Journal of Medical Screening</w:t>
      </w:r>
      <w:r>
        <w:t>. 2015:0969141315584783.</w:t>
      </w:r>
    </w:p>
    <w:p w14:paraId="4D2033C4" w14:textId="7A9B3CFF" w:rsidR="008F7CF0" w:rsidRDefault="001D7A82">
      <w:pPr>
        <w:pStyle w:val="Bibliography"/>
      </w:pPr>
      <w:r>
        <w:t>32</w:t>
      </w:r>
      <w:r>
        <w:t xml:space="preserve">. Kapidzic A, Meulen MP van der, Hol L, Roon AH van, Looman CW, Lansdorp-Vogelaar I, Ballegooijen M van, Vuuren AJ van, Reijerink JC, Leerdam ME van, others: </w:t>
      </w:r>
      <w:r>
        <w:rPr>
          <w:b/>
        </w:rPr>
        <w:t>Gender differences in fecal immunochemical test performance for early detection of colorectal neoplasia</w:t>
      </w:r>
      <w:r>
        <w:t xml:space="preserve">. </w:t>
      </w:r>
      <w:r>
        <w:rPr>
          <w:i/>
        </w:rPr>
        <w:t>Clinical Gastroenterology and Hepatology</w:t>
      </w:r>
      <w:r>
        <w:t>. 2015.</w:t>
      </w:r>
    </w:p>
    <w:p w14:paraId="676EC9EE" w14:textId="4BD0CE7D" w:rsidR="008F7CF0" w:rsidRDefault="001D7A82">
      <w:pPr>
        <w:pStyle w:val="Bibliography"/>
      </w:pPr>
      <w:r>
        <w:t>33</w:t>
      </w:r>
      <w:r>
        <w:t xml:space="preserve">. Levi Z, Rozen P, Hazazi R, Vilkin A, Waked A, Maoz E, Birkenfeld S, Lieberman N, Klang S, Niv Y: </w:t>
      </w:r>
      <w:r>
        <w:rPr>
          <w:b/>
        </w:rPr>
        <w:t>Sensitivity, but not specificity, of a quantitative immunochemical fecal occult blood test for neoplasia is slightly increased by the use of low-dose aspirin, NSAIDs, and anticoagulants</w:t>
      </w:r>
      <w:r>
        <w:t xml:space="preserve">. </w:t>
      </w:r>
      <w:r>
        <w:rPr>
          <w:i/>
        </w:rPr>
        <w:t>The American journal of gastroenterology</w:t>
      </w:r>
      <w:r>
        <w:t xml:space="preserve">. 2009, </w:t>
      </w:r>
      <w:r>
        <w:rPr>
          <w:b/>
        </w:rPr>
        <w:t>104</w:t>
      </w:r>
      <w:r>
        <w:t>:933–938.</w:t>
      </w:r>
    </w:p>
    <w:p w14:paraId="2045A699" w14:textId="6D9C260B" w:rsidR="008F7CF0" w:rsidRDefault="001D7A82">
      <w:pPr>
        <w:pStyle w:val="Bibliography"/>
      </w:pPr>
      <w:r>
        <w:t>34</w:t>
      </w:r>
      <w:r>
        <w:t xml:space="preserve">. Schubert AM, Sinani H, Schloss PD: </w:t>
      </w:r>
      <w:r>
        <w:rPr>
          <w:b/>
        </w:rPr>
        <w:t>Antibiotic-Induced Alterations of the Murine Gut Microbiota and Subsequent Effects on Colonization Resistance against Clostridium difficile</w:t>
      </w:r>
      <w:r>
        <w:t xml:space="preserve">. </w:t>
      </w:r>
      <w:r>
        <w:rPr>
          <w:i/>
        </w:rPr>
        <w:t>MBio</w:t>
      </w:r>
      <w:r>
        <w:t xml:space="preserve">. 2015, </w:t>
      </w:r>
      <w:r>
        <w:rPr>
          <w:b/>
        </w:rPr>
        <w:t>6</w:t>
      </w:r>
      <w:r>
        <w:t>.</w:t>
      </w:r>
    </w:p>
    <w:p w14:paraId="2B150E14" w14:textId="48D124DA" w:rsidR="008F7CF0" w:rsidRDefault="001D7A82">
      <w:pPr>
        <w:pStyle w:val="Bibliography"/>
      </w:pPr>
      <w:r>
        <w:t>35</w:t>
      </w:r>
      <w:r>
        <w:t xml:space="preserve">. Pryde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61C9EE94" w14:textId="463C6B7D" w:rsidR="008F7CF0" w:rsidRDefault="001D7A82">
      <w:pPr>
        <w:pStyle w:val="Bibliography"/>
      </w:pPr>
      <w:r>
        <w:lastRenderedPageBreak/>
        <w:t>36</w:t>
      </w:r>
      <w:r>
        <w:t xml:space="preserve">. Segain J, De La Blétiere DR, Bourreille A, Leray V, Gervois N, Rosales C, Ferrier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1AD29163" w14:textId="29F4FC63" w:rsidR="008F7CF0" w:rsidRDefault="001D7A82">
      <w:pPr>
        <w:pStyle w:val="Bibliography"/>
      </w:pPr>
      <w:r>
        <w:t>37</w:t>
      </w:r>
      <w:r>
        <w:t xml:space="preserve">. D’Argenio G, Cosenza V, Delle Cave M, Iovino P, Delle Valle N, Lombardi G, Mazzacca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1B2052D7" w14:textId="2ACCDF44" w:rsidR="008F7CF0" w:rsidRDefault="001D7A82">
      <w:pPr>
        <w:pStyle w:val="Bibliography"/>
      </w:pPr>
      <w:r>
        <w:t>38</w:t>
      </w:r>
      <w:r>
        <w:t xml:space="preserve">. Hague A, Elder DJ, Hicks DJ, Paraskeva C: </w:t>
      </w:r>
      <w:r>
        <w:rPr>
          <w:b/>
        </w:rPr>
        <w:t>Apoptosis in colorectal tumour cells: Induction by the short chain fatty acids butyrate, propionate and acetate and by the bile salt deoxycholate</w:t>
      </w:r>
      <w:r>
        <w:t xml:space="preserve">. </w:t>
      </w:r>
      <w:r>
        <w:rPr>
          <w:i/>
        </w:rPr>
        <w:t>International Journal of Cancer</w:t>
      </w:r>
      <w:r>
        <w:t xml:space="preserve">. 1995, </w:t>
      </w:r>
      <w:r>
        <w:rPr>
          <w:b/>
        </w:rPr>
        <w:t>60</w:t>
      </w:r>
      <w:r>
        <w:t>:400–406.</w:t>
      </w:r>
    </w:p>
    <w:p w14:paraId="4216CDB5" w14:textId="5058C7F1" w:rsidR="008F7CF0" w:rsidRDefault="001D7A82">
      <w:pPr>
        <w:pStyle w:val="Bibliography"/>
      </w:pPr>
      <w:r>
        <w:t>39</w:t>
      </w:r>
      <w:r>
        <w:t xml:space="preserve">. Gallimidi AB, Fischman S, Revach B, Bulvik R, Maliutina A, Rubinstein AM, Nussbaum G, Elkin M: </w:t>
      </w:r>
      <w:r>
        <w:rPr>
          <w:b/>
        </w:rPr>
        <w:t>Periodontal pathogens porphyromonas gingivalis and fusobacterium nucleatum promote tumor progression in an oral-specific chemical carcinogenesis model.</w:t>
      </w:r>
      <w:r>
        <w:t xml:space="preserve"> </w:t>
      </w:r>
      <w:r>
        <w:rPr>
          <w:i/>
        </w:rPr>
        <w:t>Oncotarget</w:t>
      </w:r>
      <w:r>
        <w:t>. 2015.</w:t>
      </w:r>
    </w:p>
    <w:p w14:paraId="7FDE7D27" w14:textId="4C4F6D50" w:rsidR="001D7A82" w:rsidRDefault="001D7A82" w:rsidP="001D7A82">
      <w:pPr>
        <w:pStyle w:val="Bibliography"/>
      </w:pPr>
      <w:bookmarkStart w:id="40" w:name="_GoBack"/>
      <w:bookmarkEnd w:id="40"/>
      <w:r>
        <w:t>40</w:t>
      </w:r>
      <w:r>
        <w:t xml:space="preserve">. Ding T, Schloss PD: </w:t>
      </w:r>
      <w:r>
        <w:rPr>
          <w:b/>
        </w:rPr>
        <w:t>Dynamics and associations of microbial community types across the human body</w:t>
      </w:r>
      <w:r>
        <w:t xml:space="preserve">. </w:t>
      </w:r>
      <w:r>
        <w:rPr>
          <w:i/>
        </w:rPr>
        <w:t>Nature</w:t>
      </w:r>
      <w:r>
        <w:t xml:space="preserve">. 2014, </w:t>
      </w:r>
      <w:r>
        <w:rPr>
          <w:b/>
        </w:rPr>
        <w:t>509</w:t>
      </w:r>
      <w:r>
        <w:t>:357–360.</w:t>
      </w:r>
      <w:ins w:id="41" w:author="Niel Baxter" w:date="2016-01-14T13:39:00Z">
        <w:r>
          <w:br w:type="page"/>
        </w:r>
      </w:ins>
    </w:p>
    <w:p w14:paraId="157450A9" w14:textId="77777777" w:rsidR="001D7A82" w:rsidRDefault="001D7A82" w:rsidP="000F1D5E">
      <w:pPr>
        <w:pStyle w:val="Heading3"/>
      </w:pPr>
      <w:r>
        <w:lastRenderedPageBreak/>
        <w:t>Figures</w:t>
      </w:r>
    </w:p>
    <w:p w14:paraId="2A4710E1" w14:textId="77777777" w:rsidR="001D7A82" w:rsidRDefault="001D7A82" w:rsidP="001D7A82">
      <w:r>
        <w:rPr>
          <w:b/>
        </w:rPr>
        <w:t>Figure 1. Microbiota-based models can complement FIT.</w:t>
      </w:r>
      <w:r>
        <w:t xml:space="preserve"> (A,C) ROC curves for distinguishing healthy patients from those with adenoma (A) or cancer (C) based on FIT or a microbiota-based random forest model. Open circles show the sensitivity and </w:t>
      </w:r>
      <w:proofErr w:type="spellStart"/>
      <w:r>
        <w:t>specifity</w:t>
      </w:r>
      <w:proofErr w:type="spellEnd"/>
      <w:r>
        <w:t xml:space="preserve">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035F4509" w14:textId="318C69B5" w:rsidR="001D7A82" w:rsidRDefault="001D7A82" w:rsidP="001D7A82">
      <w:r>
        <w:rPr>
          <w:b/>
        </w:rPr>
        <w:t>Figure 2. Comparing MMT to FIT.</w:t>
      </w:r>
      <w:r>
        <w:t xml:space="preserve"> (A) ROC Curves for the MMT (solid lines) </w:t>
      </w:r>
      <w:del w:id="42" w:author="Niel Baxter" w:date="2016-01-14T13:39:00Z">
        <w:r w:rsidR="006C5A11">
          <w:delText>and</w:delText>
        </w:r>
      </w:del>
      <w:ins w:id="43" w:author="Niel Baxter" w:date="2016-01-14T13:39:00Z">
        <w:r>
          <w:t>or</w:t>
        </w:r>
      </w:ins>
      <w:r>
        <w:t xml:space="preserve">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w:t>
      </w:r>
      <w:proofErr w:type="spellStart"/>
      <w:r>
        <w:t>Stripcharts</w:t>
      </w:r>
      <w:proofErr w:type="spellEnd"/>
      <w:r>
        <w:t xml:space="preserve"> showing the results for FIT (B) and the MMT (C). Dashed lines show the cutoff for each test. Points with a FIT result of 0 are jittered to improve visibility.</w:t>
      </w:r>
    </w:p>
    <w:p w14:paraId="78E80DB5" w14:textId="77777777" w:rsidR="001D7A82" w:rsidRDefault="001D7A82" w:rsidP="001D7A82">
      <w:r>
        <w:rPr>
          <w:b/>
        </w:rPr>
        <w:t>Figure 3. Sensitivities for FIT and MMT for each stage of tumor development.</w:t>
      </w:r>
      <w:r>
        <w:t xml:space="preserve"> P-values based on </w:t>
      </w:r>
      <w:proofErr w:type="spellStart"/>
      <w:r>
        <w:t>McNemar's</w:t>
      </w:r>
      <w:proofErr w:type="spellEnd"/>
      <w:r>
        <w:t xml:space="preserve"> chi-squared test.</w:t>
      </w:r>
    </w:p>
    <w:p w14:paraId="7962D5BB" w14:textId="77777777" w:rsidR="001D7A82" w:rsidRDefault="001D7A82" w:rsidP="001D7A82">
      <w:r>
        <w:rPr>
          <w:b/>
        </w:rPr>
        <w:t>Figure 4. Relationship between FIT and MMT for each sample.</w:t>
      </w:r>
      <w:r>
        <w:t xml:space="preserve"> (A) Scatterplot of MMT and FIT results for each sample. Dashed lines show the cutoff for each test. Points with a FIT result of 0 are jittered to improve visibility. (B) </w:t>
      </w:r>
      <w:proofErr w:type="spellStart"/>
      <w:r>
        <w:t>Stripchart</w:t>
      </w:r>
      <w:proofErr w:type="spellEnd"/>
      <w:r>
        <w:t xml:space="preserve"> of MMT results for samples separated by binary FIT result.</w:t>
      </w:r>
    </w:p>
    <w:p w14:paraId="5FAE663C" w14:textId="77777777" w:rsidR="001D7A82" w:rsidRDefault="001D7A82" w:rsidP="000F1D5E">
      <w:pPr>
        <w:pStyle w:val="Heading3"/>
      </w:pPr>
      <w:bookmarkStart w:id="44" w:name="tables"/>
      <w:bookmarkEnd w:id="44"/>
      <w:r>
        <w:lastRenderedPageBreak/>
        <w:t>Tables</w:t>
      </w:r>
    </w:p>
    <w:p w14:paraId="4094FD04" w14:textId="77777777" w:rsidR="001D7A82" w:rsidRPr="001D7A82" w:rsidRDefault="001D7A82" w:rsidP="001D7A82">
      <w:pPr>
        <w:rPr>
          <w:ins w:id="45" w:author="Niel Baxter" w:date="2016-01-14T13:39:00Z"/>
        </w:rPr>
      </w:pPr>
    </w:p>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807"/>
        <w:gridCol w:w="1440"/>
        <w:gridCol w:w="2071"/>
        <w:gridCol w:w="1438"/>
        <w:gridCol w:w="2069"/>
      </w:tblGrid>
      <w:tr w:rsidR="001D7A82" w:rsidRPr="00343AFC" w14:paraId="242ED8E7" w14:textId="77777777" w:rsidTr="000F1D5E">
        <w:trPr>
          <w:trHeight w:val="640"/>
        </w:trPr>
        <w:tc>
          <w:tcPr>
            <w:tcW w:w="2807" w:type="dxa"/>
            <w:tcBorders>
              <w:top w:val="single" w:sz="4" w:space="0" w:color="auto"/>
              <w:left w:val="single" w:sz="4" w:space="0" w:color="auto"/>
              <w:right w:val="single" w:sz="4" w:space="0" w:color="auto"/>
            </w:tcBorders>
            <w:vAlign w:val="center"/>
            <w:hideMark/>
          </w:tcPr>
          <w:p w14:paraId="2EBB478A" w14:textId="77777777" w:rsidR="001D7A82" w:rsidRPr="00343AFC" w:rsidRDefault="001D7A82" w:rsidP="000F1D5E">
            <w:pPr>
              <w:spacing w:before="0" w:after="0" w:line="240" w:lineRule="auto"/>
              <w:jc w:val="center"/>
              <w:rPr>
                <w:rFonts w:ascii="Cambria" w:eastAsia="Times New Roman" w:hAnsi="Cambria" w:cs="Times New Roman"/>
                <w:b/>
                <w:bCs/>
                <w:color w:val="000000"/>
              </w:rPr>
            </w:pPr>
            <w:bookmarkStart w:id="46" w:name="RANGE!A1:F8"/>
            <w:r w:rsidRPr="00343AFC">
              <w:rPr>
                <w:rFonts w:ascii="Cambria" w:eastAsia="Times New Roman" w:hAnsi="Cambria" w:cs="Times New Roman"/>
                <w:b/>
                <w:bCs/>
                <w:color w:val="000000"/>
              </w:rPr>
              <w:t>Diagnosis</w:t>
            </w:r>
            <w:bookmarkEnd w:id="46"/>
          </w:p>
        </w:tc>
        <w:tc>
          <w:tcPr>
            <w:tcW w:w="3511" w:type="dxa"/>
            <w:gridSpan w:val="2"/>
            <w:tcBorders>
              <w:top w:val="single" w:sz="4" w:space="0" w:color="auto"/>
              <w:left w:val="single" w:sz="4" w:space="0" w:color="auto"/>
              <w:right w:val="single" w:sz="4" w:space="0" w:color="auto"/>
            </w:tcBorders>
            <w:vAlign w:val="center"/>
            <w:hideMark/>
          </w:tcPr>
          <w:p w14:paraId="61B43EBD" w14:textId="77777777" w:rsidR="001D7A82" w:rsidRPr="00343AFC" w:rsidRDefault="001D7A82" w:rsidP="000F1D5E">
            <w:pPr>
              <w:spacing w:before="0" w:after="0" w:line="240" w:lineRule="auto"/>
              <w:jc w:val="center"/>
              <w:rPr>
                <w:rFonts w:ascii="Cambria" w:eastAsia="Times New Roman" w:hAnsi="Cambria" w:cs="Times New Roman"/>
                <w:b/>
                <w:bCs/>
                <w:color w:val="000000"/>
              </w:rPr>
            </w:pPr>
            <w:r w:rsidRPr="00343AFC">
              <w:rPr>
                <w:rFonts w:ascii="Cambria" w:eastAsia="Times New Roman" w:hAnsi="Cambria" w:cs="Times New Roman"/>
                <w:b/>
                <w:bCs/>
                <w:color w:val="000000"/>
              </w:rPr>
              <w:t>Fecal Immunochemical Test</w:t>
            </w:r>
          </w:p>
        </w:tc>
        <w:tc>
          <w:tcPr>
            <w:tcW w:w="3507" w:type="dxa"/>
            <w:gridSpan w:val="2"/>
            <w:tcBorders>
              <w:top w:val="single" w:sz="4" w:space="0" w:color="auto"/>
              <w:left w:val="single" w:sz="4" w:space="0" w:color="auto"/>
              <w:right w:val="single" w:sz="4" w:space="0" w:color="auto"/>
            </w:tcBorders>
            <w:vAlign w:val="center"/>
            <w:hideMark/>
          </w:tcPr>
          <w:p w14:paraId="5AD7CF0C" w14:textId="77777777" w:rsidR="001D7A82" w:rsidRPr="00343AFC" w:rsidRDefault="001D7A82" w:rsidP="000F1D5E">
            <w:pPr>
              <w:spacing w:before="0" w:after="0" w:line="240" w:lineRule="auto"/>
              <w:jc w:val="center"/>
              <w:rPr>
                <w:rFonts w:ascii="Cambria" w:eastAsia="Times New Roman" w:hAnsi="Cambria" w:cs="Times New Roman"/>
                <w:b/>
                <w:bCs/>
                <w:color w:val="000000"/>
              </w:rPr>
            </w:pPr>
            <w:proofErr w:type="spellStart"/>
            <w:r w:rsidRPr="00343AFC">
              <w:rPr>
                <w:rFonts w:ascii="Cambria" w:eastAsia="Times New Roman" w:hAnsi="Cambria" w:cs="Times New Roman"/>
                <w:b/>
                <w:bCs/>
                <w:color w:val="000000"/>
              </w:rPr>
              <w:t>Multitarget</w:t>
            </w:r>
            <w:proofErr w:type="spellEnd"/>
            <w:r w:rsidRPr="00343AFC">
              <w:rPr>
                <w:rFonts w:ascii="Cambria" w:eastAsia="Times New Roman" w:hAnsi="Cambria" w:cs="Times New Roman"/>
                <w:b/>
                <w:bCs/>
                <w:color w:val="000000"/>
              </w:rPr>
              <w:t xml:space="preserve"> Microbiota Test</w:t>
            </w:r>
          </w:p>
        </w:tc>
      </w:tr>
      <w:tr w:rsidR="001D7A82" w:rsidRPr="00343AFC" w14:paraId="60CAB3FB" w14:textId="77777777" w:rsidTr="000F1D5E">
        <w:trPr>
          <w:trHeight w:val="520"/>
        </w:trPr>
        <w:tc>
          <w:tcPr>
            <w:tcW w:w="2807" w:type="dxa"/>
            <w:tcBorders>
              <w:left w:val="single" w:sz="4" w:space="0" w:color="auto"/>
              <w:right w:val="single" w:sz="4" w:space="0" w:color="auto"/>
            </w:tcBorders>
            <w:noWrap/>
            <w:vAlign w:val="center"/>
            <w:hideMark/>
          </w:tcPr>
          <w:p w14:paraId="3443CBB8"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27EB155B"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009F10C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71" w:type="dxa"/>
            <w:tcBorders>
              <w:right w:val="single" w:sz="4" w:space="0" w:color="auto"/>
            </w:tcBorders>
            <w:vAlign w:val="center"/>
            <w:hideMark/>
          </w:tcPr>
          <w:p w14:paraId="7153C8DB"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364D7199"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69" w:type="dxa"/>
            <w:tcBorders>
              <w:right w:val="single" w:sz="4" w:space="0" w:color="auto"/>
            </w:tcBorders>
            <w:vAlign w:val="center"/>
            <w:hideMark/>
          </w:tcPr>
          <w:p w14:paraId="540BB925"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r>
      <w:tr w:rsidR="001D7A82" w:rsidRPr="00343AFC" w14:paraId="2D31CE00" w14:textId="77777777" w:rsidTr="000F1D5E">
        <w:trPr>
          <w:trHeight w:val="380"/>
        </w:trPr>
        <w:tc>
          <w:tcPr>
            <w:tcW w:w="2807" w:type="dxa"/>
            <w:tcBorders>
              <w:left w:val="single" w:sz="4" w:space="0" w:color="auto"/>
              <w:right w:val="single" w:sz="4" w:space="0" w:color="auto"/>
            </w:tcBorders>
            <w:noWrap/>
            <w:vAlign w:val="center"/>
            <w:hideMark/>
          </w:tcPr>
          <w:p w14:paraId="5B678178"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Cancer</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n=120</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2CDEB7E7"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90</w:t>
            </w:r>
          </w:p>
        </w:tc>
        <w:tc>
          <w:tcPr>
            <w:tcW w:w="2071" w:type="dxa"/>
            <w:tcBorders>
              <w:right w:val="single" w:sz="4" w:space="0" w:color="auto"/>
            </w:tcBorders>
            <w:noWrap/>
            <w:vAlign w:val="center"/>
            <w:hideMark/>
          </w:tcPr>
          <w:p w14:paraId="7741F48D"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75.0</w:t>
            </w:r>
            <w:r w:rsidRPr="00343AFC">
              <w:rPr>
                <w:rFonts w:ascii="Cambria" w:eastAsia="Times New Roman" w:hAnsi="Cambria" w:cs="Times New Roman"/>
                <w:color w:val="000000"/>
                <w:sz w:val="22"/>
                <w:szCs w:val="22"/>
              </w:rPr>
              <w:t xml:space="preserve"> (66.7-82.5)</w:t>
            </w:r>
          </w:p>
        </w:tc>
        <w:tc>
          <w:tcPr>
            <w:tcW w:w="1438" w:type="dxa"/>
            <w:tcBorders>
              <w:left w:val="single" w:sz="4" w:space="0" w:color="auto"/>
            </w:tcBorders>
            <w:noWrap/>
            <w:vAlign w:val="center"/>
            <w:hideMark/>
          </w:tcPr>
          <w:p w14:paraId="384FCB0C"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114</w:t>
            </w:r>
          </w:p>
        </w:tc>
        <w:tc>
          <w:tcPr>
            <w:tcW w:w="2069" w:type="dxa"/>
            <w:tcBorders>
              <w:right w:val="single" w:sz="4" w:space="0" w:color="auto"/>
            </w:tcBorders>
            <w:noWrap/>
            <w:vAlign w:val="center"/>
            <w:hideMark/>
          </w:tcPr>
          <w:p w14:paraId="682D4EB8"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95.0</w:t>
            </w:r>
            <w:r w:rsidRPr="00343AFC">
              <w:rPr>
                <w:rFonts w:ascii="Cambria" w:eastAsia="Times New Roman" w:hAnsi="Cambria" w:cs="Times New Roman"/>
                <w:color w:val="000000"/>
                <w:sz w:val="22"/>
                <w:szCs w:val="22"/>
              </w:rPr>
              <w:t xml:space="preserve"> (90.8-98.3)</w:t>
            </w:r>
          </w:p>
        </w:tc>
      </w:tr>
      <w:tr w:rsidR="001D7A82" w:rsidRPr="00343AFC" w14:paraId="360592A9" w14:textId="77777777" w:rsidTr="000F1D5E">
        <w:trPr>
          <w:trHeight w:val="380"/>
        </w:trPr>
        <w:tc>
          <w:tcPr>
            <w:tcW w:w="2807" w:type="dxa"/>
            <w:tcBorders>
              <w:left w:val="single" w:sz="4" w:space="0" w:color="auto"/>
              <w:right w:val="single" w:sz="4" w:space="0" w:color="auto"/>
            </w:tcBorders>
            <w:noWrap/>
            <w:vAlign w:val="center"/>
            <w:hideMark/>
          </w:tcPr>
          <w:p w14:paraId="6AB891B7"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Adenoma</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n=198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5BB10C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31</w:t>
            </w:r>
          </w:p>
        </w:tc>
        <w:tc>
          <w:tcPr>
            <w:tcW w:w="2071" w:type="dxa"/>
            <w:tcBorders>
              <w:right w:val="single" w:sz="4" w:space="0" w:color="auto"/>
            </w:tcBorders>
            <w:noWrap/>
            <w:vAlign w:val="center"/>
            <w:hideMark/>
          </w:tcPr>
          <w:p w14:paraId="347F0FA3"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15.7</w:t>
            </w:r>
            <w:r w:rsidRPr="00343AFC">
              <w:rPr>
                <w:rFonts w:ascii="Cambria" w:eastAsia="Times New Roman" w:hAnsi="Cambria" w:cs="Times New Roman"/>
                <w:color w:val="000000"/>
                <w:sz w:val="22"/>
                <w:szCs w:val="22"/>
              </w:rPr>
              <w:t xml:space="preserve"> (10.6-20.7)</w:t>
            </w:r>
          </w:p>
        </w:tc>
        <w:tc>
          <w:tcPr>
            <w:tcW w:w="1438" w:type="dxa"/>
            <w:tcBorders>
              <w:left w:val="single" w:sz="4" w:space="0" w:color="auto"/>
            </w:tcBorders>
            <w:noWrap/>
            <w:vAlign w:val="center"/>
            <w:hideMark/>
          </w:tcPr>
          <w:p w14:paraId="0987B14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113</w:t>
            </w:r>
          </w:p>
        </w:tc>
        <w:tc>
          <w:tcPr>
            <w:tcW w:w="2069" w:type="dxa"/>
            <w:tcBorders>
              <w:right w:val="single" w:sz="4" w:space="0" w:color="auto"/>
            </w:tcBorders>
            <w:noWrap/>
            <w:vAlign w:val="center"/>
            <w:hideMark/>
          </w:tcPr>
          <w:p w14:paraId="35A92BE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57.1</w:t>
            </w:r>
            <w:r w:rsidRPr="00343AFC">
              <w:rPr>
                <w:rFonts w:ascii="Cambria" w:eastAsia="Times New Roman" w:hAnsi="Cambria" w:cs="Times New Roman"/>
                <w:color w:val="000000"/>
                <w:sz w:val="22"/>
                <w:szCs w:val="22"/>
              </w:rPr>
              <w:t xml:space="preserve">  (50.5-64.1)</w:t>
            </w:r>
          </w:p>
        </w:tc>
      </w:tr>
      <w:tr w:rsidR="001D7A82" w:rsidRPr="00343AFC" w14:paraId="2FCB90F6" w14:textId="77777777" w:rsidTr="000F1D5E">
        <w:trPr>
          <w:trHeight w:val="380"/>
        </w:trPr>
        <w:tc>
          <w:tcPr>
            <w:tcW w:w="2807" w:type="dxa"/>
            <w:tcBorders>
              <w:left w:val="single" w:sz="4" w:space="0" w:color="auto"/>
              <w:right w:val="single" w:sz="4" w:space="0" w:color="auto"/>
            </w:tcBorders>
            <w:noWrap/>
            <w:vAlign w:val="center"/>
            <w:hideMark/>
          </w:tcPr>
          <w:p w14:paraId="0ED82627"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Any Lesions</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n=318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153C67F5"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121</w:t>
            </w:r>
          </w:p>
        </w:tc>
        <w:tc>
          <w:tcPr>
            <w:tcW w:w="2071" w:type="dxa"/>
            <w:tcBorders>
              <w:right w:val="single" w:sz="4" w:space="0" w:color="auto"/>
            </w:tcBorders>
            <w:noWrap/>
            <w:vAlign w:val="center"/>
            <w:hideMark/>
          </w:tcPr>
          <w:p w14:paraId="496CE7E9"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38.1</w:t>
            </w:r>
            <w:r w:rsidRPr="00343AFC">
              <w:rPr>
                <w:rFonts w:ascii="Cambria" w:eastAsia="Times New Roman" w:hAnsi="Cambria" w:cs="Times New Roman"/>
                <w:color w:val="000000"/>
                <w:sz w:val="22"/>
                <w:szCs w:val="22"/>
              </w:rPr>
              <w:t xml:space="preserve"> (33-43.1)</w:t>
            </w:r>
          </w:p>
        </w:tc>
        <w:tc>
          <w:tcPr>
            <w:tcW w:w="1438" w:type="dxa"/>
            <w:tcBorders>
              <w:left w:val="single" w:sz="4" w:space="0" w:color="auto"/>
            </w:tcBorders>
            <w:noWrap/>
            <w:vAlign w:val="center"/>
            <w:hideMark/>
          </w:tcPr>
          <w:p w14:paraId="7209C18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227</w:t>
            </w:r>
          </w:p>
        </w:tc>
        <w:tc>
          <w:tcPr>
            <w:tcW w:w="2069" w:type="dxa"/>
            <w:tcBorders>
              <w:right w:val="single" w:sz="4" w:space="0" w:color="auto"/>
            </w:tcBorders>
            <w:noWrap/>
            <w:vAlign w:val="center"/>
            <w:hideMark/>
          </w:tcPr>
          <w:p w14:paraId="7B52BA8C"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71.4</w:t>
            </w:r>
            <w:r w:rsidRPr="00343AFC">
              <w:rPr>
                <w:rFonts w:ascii="Cambria" w:eastAsia="Times New Roman" w:hAnsi="Cambria" w:cs="Times New Roman"/>
                <w:color w:val="000000"/>
                <w:sz w:val="22"/>
                <w:szCs w:val="22"/>
              </w:rPr>
              <w:t xml:space="preserve"> (66.4-76.1)</w:t>
            </w:r>
          </w:p>
        </w:tc>
      </w:tr>
      <w:tr w:rsidR="001D7A82" w:rsidRPr="00343AFC" w14:paraId="113BF827" w14:textId="77777777" w:rsidTr="000F1D5E">
        <w:trPr>
          <w:trHeight w:val="332"/>
        </w:trPr>
        <w:tc>
          <w:tcPr>
            <w:tcW w:w="2807" w:type="dxa"/>
            <w:tcBorders>
              <w:left w:val="single" w:sz="4" w:space="0" w:color="auto"/>
              <w:right w:val="single" w:sz="4" w:space="0" w:color="auto"/>
            </w:tcBorders>
            <w:noWrap/>
            <w:vAlign w:val="center"/>
            <w:hideMark/>
          </w:tcPr>
          <w:p w14:paraId="2F84E9D6" w14:textId="77777777" w:rsidR="001D7A82" w:rsidRPr="00343AFC" w:rsidRDefault="001D7A82" w:rsidP="000F1D5E">
            <w:pPr>
              <w:spacing w:before="0" w:after="0" w:line="240" w:lineRule="auto"/>
              <w:rPr>
                <w:rFonts w:ascii="Cambria" w:eastAsia="Times New Roman" w:hAnsi="Cambria" w:cs="Times New Roman"/>
                <w:color w:val="000000"/>
                <w:sz w:val="22"/>
                <w:szCs w:val="22"/>
              </w:rPr>
            </w:pPr>
          </w:p>
        </w:tc>
        <w:tc>
          <w:tcPr>
            <w:tcW w:w="3511" w:type="dxa"/>
            <w:gridSpan w:val="2"/>
            <w:tcBorders>
              <w:left w:val="single" w:sz="4" w:space="0" w:color="auto"/>
              <w:right w:val="single" w:sz="4" w:space="0" w:color="auto"/>
            </w:tcBorders>
            <w:vAlign w:val="center"/>
          </w:tcPr>
          <w:p w14:paraId="190B80A0" w14:textId="77777777" w:rsidR="001D7A82" w:rsidRPr="00343AFC" w:rsidRDefault="001D7A82" w:rsidP="000F1D5E">
            <w:pPr>
              <w:spacing w:before="0" w:after="0" w:line="240" w:lineRule="auto"/>
              <w:rPr>
                <w:rFonts w:ascii="Cambria" w:eastAsia="Times New Roman" w:hAnsi="Cambria" w:cs="Times New Roman"/>
                <w:color w:val="000000"/>
                <w:sz w:val="22"/>
                <w:szCs w:val="22"/>
              </w:rPr>
            </w:pPr>
          </w:p>
        </w:tc>
        <w:tc>
          <w:tcPr>
            <w:tcW w:w="3507" w:type="dxa"/>
            <w:gridSpan w:val="2"/>
            <w:tcBorders>
              <w:left w:val="single" w:sz="4" w:space="0" w:color="auto"/>
              <w:right w:val="single" w:sz="4" w:space="0" w:color="auto"/>
            </w:tcBorders>
            <w:vAlign w:val="center"/>
          </w:tcPr>
          <w:p w14:paraId="69523158" w14:textId="77777777" w:rsidR="001D7A82" w:rsidRPr="00343AFC" w:rsidRDefault="001D7A82" w:rsidP="000F1D5E">
            <w:pPr>
              <w:spacing w:before="0" w:after="0" w:line="240" w:lineRule="auto"/>
              <w:rPr>
                <w:rFonts w:ascii="Cambria" w:eastAsia="Times New Roman" w:hAnsi="Cambria" w:cs="Times New Roman"/>
                <w:color w:val="000000"/>
                <w:sz w:val="22"/>
                <w:szCs w:val="22"/>
              </w:rPr>
            </w:pPr>
          </w:p>
        </w:tc>
      </w:tr>
      <w:tr w:rsidR="001D7A82" w:rsidRPr="00343AFC" w14:paraId="43E5240A" w14:textId="77777777" w:rsidTr="000F1D5E">
        <w:trPr>
          <w:trHeight w:val="520"/>
        </w:trPr>
        <w:tc>
          <w:tcPr>
            <w:tcW w:w="2807" w:type="dxa"/>
            <w:tcBorders>
              <w:left w:val="single" w:sz="4" w:space="0" w:color="auto"/>
              <w:right w:val="single" w:sz="4" w:space="0" w:color="auto"/>
            </w:tcBorders>
            <w:noWrap/>
            <w:vAlign w:val="center"/>
            <w:hideMark/>
          </w:tcPr>
          <w:p w14:paraId="44ABBB52"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0B3E19C0"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686E8FDF"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71" w:type="dxa"/>
            <w:tcBorders>
              <w:right w:val="single" w:sz="4" w:space="0" w:color="auto"/>
            </w:tcBorders>
            <w:vAlign w:val="center"/>
            <w:hideMark/>
          </w:tcPr>
          <w:p w14:paraId="749255E5"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2CF62402"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69" w:type="dxa"/>
            <w:tcBorders>
              <w:right w:val="single" w:sz="4" w:space="0" w:color="auto"/>
            </w:tcBorders>
            <w:vAlign w:val="center"/>
            <w:hideMark/>
          </w:tcPr>
          <w:p w14:paraId="79D0374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r>
      <w:tr w:rsidR="001D7A82" w:rsidRPr="00343AFC" w14:paraId="45B2877F" w14:textId="77777777" w:rsidTr="000F1D5E">
        <w:trPr>
          <w:trHeight w:val="440"/>
        </w:trPr>
        <w:tc>
          <w:tcPr>
            <w:tcW w:w="2807" w:type="dxa"/>
            <w:tcBorders>
              <w:left w:val="single" w:sz="4" w:space="0" w:color="auto"/>
              <w:bottom w:val="single" w:sz="4" w:space="0" w:color="auto"/>
              <w:right w:val="single" w:sz="4" w:space="0" w:color="auto"/>
            </w:tcBorders>
            <w:noWrap/>
            <w:vAlign w:val="center"/>
            <w:hideMark/>
          </w:tcPr>
          <w:p w14:paraId="48A462AF"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Normal</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n=172</w:t>
            </w:r>
            <w:r>
              <w:rPr>
                <w:rFonts w:ascii="Cambria" w:eastAsia="Times New Roman" w:hAnsi="Cambria" w:cs="Times New Roman"/>
                <w:color w:val="000000"/>
                <w:sz w:val="22"/>
                <w:szCs w:val="22"/>
              </w:rPr>
              <w:t>)</w:t>
            </w:r>
          </w:p>
        </w:tc>
        <w:tc>
          <w:tcPr>
            <w:tcW w:w="1440" w:type="dxa"/>
            <w:tcBorders>
              <w:left w:val="single" w:sz="4" w:space="0" w:color="auto"/>
              <w:bottom w:val="single" w:sz="4" w:space="0" w:color="auto"/>
            </w:tcBorders>
            <w:noWrap/>
            <w:vAlign w:val="center"/>
            <w:hideMark/>
          </w:tcPr>
          <w:p w14:paraId="656A9F40"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167</w:t>
            </w:r>
          </w:p>
        </w:tc>
        <w:tc>
          <w:tcPr>
            <w:tcW w:w="2071" w:type="dxa"/>
            <w:tcBorders>
              <w:bottom w:val="single" w:sz="4" w:space="0" w:color="auto"/>
              <w:right w:val="single" w:sz="4" w:space="0" w:color="auto"/>
            </w:tcBorders>
            <w:noWrap/>
            <w:vAlign w:val="center"/>
            <w:hideMark/>
          </w:tcPr>
          <w:p w14:paraId="466C459F"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97.1</w:t>
            </w:r>
            <w:r w:rsidRPr="00343AFC">
              <w:rPr>
                <w:rFonts w:ascii="Cambria" w:eastAsia="Times New Roman" w:hAnsi="Cambria" w:cs="Times New Roman"/>
                <w:color w:val="000000"/>
                <w:sz w:val="22"/>
                <w:szCs w:val="22"/>
              </w:rPr>
              <w:t xml:space="preserve"> (94.8-99.4)</w:t>
            </w:r>
          </w:p>
        </w:tc>
        <w:tc>
          <w:tcPr>
            <w:tcW w:w="1438" w:type="dxa"/>
            <w:tcBorders>
              <w:left w:val="single" w:sz="4" w:space="0" w:color="auto"/>
              <w:bottom w:val="single" w:sz="4" w:space="0" w:color="auto"/>
            </w:tcBorders>
            <w:noWrap/>
            <w:vAlign w:val="center"/>
            <w:hideMark/>
          </w:tcPr>
          <w:p w14:paraId="42B7C9C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144</w:t>
            </w:r>
          </w:p>
        </w:tc>
        <w:tc>
          <w:tcPr>
            <w:tcW w:w="2069" w:type="dxa"/>
            <w:tcBorders>
              <w:bottom w:val="single" w:sz="4" w:space="0" w:color="auto"/>
              <w:right w:val="single" w:sz="4" w:space="0" w:color="auto"/>
            </w:tcBorders>
            <w:noWrap/>
            <w:vAlign w:val="center"/>
            <w:hideMark/>
          </w:tcPr>
          <w:p w14:paraId="1FC4385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83.7</w:t>
            </w:r>
            <w:r w:rsidRPr="00343AFC">
              <w:rPr>
                <w:rFonts w:ascii="Cambria" w:eastAsia="Times New Roman" w:hAnsi="Cambria" w:cs="Times New Roman"/>
                <w:color w:val="000000"/>
                <w:sz w:val="22"/>
                <w:szCs w:val="22"/>
              </w:rPr>
              <w:t xml:space="preserve"> (78.5-89)</w:t>
            </w:r>
          </w:p>
        </w:tc>
      </w:tr>
    </w:tbl>
    <w:p w14:paraId="6D04F2D1" w14:textId="77777777" w:rsidR="001D7A82" w:rsidRDefault="001D7A82" w:rsidP="000F1D5E">
      <w:r>
        <w:rPr>
          <w:b/>
        </w:rPr>
        <w:t>Table 1. Sensitivities and specificities for FIT and MMT.</w:t>
      </w:r>
      <w:r>
        <w:t xml:space="preserve"> The 95% confidence intervals were computed with 2000 stratified bootstrap replicates.</w:t>
      </w:r>
    </w:p>
    <w:p w14:paraId="71E43A67" w14:textId="77777777" w:rsidR="001D7A82" w:rsidRDefault="001D7A82" w:rsidP="001D7A82">
      <w:pPr>
        <w:rPr>
          <w:ins w:id="47" w:author="Niel Baxter" w:date="2016-01-14T13:39:00Z"/>
          <w:b/>
        </w:rPr>
      </w:pPr>
    </w:p>
    <w:tbl>
      <w:tblPr>
        <w:tblW w:w="9375" w:type="dxa"/>
        <w:tblInd w:w="93" w:type="dxa"/>
        <w:tblLayout w:type="fixed"/>
        <w:tblLook w:val="04A0" w:firstRow="1" w:lastRow="0" w:firstColumn="1" w:lastColumn="0" w:noHBand="0" w:noVBand="1"/>
      </w:tblPr>
      <w:tblGrid>
        <w:gridCol w:w="1995"/>
        <w:gridCol w:w="1260"/>
        <w:gridCol w:w="1530"/>
        <w:gridCol w:w="1350"/>
        <w:gridCol w:w="1530"/>
        <w:gridCol w:w="1710"/>
      </w:tblGrid>
      <w:tr w:rsidR="001D7A82" w:rsidRPr="00343AFC" w14:paraId="03B504CB" w14:textId="77777777" w:rsidTr="000F1D5E">
        <w:trPr>
          <w:trHeight w:val="739"/>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14:paraId="5BA172A2"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Condition</w:t>
            </w:r>
          </w:p>
        </w:tc>
        <w:tc>
          <w:tcPr>
            <w:tcW w:w="1260" w:type="dxa"/>
            <w:tcBorders>
              <w:top w:val="single" w:sz="4" w:space="0" w:color="auto"/>
              <w:left w:val="nil"/>
              <w:bottom w:val="single" w:sz="4" w:space="0" w:color="auto"/>
              <w:right w:val="nil"/>
            </w:tcBorders>
            <w:shd w:val="clear" w:color="auto" w:fill="auto"/>
            <w:noWrap/>
            <w:vAlign w:val="bottom"/>
            <w:hideMark/>
          </w:tcPr>
          <w:p w14:paraId="5BB79C5F"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Prevalence</w:t>
            </w:r>
          </w:p>
        </w:tc>
        <w:tc>
          <w:tcPr>
            <w:tcW w:w="1530" w:type="dxa"/>
            <w:tcBorders>
              <w:top w:val="single" w:sz="4" w:space="0" w:color="auto"/>
              <w:left w:val="nil"/>
              <w:bottom w:val="single" w:sz="4" w:space="0" w:color="auto"/>
              <w:right w:val="nil"/>
            </w:tcBorders>
            <w:shd w:val="clear" w:color="auto" w:fill="auto"/>
            <w:vAlign w:val="bottom"/>
            <w:hideMark/>
          </w:tcPr>
          <w:p w14:paraId="2DF6DB7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Number of Persons, ages 50-75 years, with Condition</w:t>
            </w:r>
          </w:p>
        </w:tc>
        <w:tc>
          <w:tcPr>
            <w:tcW w:w="1350" w:type="dxa"/>
            <w:tcBorders>
              <w:top w:val="single" w:sz="4" w:space="0" w:color="auto"/>
              <w:left w:val="nil"/>
              <w:bottom w:val="single" w:sz="4" w:space="0" w:color="auto"/>
              <w:right w:val="nil"/>
            </w:tcBorders>
            <w:shd w:val="clear" w:color="auto" w:fill="auto"/>
            <w:vAlign w:val="bottom"/>
            <w:hideMark/>
          </w:tcPr>
          <w:p w14:paraId="724DBD0A"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FIT</w:t>
            </w:r>
          </w:p>
        </w:tc>
        <w:tc>
          <w:tcPr>
            <w:tcW w:w="1530" w:type="dxa"/>
            <w:tcBorders>
              <w:top w:val="single" w:sz="4" w:space="0" w:color="auto"/>
              <w:left w:val="nil"/>
              <w:bottom w:val="single" w:sz="4" w:space="0" w:color="auto"/>
              <w:right w:val="nil"/>
            </w:tcBorders>
            <w:shd w:val="clear" w:color="auto" w:fill="auto"/>
            <w:vAlign w:val="bottom"/>
            <w:hideMark/>
          </w:tcPr>
          <w:p w14:paraId="2B5A28E9"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additional MMT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CE04B49"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Percentage of True Positives identified through additional MMT</w:t>
            </w:r>
          </w:p>
        </w:tc>
      </w:tr>
      <w:tr w:rsidR="001D7A82" w:rsidRPr="00343AFC" w14:paraId="0CF121A6" w14:textId="77777777" w:rsidTr="000F1D5E">
        <w:trPr>
          <w:trHeight w:val="199"/>
        </w:trPr>
        <w:tc>
          <w:tcPr>
            <w:tcW w:w="1995" w:type="dxa"/>
            <w:tcBorders>
              <w:top w:val="nil"/>
              <w:left w:val="single" w:sz="4" w:space="0" w:color="auto"/>
              <w:bottom w:val="nil"/>
              <w:right w:val="nil"/>
            </w:tcBorders>
            <w:shd w:val="clear" w:color="auto" w:fill="auto"/>
            <w:noWrap/>
            <w:vAlign w:val="bottom"/>
            <w:hideMark/>
          </w:tcPr>
          <w:p w14:paraId="528587FB"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260" w:type="dxa"/>
            <w:tcBorders>
              <w:top w:val="nil"/>
              <w:left w:val="nil"/>
              <w:bottom w:val="nil"/>
              <w:right w:val="nil"/>
            </w:tcBorders>
            <w:shd w:val="clear" w:color="auto" w:fill="auto"/>
            <w:noWrap/>
            <w:vAlign w:val="bottom"/>
            <w:hideMark/>
          </w:tcPr>
          <w:p w14:paraId="67BE96C7"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15AB2E08"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350" w:type="dxa"/>
            <w:tcBorders>
              <w:top w:val="nil"/>
              <w:left w:val="nil"/>
              <w:bottom w:val="nil"/>
              <w:right w:val="nil"/>
            </w:tcBorders>
            <w:shd w:val="clear" w:color="auto" w:fill="auto"/>
            <w:noWrap/>
            <w:vAlign w:val="bottom"/>
            <w:hideMark/>
          </w:tcPr>
          <w:p w14:paraId="6311A54C"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36FF3DE2"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710" w:type="dxa"/>
            <w:tcBorders>
              <w:top w:val="nil"/>
              <w:left w:val="nil"/>
              <w:bottom w:val="nil"/>
              <w:right w:val="single" w:sz="4" w:space="0" w:color="auto"/>
            </w:tcBorders>
            <w:shd w:val="clear" w:color="auto" w:fill="auto"/>
            <w:noWrap/>
            <w:vAlign w:val="bottom"/>
            <w:hideMark/>
          </w:tcPr>
          <w:p w14:paraId="78F5E8CE"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r>
      <w:tr w:rsidR="001D7A82" w:rsidRPr="00343AFC" w14:paraId="527094EB" w14:textId="77777777" w:rsidTr="000F1D5E">
        <w:trPr>
          <w:trHeight w:val="199"/>
        </w:trPr>
        <w:tc>
          <w:tcPr>
            <w:tcW w:w="1995" w:type="dxa"/>
            <w:tcBorders>
              <w:top w:val="nil"/>
              <w:left w:val="single" w:sz="4" w:space="0" w:color="auto"/>
              <w:bottom w:val="nil"/>
              <w:right w:val="nil"/>
            </w:tcBorders>
            <w:shd w:val="clear" w:color="auto" w:fill="auto"/>
            <w:noWrap/>
            <w:vAlign w:val="bottom"/>
            <w:hideMark/>
          </w:tcPr>
          <w:p w14:paraId="19A485B2"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bottom"/>
            <w:hideMark/>
          </w:tcPr>
          <w:p w14:paraId="57A9AD78"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0.3%</w:t>
            </w:r>
          </w:p>
        </w:tc>
        <w:tc>
          <w:tcPr>
            <w:tcW w:w="1530" w:type="dxa"/>
            <w:tcBorders>
              <w:top w:val="nil"/>
              <w:left w:val="nil"/>
              <w:bottom w:val="nil"/>
              <w:right w:val="nil"/>
            </w:tcBorders>
            <w:shd w:val="clear" w:color="auto" w:fill="auto"/>
            <w:noWrap/>
            <w:vAlign w:val="bottom"/>
            <w:hideMark/>
          </w:tcPr>
          <w:p w14:paraId="2370AA17"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241,483</w:t>
            </w:r>
          </w:p>
        </w:tc>
        <w:tc>
          <w:tcPr>
            <w:tcW w:w="1350" w:type="dxa"/>
            <w:tcBorders>
              <w:top w:val="nil"/>
              <w:left w:val="nil"/>
              <w:bottom w:val="nil"/>
              <w:right w:val="nil"/>
            </w:tcBorders>
            <w:shd w:val="clear" w:color="auto" w:fill="auto"/>
            <w:noWrap/>
            <w:vAlign w:val="bottom"/>
            <w:hideMark/>
          </w:tcPr>
          <w:p w14:paraId="3439F17F"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181,112</w:t>
            </w:r>
          </w:p>
        </w:tc>
        <w:tc>
          <w:tcPr>
            <w:tcW w:w="1530" w:type="dxa"/>
            <w:tcBorders>
              <w:top w:val="nil"/>
              <w:left w:val="nil"/>
              <w:bottom w:val="nil"/>
              <w:right w:val="nil"/>
            </w:tcBorders>
            <w:shd w:val="clear" w:color="auto" w:fill="auto"/>
            <w:noWrap/>
            <w:vAlign w:val="bottom"/>
            <w:hideMark/>
          </w:tcPr>
          <w:p w14:paraId="2DF2775E"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222,260</w:t>
            </w:r>
          </w:p>
        </w:tc>
        <w:tc>
          <w:tcPr>
            <w:tcW w:w="1710" w:type="dxa"/>
            <w:tcBorders>
              <w:top w:val="nil"/>
              <w:left w:val="nil"/>
              <w:bottom w:val="nil"/>
              <w:right w:val="single" w:sz="4" w:space="0" w:color="auto"/>
            </w:tcBorders>
            <w:shd w:val="clear" w:color="auto" w:fill="auto"/>
            <w:noWrap/>
            <w:vAlign w:val="bottom"/>
            <w:hideMark/>
          </w:tcPr>
          <w:p w14:paraId="49DA3002"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55.1%</w:t>
            </w:r>
          </w:p>
        </w:tc>
      </w:tr>
      <w:tr w:rsidR="001D7A82" w:rsidRPr="00343AFC" w14:paraId="69CA69FD" w14:textId="77777777" w:rsidTr="000F1D5E">
        <w:trPr>
          <w:trHeight w:val="199"/>
        </w:trPr>
        <w:tc>
          <w:tcPr>
            <w:tcW w:w="1995" w:type="dxa"/>
            <w:tcBorders>
              <w:top w:val="nil"/>
              <w:left w:val="single" w:sz="4" w:space="0" w:color="auto"/>
              <w:bottom w:val="nil"/>
              <w:right w:val="nil"/>
            </w:tcBorders>
            <w:shd w:val="clear" w:color="auto" w:fill="auto"/>
            <w:noWrap/>
            <w:vAlign w:val="bottom"/>
            <w:hideMark/>
          </w:tcPr>
          <w:p w14:paraId="440DCD31"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bottom"/>
            <w:hideMark/>
          </w:tcPr>
          <w:p w14:paraId="6085B820"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5.7%</w:t>
            </w:r>
          </w:p>
        </w:tc>
        <w:tc>
          <w:tcPr>
            <w:tcW w:w="1530" w:type="dxa"/>
            <w:tcBorders>
              <w:top w:val="nil"/>
              <w:left w:val="nil"/>
              <w:bottom w:val="nil"/>
              <w:right w:val="nil"/>
            </w:tcBorders>
            <w:shd w:val="clear" w:color="auto" w:fill="auto"/>
            <w:noWrap/>
            <w:vAlign w:val="bottom"/>
            <w:hideMark/>
          </w:tcPr>
          <w:p w14:paraId="04F58FFA"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4,588,174</w:t>
            </w:r>
          </w:p>
        </w:tc>
        <w:tc>
          <w:tcPr>
            <w:tcW w:w="1350" w:type="dxa"/>
            <w:tcBorders>
              <w:top w:val="nil"/>
              <w:left w:val="nil"/>
              <w:bottom w:val="nil"/>
              <w:right w:val="nil"/>
            </w:tcBorders>
            <w:shd w:val="clear" w:color="auto" w:fill="auto"/>
            <w:noWrap/>
            <w:vAlign w:val="bottom"/>
            <w:hideMark/>
          </w:tcPr>
          <w:p w14:paraId="5BA10FF5"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885,518</w:t>
            </w:r>
          </w:p>
        </w:tc>
        <w:tc>
          <w:tcPr>
            <w:tcW w:w="1530" w:type="dxa"/>
            <w:tcBorders>
              <w:top w:val="nil"/>
              <w:left w:val="nil"/>
              <w:bottom w:val="nil"/>
              <w:right w:val="nil"/>
            </w:tcBorders>
            <w:shd w:val="clear" w:color="auto" w:fill="auto"/>
            <w:noWrap/>
            <w:vAlign w:val="bottom"/>
            <w:hideMark/>
          </w:tcPr>
          <w:p w14:paraId="4CEE154D"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2,276,159</w:t>
            </w:r>
          </w:p>
        </w:tc>
        <w:tc>
          <w:tcPr>
            <w:tcW w:w="1710" w:type="dxa"/>
            <w:tcBorders>
              <w:top w:val="nil"/>
              <w:left w:val="nil"/>
              <w:bottom w:val="nil"/>
              <w:right w:val="single" w:sz="4" w:space="0" w:color="auto"/>
            </w:tcBorders>
            <w:shd w:val="clear" w:color="auto" w:fill="auto"/>
            <w:noWrap/>
            <w:vAlign w:val="bottom"/>
            <w:hideMark/>
          </w:tcPr>
          <w:p w14:paraId="64B40901"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72.0%</w:t>
            </w:r>
          </w:p>
        </w:tc>
      </w:tr>
      <w:tr w:rsidR="001D7A82" w:rsidRPr="00343AFC" w14:paraId="57F38FEA" w14:textId="77777777" w:rsidTr="000F1D5E">
        <w:trPr>
          <w:trHeight w:val="216"/>
        </w:trPr>
        <w:tc>
          <w:tcPr>
            <w:tcW w:w="1995" w:type="dxa"/>
            <w:tcBorders>
              <w:top w:val="nil"/>
              <w:left w:val="single" w:sz="4" w:space="0" w:color="auto"/>
              <w:bottom w:val="single" w:sz="4" w:space="0" w:color="auto"/>
              <w:right w:val="nil"/>
            </w:tcBorders>
            <w:shd w:val="clear" w:color="auto" w:fill="auto"/>
            <w:noWrap/>
            <w:vAlign w:val="bottom"/>
            <w:hideMark/>
          </w:tcPr>
          <w:p w14:paraId="15510E11"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Non-advanced Adenoma</w:t>
            </w:r>
          </w:p>
        </w:tc>
        <w:tc>
          <w:tcPr>
            <w:tcW w:w="1260" w:type="dxa"/>
            <w:tcBorders>
              <w:top w:val="nil"/>
              <w:left w:val="nil"/>
              <w:bottom w:val="single" w:sz="4" w:space="0" w:color="auto"/>
              <w:right w:val="nil"/>
            </w:tcBorders>
            <w:shd w:val="clear" w:color="auto" w:fill="auto"/>
            <w:noWrap/>
            <w:vAlign w:val="bottom"/>
            <w:hideMark/>
          </w:tcPr>
          <w:p w14:paraId="61955F0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17.7%</w:t>
            </w:r>
          </w:p>
        </w:tc>
        <w:tc>
          <w:tcPr>
            <w:tcW w:w="1530" w:type="dxa"/>
            <w:tcBorders>
              <w:top w:val="nil"/>
              <w:left w:val="nil"/>
              <w:bottom w:val="single" w:sz="4" w:space="0" w:color="auto"/>
              <w:right w:val="nil"/>
            </w:tcBorders>
            <w:shd w:val="clear" w:color="auto" w:fill="auto"/>
            <w:noWrap/>
            <w:vAlign w:val="bottom"/>
            <w:hideMark/>
          </w:tcPr>
          <w:p w14:paraId="3A6B092D"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14,247,488</w:t>
            </w:r>
          </w:p>
        </w:tc>
        <w:tc>
          <w:tcPr>
            <w:tcW w:w="1350" w:type="dxa"/>
            <w:tcBorders>
              <w:top w:val="nil"/>
              <w:left w:val="nil"/>
              <w:bottom w:val="single" w:sz="4" w:space="0" w:color="auto"/>
              <w:right w:val="nil"/>
            </w:tcBorders>
            <w:shd w:val="clear" w:color="auto" w:fill="auto"/>
            <w:noWrap/>
            <w:vAlign w:val="bottom"/>
            <w:hideMark/>
          </w:tcPr>
          <w:p w14:paraId="374BCC5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1,595,719</w:t>
            </w:r>
          </w:p>
        </w:tc>
        <w:tc>
          <w:tcPr>
            <w:tcW w:w="1530" w:type="dxa"/>
            <w:tcBorders>
              <w:top w:val="nil"/>
              <w:left w:val="nil"/>
              <w:bottom w:val="single" w:sz="4" w:space="0" w:color="auto"/>
              <w:right w:val="nil"/>
            </w:tcBorders>
            <w:shd w:val="clear" w:color="auto" w:fill="auto"/>
            <w:noWrap/>
            <w:vAlign w:val="bottom"/>
            <w:hideMark/>
          </w:tcPr>
          <w:p w14:paraId="71EA893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7,507,376</w:t>
            </w:r>
          </w:p>
        </w:tc>
        <w:tc>
          <w:tcPr>
            <w:tcW w:w="1710" w:type="dxa"/>
            <w:tcBorders>
              <w:top w:val="nil"/>
              <w:left w:val="nil"/>
              <w:bottom w:val="single" w:sz="4" w:space="0" w:color="auto"/>
              <w:right w:val="single" w:sz="4" w:space="0" w:color="auto"/>
            </w:tcBorders>
            <w:shd w:val="clear" w:color="auto" w:fill="auto"/>
            <w:noWrap/>
            <w:vAlign w:val="bottom"/>
            <w:hideMark/>
          </w:tcPr>
          <w:p w14:paraId="4D9E9629"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82.5%</w:t>
            </w:r>
          </w:p>
        </w:tc>
      </w:tr>
      <w:tr w:rsidR="001D7A82" w:rsidRPr="00343AFC" w14:paraId="29C62C7F" w14:textId="77777777" w:rsidTr="000F1D5E">
        <w:trPr>
          <w:trHeight w:val="230"/>
        </w:trPr>
        <w:tc>
          <w:tcPr>
            <w:tcW w:w="9375" w:type="dxa"/>
            <w:gridSpan w:val="6"/>
            <w:vMerge w:val="restart"/>
            <w:tcBorders>
              <w:top w:val="single" w:sz="4" w:space="0" w:color="auto"/>
              <w:left w:val="nil"/>
              <w:bottom w:val="nil"/>
              <w:right w:val="nil"/>
            </w:tcBorders>
            <w:shd w:val="clear" w:color="auto" w:fill="auto"/>
            <w:vAlign w:val="bottom"/>
            <w:hideMark/>
          </w:tcPr>
          <w:p w14:paraId="35E4E8DD" w14:textId="77777777" w:rsidR="001D7A82" w:rsidRPr="00343AFC" w:rsidRDefault="001D7A82" w:rsidP="000F1D5E">
            <w:pPr>
              <w:spacing w:before="0" w:after="0" w:line="240" w:lineRule="auto"/>
              <w:jc w:val="center"/>
              <w:rPr>
                <w:rFonts w:ascii="Arial" w:eastAsia="Times New Roman" w:hAnsi="Arial" w:cs="Arial"/>
                <w:color w:val="000000"/>
                <w:sz w:val="20"/>
                <w:szCs w:val="20"/>
              </w:rPr>
            </w:pPr>
            <w:r w:rsidRPr="00343AFC">
              <w:rPr>
                <w:rFonts w:ascii="Arial" w:eastAsia="Times New Roman" w:hAnsi="Arial" w:cs="Arial"/>
                <w:color w:val="000000"/>
                <w:sz w:val="20"/>
                <w:szCs w:val="20"/>
              </w:rPr>
              <w:t xml:space="preserve">          *Number of persons in the United States in 2010, 50-75 years of age, was 80,494,283.</w:t>
            </w:r>
          </w:p>
        </w:tc>
      </w:tr>
      <w:tr w:rsidR="001D7A82" w:rsidRPr="00343AFC" w14:paraId="1BA426A6" w14:textId="77777777" w:rsidTr="000F1D5E">
        <w:trPr>
          <w:trHeight w:val="230"/>
        </w:trPr>
        <w:tc>
          <w:tcPr>
            <w:tcW w:w="9375" w:type="dxa"/>
            <w:gridSpan w:val="6"/>
            <w:vMerge/>
            <w:tcBorders>
              <w:top w:val="single" w:sz="8" w:space="0" w:color="auto"/>
              <w:left w:val="nil"/>
              <w:bottom w:val="nil"/>
              <w:right w:val="nil"/>
            </w:tcBorders>
            <w:vAlign w:val="center"/>
            <w:hideMark/>
          </w:tcPr>
          <w:p w14:paraId="32A5BF2E"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r>
    </w:tbl>
    <w:p w14:paraId="036B671B" w14:textId="77777777" w:rsidR="001D7A82" w:rsidRDefault="001D7A82" w:rsidP="000F1D5E">
      <w:r>
        <w:rPr>
          <w:b/>
        </w:rPr>
        <w:t>Table 2.</w:t>
      </w:r>
      <w:r w:rsidRPr="000F1D5E">
        <w:rPr>
          <w:b/>
        </w:rPr>
        <w:t xml:space="preserve"> </w:t>
      </w:r>
      <w:r>
        <w:rPr>
          <w:b/>
        </w:rPr>
        <w:t>Estimated performance on average risk population.</w:t>
      </w:r>
      <w:r w:rsidRPr="000F1D5E">
        <w:t xml:space="preserve"> </w:t>
      </w:r>
      <w:r>
        <w:t>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14:paraId="4A5F1E25" w14:textId="77777777" w:rsidR="001D7A82" w:rsidRDefault="001D7A82" w:rsidP="000F1D5E">
      <w:pPr>
        <w:pStyle w:val="Heading3"/>
      </w:pPr>
      <w:bookmarkStart w:id="48" w:name="additional-files"/>
      <w:bookmarkEnd w:id="48"/>
      <w:r>
        <w:lastRenderedPageBreak/>
        <w:t>Additional Files</w:t>
      </w:r>
    </w:p>
    <w:p w14:paraId="3E145925" w14:textId="72C0136D" w:rsidR="001D7A82" w:rsidRDefault="001D7A82" w:rsidP="000F1D5E">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w:t>
      </w:r>
      <w:proofErr w:type="spellStart"/>
      <w:r>
        <w:t>disciminatory</w:t>
      </w:r>
      <w:proofErr w:type="spellEnd"/>
      <w:r>
        <w:t xml:space="preserve"> OTUs in </w:t>
      </w:r>
      <w:del w:id="49" w:author="Niel Baxter" w:date="2016-01-14T13:39:00Z">
        <w:r w:rsidR="006C5A11">
          <w:delText>cancer</w:delText>
        </w:r>
      </w:del>
      <w:ins w:id="50" w:author="Niel Baxter" w:date="2016-01-14T13:39:00Z">
        <w:r>
          <w:t>adenoma</w:t>
        </w:r>
      </w:ins>
      <w:r>
        <w:t xml:space="preserve"> and normal samples.</w:t>
      </w:r>
    </w:p>
    <w:p w14:paraId="2DACA2E7" w14:textId="77777777" w:rsidR="001D7A82" w:rsidRDefault="001D7A82" w:rsidP="000F1D5E">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w:t>
      </w:r>
      <w:proofErr w:type="spellStart"/>
      <w:r>
        <w:t>disciminatory</w:t>
      </w:r>
      <w:proofErr w:type="spellEnd"/>
      <w:r>
        <w:t xml:space="preserve"> OTUs in cancer and normal samples.</w:t>
      </w:r>
    </w:p>
    <w:p w14:paraId="52F2562D" w14:textId="77777777" w:rsidR="001D7A82" w:rsidRDefault="001D7A82" w:rsidP="000F1D5E">
      <w:r>
        <w:rPr>
          <w:b/>
        </w:rPr>
        <w:t>Additional file 3: Figure S3. Bacterial OTUs in MMT.</w:t>
      </w:r>
      <w:r>
        <w:t xml:space="preserve"> (left) Importance of each OTU used in the MMT as measured by the mean decrease in the </w:t>
      </w:r>
      <w:proofErr w:type="spellStart"/>
      <w:r>
        <w:t>Gini</w:t>
      </w:r>
      <w:proofErr w:type="spellEnd"/>
      <w:r>
        <w:t xml:space="preserve"> index when the OTU is removed from the model. (right) </w:t>
      </w:r>
      <w:proofErr w:type="spellStart"/>
      <w:r>
        <w:t>Stripchart</w:t>
      </w:r>
      <w:proofErr w:type="spellEnd"/>
      <w:r>
        <w:t xml:space="preserve"> of the relative abundances of each OTU in the MMT with black lines at the medians.</w:t>
      </w:r>
    </w:p>
    <w:p w14:paraId="35E0E985" w14:textId="77777777" w:rsidR="001D7A82" w:rsidRDefault="001D7A82" w:rsidP="001D7A82">
      <w:pPr>
        <w:rPr>
          <w:ins w:id="51" w:author="Niel Baxter" w:date="2016-01-14T13:39:00Z"/>
        </w:rPr>
      </w:pPr>
      <w:r>
        <w:rPr>
          <w:b/>
        </w:rPr>
        <w:t>Additional file 4: Figure S4. MMT performance by sex.</w:t>
      </w:r>
      <w:r>
        <w:t xml:space="preserve"> ROC curves (left) and </w:t>
      </w:r>
      <w:proofErr w:type="spellStart"/>
      <w:r>
        <w:t>stripchart</w:t>
      </w:r>
      <w:proofErr w:type="spellEnd"/>
      <w:r>
        <w:t xml:space="preserve"> (right) of MMT results separated by sex.</w:t>
      </w:r>
    </w:p>
    <w:p w14:paraId="106B5FBF" w14:textId="77777777" w:rsidR="001D7A82" w:rsidRDefault="001D7A82">
      <w:pPr>
        <w:pStyle w:val="Bibliography"/>
      </w:pPr>
    </w:p>
    <w:sectPr w:rsidR="001D7A82" w:rsidSect="000F1D5E">
      <w:footerReference w:type="even" r:id="rId14"/>
      <w:footerReference w:type="default" r:id="rId1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877A7" w14:textId="77777777" w:rsidR="000F1D5E" w:rsidRDefault="000F1D5E">
      <w:pPr>
        <w:spacing w:before="0" w:after="0" w:line="240" w:lineRule="auto"/>
      </w:pPr>
      <w:r>
        <w:separator/>
      </w:r>
    </w:p>
  </w:endnote>
  <w:endnote w:type="continuationSeparator" w:id="0">
    <w:p w14:paraId="5F821E0D" w14:textId="77777777" w:rsidR="000F1D5E" w:rsidRDefault="000F1D5E">
      <w:pPr>
        <w:spacing w:before="0" w:after="0" w:line="240" w:lineRule="auto"/>
      </w:pPr>
      <w:r>
        <w:continuationSeparator/>
      </w:r>
    </w:p>
  </w:endnote>
  <w:endnote w:type="continuationNotice" w:id="1">
    <w:p w14:paraId="61F68571" w14:textId="77777777" w:rsidR="000F1D5E" w:rsidRDefault="000F1D5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CA463" w14:textId="77777777" w:rsidR="000F1D5E" w:rsidRDefault="000F1D5E" w:rsidP="000F1D5E">
    <w:pPr>
      <w:pStyle w:val="Footer"/>
      <w:framePr w:wrap="around" w:vAnchor="text" w:hAnchor="margin" w:xAlign="center" w:y="1"/>
      <w:rPr>
        <w:ins w:id="52" w:author="Niel Baxter" w:date="2016-01-14T13:39:00Z"/>
        <w:rStyle w:val="PageNumber"/>
      </w:rPr>
    </w:pPr>
    <w:ins w:id="53" w:author="Niel Baxter" w:date="2016-01-14T13:39:00Z">
      <w:r>
        <w:rPr>
          <w:rStyle w:val="PageNumber"/>
        </w:rPr>
        <w:fldChar w:fldCharType="begin"/>
      </w:r>
      <w:r>
        <w:rPr>
          <w:rStyle w:val="PageNumber"/>
        </w:rPr>
        <w:instrText xml:space="preserve">PAGE  </w:instrText>
      </w:r>
      <w:r>
        <w:rPr>
          <w:rStyle w:val="PageNumber"/>
        </w:rPr>
        <w:fldChar w:fldCharType="end"/>
      </w:r>
    </w:ins>
  </w:p>
  <w:p w14:paraId="2A0B3B90" w14:textId="77777777" w:rsidR="000F1D5E" w:rsidRDefault="000F1D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C5FA4" w14:textId="77777777" w:rsidR="000F1D5E" w:rsidRDefault="000F1D5E" w:rsidP="000F1D5E">
    <w:pPr>
      <w:pStyle w:val="Footer"/>
      <w:framePr w:wrap="around" w:vAnchor="text" w:hAnchor="margin" w:xAlign="center" w:y="1"/>
      <w:rPr>
        <w:ins w:id="54" w:author="Niel Baxter" w:date="2016-01-14T13:39:00Z"/>
        <w:rStyle w:val="PageNumber"/>
      </w:rPr>
    </w:pPr>
    <w:ins w:id="55" w:author="Niel Baxter" w:date="2016-01-14T13:39:00Z">
      <w:r>
        <w:rPr>
          <w:rStyle w:val="PageNumber"/>
        </w:rPr>
        <w:fldChar w:fldCharType="begin"/>
      </w:r>
      <w:r>
        <w:rPr>
          <w:rStyle w:val="PageNumber"/>
        </w:rPr>
        <w:instrText xml:space="preserve">PAGE  </w:instrText>
      </w:r>
      <w:r>
        <w:rPr>
          <w:rStyle w:val="PageNumber"/>
        </w:rPr>
        <w:fldChar w:fldCharType="separate"/>
      </w:r>
    </w:ins>
    <w:r w:rsidR="00290BCB">
      <w:rPr>
        <w:rStyle w:val="PageNumber"/>
        <w:noProof/>
      </w:rPr>
      <w:t>1</w:t>
    </w:r>
    <w:ins w:id="56" w:author="Niel Baxter" w:date="2016-01-14T13:39:00Z">
      <w:r>
        <w:rPr>
          <w:rStyle w:val="PageNumber"/>
        </w:rPr>
        <w:fldChar w:fldCharType="end"/>
      </w:r>
    </w:ins>
  </w:p>
  <w:p w14:paraId="155E0852" w14:textId="77777777" w:rsidR="000F1D5E" w:rsidRDefault="000F1D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F34F4" w14:textId="77777777" w:rsidR="000F1D5E" w:rsidRDefault="000F1D5E">
      <w:pPr>
        <w:spacing w:before="0" w:after="0" w:line="240" w:lineRule="auto"/>
      </w:pPr>
      <w:r>
        <w:separator/>
      </w:r>
    </w:p>
  </w:footnote>
  <w:footnote w:type="continuationSeparator" w:id="0">
    <w:p w14:paraId="4385DBE6" w14:textId="77777777" w:rsidR="000F1D5E" w:rsidRDefault="000F1D5E">
      <w:pPr>
        <w:spacing w:before="0" w:after="0" w:line="240" w:lineRule="auto"/>
      </w:pPr>
      <w:r>
        <w:continuationSeparator/>
      </w:r>
    </w:p>
  </w:footnote>
  <w:footnote w:type="continuationNotice" w:id="1">
    <w:p w14:paraId="61AF2895" w14:textId="77777777" w:rsidR="000F1D5E" w:rsidRDefault="000F1D5E">
      <w:pPr>
        <w:spacing w:before="0"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7207315"/>
    <w:multiLevelType w:val="multilevel"/>
    <w:tmpl w:val="13D42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090B"/>
    <w:rsid w:val="000D3CD9"/>
    <w:rsid w:val="000F1D5E"/>
    <w:rsid w:val="001D7A82"/>
    <w:rsid w:val="002033FD"/>
    <w:rsid w:val="00290BCB"/>
    <w:rsid w:val="00343AFC"/>
    <w:rsid w:val="00492795"/>
    <w:rsid w:val="004E29B3"/>
    <w:rsid w:val="00590D07"/>
    <w:rsid w:val="006C5A11"/>
    <w:rsid w:val="006D7BCF"/>
    <w:rsid w:val="00784D58"/>
    <w:rsid w:val="008D6863"/>
    <w:rsid w:val="008F7CF0"/>
    <w:rsid w:val="00A17132"/>
    <w:rsid w:val="00A55AB2"/>
    <w:rsid w:val="00A7056D"/>
    <w:rsid w:val="00B86B75"/>
    <w:rsid w:val="00BC48D5"/>
    <w:rsid w:val="00C36279"/>
    <w:rsid w:val="00DA6908"/>
    <w:rsid w:val="00E315A3"/>
    <w:rsid w:val="00FA07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D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0F1D5E"/>
    <w:pPr>
      <w:shd w:val="clear" w:color="auto" w:fill="F8F8F8"/>
      <w:wordWrap w:val="0"/>
    </w:pPr>
  </w:style>
  <w:style w:type="character" w:customStyle="1" w:styleId="KeywordTok2">
    <w:name w:val="KeywordTok"/>
    <w:basedOn w:val="VerbatimChar"/>
    <w:rsid w:val="000F1D5E"/>
    <w:rPr>
      <w:rFonts w:ascii="Consolas" w:hAnsi="Consolas"/>
      <w:b/>
      <w:color w:val="204A87"/>
      <w:sz w:val="22"/>
      <w:shd w:val="clear" w:color="auto" w:fill="F8F8F8"/>
    </w:rPr>
  </w:style>
  <w:style w:type="character" w:customStyle="1" w:styleId="DataTypeTok2">
    <w:name w:val="DataTypeTok"/>
    <w:basedOn w:val="VerbatimChar"/>
    <w:rsid w:val="000F1D5E"/>
    <w:rPr>
      <w:rFonts w:ascii="Consolas" w:hAnsi="Consolas"/>
      <w:color w:val="204A87"/>
      <w:sz w:val="22"/>
      <w:shd w:val="clear" w:color="auto" w:fill="F8F8F8"/>
    </w:rPr>
  </w:style>
  <w:style w:type="character" w:customStyle="1" w:styleId="DecValTok2">
    <w:name w:val="DecValTok"/>
    <w:basedOn w:val="VerbatimChar"/>
    <w:rsid w:val="000F1D5E"/>
    <w:rPr>
      <w:rFonts w:ascii="Consolas" w:hAnsi="Consolas"/>
      <w:color w:val="0000CF"/>
      <w:sz w:val="22"/>
      <w:shd w:val="clear" w:color="auto" w:fill="F8F8F8"/>
    </w:rPr>
  </w:style>
  <w:style w:type="character" w:customStyle="1" w:styleId="BaseNTok2">
    <w:name w:val="BaseNTok"/>
    <w:basedOn w:val="VerbatimChar"/>
    <w:rsid w:val="000F1D5E"/>
    <w:rPr>
      <w:rFonts w:ascii="Consolas" w:hAnsi="Consolas"/>
      <w:color w:val="0000CF"/>
      <w:sz w:val="22"/>
      <w:shd w:val="clear" w:color="auto" w:fill="F8F8F8"/>
    </w:rPr>
  </w:style>
  <w:style w:type="character" w:customStyle="1" w:styleId="FloatTok2">
    <w:name w:val="FloatTok"/>
    <w:basedOn w:val="VerbatimChar"/>
    <w:rsid w:val="000F1D5E"/>
    <w:rPr>
      <w:rFonts w:ascii="Consolas" w:hAnsi="Consolas"/>
      <w:color w:val="0000CF"/>
      <w:sz w:val="22"/>
      <w:shd w:val="clear" w:color="auto" w:fill="F8F8F8"/>
    </w:rPr>
  </w:style>
  <w:style w:type="character" w:customStyle="1" w:styleId="CharTok2">
    <w:name w:val="CharTok"/>
    <w:basedOn w:val="VerbatimChar"/>
    <w:rsid w:val="000F1D5E"/>
    <w:rPr>
      <w:rFonts w:ascii="Consolas" w:hAnsi="Consolas"/>
      <w:color w:val="4E9A06"/>
      <w:sz w:val="22"/>
      <w:shd w:val="clear" w:color="auto" w:fill="F8F8F8"/>
    </w:rPr>
  </w:style>
  <w:style w:type="character" w:customStyle="1" w:styleId="StringTok2">
    <w:name w:val="StringTok"/>
    <w:basedOn w:val="VerbatimChar"/>
    <w:rsid w:val="000F1D5E"/>
    <w:rPr>
      <w:rFonts w:ascii="Consolas" w:hAnsi="Consolas"/>
      <w:color w:val="4E9A06"/>
      <w:sz w:val="22"/>
      <w:shd w:val="clear" w:color="auto" w:fill="F8F8F8"/>
    </w:rPr>
  </w:style>
  <w:style w:type="character" w:customStyle="1" w:styleId="CommentTok2">
    <w:name w:val="CommentTok"/>
    <w:basedOn w:val="VerbatimChar"/>
    <w:rsid w:val="000F1D5E"/>
    <w:rPr>
      <w:rFonts w:ascii="Consolas" w:hAnsi="Consolas"/>
      <w:i/>
      <w:color w:val="8F5902"/>
      <w:sz w:val="22"/>
      <w:shd w:val="clear" w:color="auto" w:fill="F8F8F8"/>
    </w:rPr>
  </w:style>
  <w:style w:type="character" w:customStyle="1" w:styleId="OtherTok2">
    <w:name w:val="OtherTok"/>
    <w:basedOn w:val="VerbatimChar"/>
    <w:rsid w:val="000F1D5E"/>
    <w:rPr>
      <w:rFonts w:ascii="Consolas" w:hAnsi="Consolas"/>
      <w:color w:val="8F5902"/>
      <w:sz w:val="22"/>
      <w:shd w:val="clear" w:color="auto" w:fill="F8F8F8"/>
    </w:rPr>
  </w:style>
  <w:style w:type="character" w:customStyle="1" w:styleId="AlertTok2">
    <w:name w:val="AlertTok"/>
    <w:basedOn w:val="VerbatimChar"/>
    <w:rsid w:val="000F1D5E"/>
    <w:rPr>
      <w:rFonts w:ascii="Consolas" w:hAnsi="Consolas"/>
      <w:color w:val="EF2929"/>
      <w:sz w:val="22"/>
      <w:shd w:val="clear" w:color="auto" w:fill="F8F8F8"/>
    </w:rPr>
  </w:style>
  <w:style w:type="character" w:customStyle="1" w:styleId="FunctionTok2">
    <w:name w:val="FunctionTok"/>
    <w:basedOn w:val="VerbatimChar"/>
    <w:rsid w:val="000F1D5E"/>
    <w:rPr>
      <w:rFonts w:ascii="Consolas" w:hAnsi="Consolas"/>
      <w:color w:val="000000"/>
      <w:sz w:val="22"/>
      <w:shd w:val="clear" w:color="auto" w:fill="F8F8F8"/>
    </w:rPr>
  </w:style>
  <w:style w:type="character" w:customStyle="1" w:styleId="RegionMarkerTok2">
    <w:name w:val="RegionMarkerTok"/>
    <w:basedOn w:val="VerbatimChar"/>
    <w:rsid w:val="000F1D5E"/>
    <w:rPr>
      <w:rFonts w:ascii="Consolas" w:hAnsi="Consolas"/>
      <w:sz w:val="22"/>
      <w:shd w:val="clear" w:color="auto" w:fill="F8F8F8"/>
    </w:rPr>
  </w:style>
  <w:style w:type="character" w:customStyle="1" w:styleId="ErrorTok2">
    <w:name w:val="ErrorTok"/>
    <w:basedOn w:val="VerbatimChar"/>
    <w:rsid w:val="000F1D5E"/>
    <w:rPr>
      <w:rFonts w:ascii="Consolas" w:hAnsi="Consolas"/>
      <w:b/>
      <w:sz w:val="22"/>
      <w:shd w:val="clear" w:color="auto" w:fill="F8F8F8"/>
    </w:rPr>
  </w:style>
  <w:style w:type="character" w:customStyle="1" w:styleId="NormalTok2">
    <w:name w:val="NormalTok"/>
    <w:basedOn w:val="VerbatimChar"/>
    <w:rsid w:val="000F1D5E"/>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F1D5E"/>
    <w:rPr>
      <w:color w:val="0000FF" w:themeColor="hyperlink"/>
      <w:u w:val="single"/>
    </w:rPr>
  </w:style>
  <w:style w:type="character" w:styleId="FollowedHyperlink">
    <w:name w:val="FollowedHyperlink"/>
    <w:basedOn w:val="DefaultParagraphFont"/>
    <w:rsid w:val="000F1D5E"/>
    <w:rPr>
      <w:color w:val="800080" w:themeColor="followedHyperlink"/>
      <w:u w:val="single"/>
    </w:rPr>
  </w:style>
  <w:style w:type="paragraph" w:styleId="Header">
    <w:name w:val="header"/>
    <w:basedOn w:val="Normal"/>
    <w:link w:val="HeaderChar"/>
    <w:rsid w:val="000F1D5E"/>
    <w:pPr>
      <w:tabs>
        <w:tab w:val="center" w:pos="4320"/>
        <w:tab w:val="right" w:pos="8640"/>
      </w:tabs>
      <w:spacing w:before="0" w:after="0" w:line="240" w:lineRule="auto"/>
    </w:pPr>
  </w:style>
  <w:style w:type="character" w:customStyle="1" w:styleId="HeaderChar">
    <w:name w:val="Header Char"/>
    <w:basedOn w:val="DefaultParagraphFont"/>
    <w:link w:val="Header"/>
    <w:rsid w:val="000F1D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0F1D5E"/>
    <w:pPr>
      <w:shd w:val="clear" w:color="auto" w:fill="F8F8F8"/>
      <w:wordWrap w:val="0"/>
    </w:pPr>
  </w:style>
  <w:style w:type="character" w:customStyle="1" w:styleId="KeywordTok2">
    <w:name w:val="KeywordTok"/>
    <w:basedOn w:val="VerbatimChar"/>
    <w:rsid w:val="000F1D5E"/>
    <w:rPr>
      <w:rFonts w:ascii="Consolas" w:hAnsi="Consolas"/>
      <w:b/>
      <w:color w:val="204A87"/>
      <w:sz w:val="22"/>
      <w:shd w:val="clear" w:color="auto" w:fill="F8F8F8"/>
    </w:rPr>
  </w:style>
  <w:style w:type="character" w:customStyle="1" w:styleId="DataTypeTok2">
    <w:name w:val="DataTypeTok"/>
    <w:basedOn w:val="VerbatimChar"/>
    <w:rsid w:val="000F1D5E"/>
    <w:rPr>
      <w:rFonts w:ascii="Consolas" w:hAnsi="Consolas"/>
      <w:color w:val="204A87"/>
      <w:sz w:val="22"/>
      <w:shd w:val="clear" w:color="auto" w:fill="F8F8F8"/>
    </w:rPr>
  </w:style>
  <w:style w:type="character" w:customStyle="1" w:styleId="DecValTok2">
    <w:name w:val="DecValTok"/>
    <w:basedOn w:val="VerbatimChar"/>
    <w:rsid w:val="000F1D5E"/>
    <w:rPr>
      <w:rFonts w:ascii="Consolas" w:hAnsi="Consolas"/>
      <w:color w:val="0000CF"/>
      <w:sz w:val="22"/>
      <w:shd w:val="clear" w:color="auto" w:fill="F8F8F8"/>
    </w:rPr>
  </w:style>
  <w:style w:type="character" w:customStyle="1" w:styleId="BaseNTok2">
    <w:name w:val="BaseNTok"/>
    <w:basedOn w:val="VerbatimChar"/>
    <w:rsid w:val="000F1D5E"/>
    <w:rPr>
      <w:rFonts w:ascii="Consolas" w:hAnsi="Consolas"/>
      <w:color w:val="0000CF"/>
      <w:sz w:val="22"/>
      <w:shd w:val="clear" w:color="auto" w:fill="F8F8F8"/>
    </w:rPr>
  </w:style>
  <w:style w:type="character" w:customStyle="1" w:styleId="FloatTok2">
    <w:name w:val="FloatTok"/>
    <w:basedOn w:val="VerbatimChar"/>
    <w:rsid w:val="000F1D5E"/>
    <w:rPr>
      <w:rFonts w:ascii="Consolas" w:hAnsi="Consolas"/>
      <w:color w:val="0000CF"/>
      <w:sz w:val="22"/>
      <w:shd w:val="clear" w:color="auto" w:fill="F8F8F8"/>
    </w:rPr>
  </w:style>
  <w:style w:type="character" w:customStyle="1" w:styleId="CharTok2">
    <w:name w:val="CharTok"/>
    <w:basedOn w:val="VerbatimChar"/>
    <w:rsid w:val="000F1D5E"/>
    <w:rPr>
      <w:rFonts w:ascii="Consolas" w:hAnsi="Consolas"/>
      <w:color w:val="4E9A06"/>
      <w:sz w:val="22"/>
      <w:shd w:val="clear" w:color="auto" w:fill="F8F8F8"/>
    </w:rPr>
  </w:style>
  <w:style w:type="character" w:customStyle="1" w:styleId="StringTok2">
    <w:name w:val="StringTok"/>
    <w:basedOn w:val="VerbatimChar"/>
    <w:rsid w:val="000F1D5E"/>
    <w:rPr>
      <w:rFonts w:ascii="Consolas" w:hAnsi="Consolas"/>
      <w:color w:val="4E9A06"/>
      <w:sz w:val="22"/>
      <w:shd w:val="clear" w:color="auto" w:fill="F8F8F8"/>
    </w:rPr>
  </w:style>
  <w:style w:type="character" w:customStyle="1" w:styleId="CommentTok2">
    <w:name w:val="CommentTok"/>
    <w:basedOn w:val="VerbatimChar"/>
    <w:rsid w:val="000F1D5E"/>
    <w:rPr>
      <w:rFonts w:ascii="Consolas" w:hAnsi="Consolas"/>
      <w:i/>
      <w:color w:val="8F5902"/>
      <w:sz w:val="22"/>
      <w:shd w:val="clear" w:color="auto" w:fill="F8F8F8"/>
    </w:rPr>
  </w:style>
  <w:style w:type="character" w:customStyle="1" w:styleId="OtherTok2">
    <w:name w:val="OtherTok"/>
    <w:basedOn w:val="VerbatimChar"/>
    <w:rsid w:val="000F1D5E"/>
    <w:rPr>
      <w:rFonts w:ascii="Consolas" w:hAnsi="Consolas"/>
      <w:color w:val="8F5902"/>
      <w:sz w:val="22"/>
      <w:shd w:val="clear" w:color="auto" w:fill="F8F8F8"/>
    </w:rPr>
  </w:style>
  <w:style w:type="character" w:customStyle="1" w:styleId="AlertTok2">
    <w:name w:val="AlertTok"/>
    <w:basedOn w:val="VerbatimChar"/>
    <w:rsid w:val="000F1D5E"/>
    <w:rPr>
      <w:rFonts w:ascii="Consolas" w:hAnsi="Consolas"/>
      <w:color w:val="EF2929"/>
      <w:sz w:val="22"/>
      <w:shd w:val="clear" w:color="auto" w:fill="F8F8F8"/>
    </w:rPr>
  </w:style>
  <w:style w:type="character" w:customStyle="1" w:styleId="FunctionTok2">
    <w:name w:val="FunctionTok"/>
    <w:basedOn w:val="VerbatimChar"/>
    <w:rsid w:val="000F1D5E"/>
    <w:rPr>
      <w:rFonts w:ascii="Consolas" w:hAnsi="Consolas"/>
      <w:color w:val="000000"/>
      <w:sz w:val="22"/>
      <w:shd w:val="clear" w:color="auto" w:fill="F8F8F8"/>
    </w:rPr>
  </w:style>
  <w:style w:type="character" w:customStyle="1" w:styleId="RegionMarkerTok2">
    <w:name w:val="RegionMarkerTok"/>
    <w:basedOn w:val="VerbatimChar"/>
    <w:rsid w:val="000F1D5E"/>
    <w:rPr>
      <w:rFonts w:ascii="Consolas" w:hAnsi="Consolas"/>
      <w:sz w:val="22"/>
      <w:shd w:val="clear" w:color="auto" w:fill="F8F8F8"/>
    </w:rPr>
  </w:style>
  <w:style w:type="character" w:customStyle="1" w:styleId="ErrorTok2">
    <w:name w:val="ErrorTok"/>
    <w:basedOn w:val="VerbatimChar"/>
    <w:rsid w:val="000F1D5E"/>
    <w:rPr>
      <w:rFonts w:ascii="Consolas" w:hAnsi="Consolas"/>
      <w:b/>
      <w:sz w:val="22"/>
      <w:shd w:val="clear" w:color="auto" w:fill="F8F8F8"/>
    </w:rPr>
  </w:style>
  <w:style w:type="character" w:customStyle="1" w:styleId="NormalTok2">
    <w:name w:val="NormalTok"/>
    <w:basedOn w:val="VerbatimChar"/>
    <w:rsid w:val="000F1D5E"/>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F1D5E"/>
    <w:rPr>
      <w:color w:val="0000FF" w:themeColor="hyperlink"/>
      <w:u w:val="single"/>
    </w:rPr>
  </w:style>
  <w:style w:type="character" w:styleId="FollowedHyperlink">
    <w:name w:val="FollowedHyperlink"/>
    <w:basedOn w:val="DefaultParagraphFont"/>
    <w:rsid w:val="000F1D5E"/>
    <w:rPr>
      <w:color w:val="800080" w:themeColor="followedHyperlink"/>
      <w:u w:val="single"/>
    </w:rPr>
  </w:style>
  <w:style w:type="paragraph" w:styleId="Header">
    <w:name w:val="header"/>
    <w:basedOn w:val="Normal"/>
    <w:link w:val="HeaderChar"/>
    <w:rsid w:val="000F1D5E"/>
    <w:pPr>
      <w:tabs>
        <w:tab w:val="center" w:pos="4320"/>
        <w:tab w:val="right" w:pos="8640"/>
      </w:tabs>
      <w:spacing w:before="0" w:after="0" w:line="240" w:lineRule="auto"/>
    </w:pPr>
  </w:style>
  <w:style w:type="character" w:customStyle="1" w:styleId="HeaderChar">
    <w:name w:val="Header Char"/>
    <w:basedOn w:val="DefaultParagraphFont"/>
    <w:link w:val="Header"/>
    <w:rsid w:val="000F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hyperlink" Target="http://www.github.com/SchlossLab/Baxter_glne007Modeling_2015"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CC37-C96D-B041-B38F-CAF6538E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6213</Words>
  <Characters>35418</Characters>
  <Application>Microsoft Macintosh Word</Application>
  <DocSecurity>0</DocSecurity>
  <Lines>295</Lines>
  <Paragraphs>83</Paragraphs>
  <ScaleCrop>false</ScaleCrop>
  <Company>University of Michigan Medical School</Company>
  <LinksUpToDate>false</LinksUpToDate>
  <CharactersWithSpaces>41548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1</cp:revision>
  <dcterms:created xsi:type="dcterms:W3CDTF">2016-01-12T17:41:00Z</dcterms:created>
  <dcterms:modified xsi:type="dcterms:W3CDTF">2016-01-14T18:53:00Z</dcterms:modified>
</cp:coreProperties>
</file>