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6D79A" w14:textId="77777777" w:rsidR="002D1C67" w:rsidRDefault="003143A2" w:rsidP="00330690">
      <w:pPr>
        <w:pStyle w:val="Title"/>
        <w:spacing w:before="180" w:after="360"/>
      </w:pPr>
      <w:r>
        <w:t>Microbiota-based model improves the sensitivity for detecting colonic lesions</w:t>
      </w:r>
    </w:p>
    <w:p w14:paraId="3B39E605" w14:textId="77777777" w:rsidR="002D1C67" w:rsidRDefault="003143A2" w:rsidP="00330690">
      <w:pPr>
        <w:spacing w:after="360"/>
      </w:pPr>
      <w:r>
        <w:rPr>
          <w:b/>
        </w:rPr>
        <w:t>Authors:</w:t>
      </w:r>
      <w:r>
        <w:t xml:space="preserve"> Nielson T. Baxter</w:t>
      </w:r>
      <w:r>
        <w:rPr>
          <w:vertAlign w:val="superscript"/>
        </w:rPr>
        <w:t>1</w:t>
      </w:r>
      <w:r>
        <w:t>, Mack T. Ruffin IV</w:t>
      </w:r>
      <w:r>
        <w:rPr>
          <w:vertAlign w:val="superscript"/>
        </w:rPr>
        <w:t>2</w:t>
      </w:r>
      <w:r>
        <w:t>, Mary A.M. Rogers</w:t>
      </w:r>
      <w:r>
        <w:rPr>
          <w:vertAlign w:val="superscript"/>
        </w:rPr>
        <w:t>3</w:t>
      </w:r>
      <w:r>
        <w:t>, and Patrick D. Schloss</w:t>
      </w:r>
      <w:r>
        <w:rPr>
          <w:vertAlign w:val="superscript"/>
        </w:rPr>
        <w:t>1*</w:t>
      </w:r>
    </w:p>
    <w:p w14:paraId="373A14B3" w14:textId="7548A0AC" w:rsidR="002D1C67" w:rsidRDefault="003143A2" w:rsidP="00330690">
      <w:pPr>
        <w:spacing w:after="360"/>
        <w:jc w:val="left"/>
      </w:pPr>
      <w:r>
        <w:rPr>
          <w:b/>
        </w:rPr>
        <w:t>Affiliations:</w:t>
      </w:r>
      <w:r>
        <w:br/>
      </w:r>
      <w:r>
        <w:rPr>
          <w:vertAlign w:val="superscript"/>
        </w:rPr>
        <w:t>1</w:t>
      </w:r>
      <w:r>
        <w:t>Department of Microbiology and Immunology, University of Michigan, Ann Arbor, Michigan.</w:t>
      </w:r>
      <w:r>
        <w:br/>
      </w:r>
      <w:r>
        <w:rPr>
          <w:vertAlign w:val="superscript"/>
        </w:rPr>
        <w:t>2</w:t>
      </w:r>
      <w:r>
        <w:t>Department of Family Medicine, University of Michigan, Ann Arbor, Michigan.</w:t>
      </w:r>
      <w:r>
        <w:br/>
      </w:r>
      <w:r>
        <w:rPr>
          <w:vertAlign w:val="superscript"/>
        </w:rPr>
        <w:t>3</w:t>
      </w:r>
      <w:r>
        <w:t>Department of Internal Medicine, University of Michigan, Ann Arbor, Michigan.</w:t>
      </w:r>
      <w:r>
        <w:br/>
      </w:r>
      <w:r>
        <w:rPr>
          <w:vertAlign w:val="superscript"/>
        </w:rPr>
        <w:t>*</w:t>
      </w:r>
      <w:r>
        <w:t>Corresponding author</w:t>
      </w:r>
    </w:p>
    <w:p w14:paraId="4A38EA6C" w14:textId="77777777" w:rsidR="003143A2" w:rsidRPr="00330690" w:rsidRDefault="003143A2" w:rsidP="00330690">
      <w:pPr>
        <w:spacing w:after="360"/>
        <w:jc w:val="left"/>
        <w:rPr>
          <w:rStyle w:val="Link"/>
        </w:rPr>
      </w:pPr>
      <w:r>
        <w:rPr>
          <w:b/>
        </w:rPr>
        <w:t>Email addresses:</w:t>
      </w:r>
      <w:r>
        <w:br/>
        <w:t xml:space="preserve">NTB: </w:t>
      </w:r>
      <w:hyperlink r:id="rId9">
        <w:r>
          <w:rPr>
            <w:rStyle w:val="Link"/>
          </w:rPr>
          <w:t>ntbaxter@umich.edu</w:t>
        </w:r>
      </w:hyperlink>
      <w:r>
        <w:br/>
        <w:t xml:space="preserve">MTR: </w:t>
      </w:r>
      <w:hyperlink r:id="rId10">
        <w:r>
          <w:rPr>
            <w:rStyle w:val="Link"/>
          </w:rPr>
          <w:t>mruffin@med.umich.edu</w:t>
        </w:r>
      </w:hyperlink>
      <w:r>
        <w:br/>
        <w:t xml:space="preserve">MAMR: </w:t>
      </w:r>
      <w:hyperlink r:id="rId11">
        <w:r>
          <w:rPr>
            <w:rStyle w:val="Link"/>
          </w:rPr>
          <w:t>maryroge@med.umich.edu</w:t>
        </w:r>
      </w:hyperlink>
      <w:r>
        <w:br/>
      </w:r>
      <w:bookmarkStart w:id="0" w:name="_GoBack"/>
      <w:bookmarkEnd w:id="0"/>
      <w:r>
        <w:t xml:space="preserve">PDS: </w:t>
      </w:r>
      <w:hyperlink r:id="rId12">
        <w:r>
          <w:rPr>
            <w:rStyle w:val="Link"/>
          </w:rPr>
          <w:t>pschloss@umich.edu</w:t>
        </w:r>
      </w:hyperlink>
      <w:ins w:id="1" w:author="NTB" w:date="2016-01-20T20:28:00Z">
        <w:r>
          <w:rPr>
            <w:rStyle w:val="Link"/>
          </w:rPr>
          <w:br w:type="page"/>
        </w:r>
      </w:ins>
    </w:p>
    <w:p w14:paraId="04861172" w14:textId="77777777" w:rsidR="002D1C67" w:rsidRDefault="003143A2" w:rsidP="00330690">
      <w:pPr>
        <w:pStyle w:val="Heading3"/>
        <w:spacing w:before="180" w:after="360"/>
      </w:pPr>
      <w:bookmarkStart w:id="2" w:name="abstract"/>
      <w:bookmarkEnd w:id="2"/>
      <w:r>
        <w:lastRenderedPageBreak/>
        <w:t>Abstract</w:t>
      </w:r>
    </w:p>
    <w:p w14:paraId="2657FE95" w14:textId="77777777" w:rsidR="002D1C67" w:rsidRDefault="003143A2" w:rsidP="00330690">
      <w:pPr>
        <w:spacing w:after="360"/>
      </w:pPr>
      <w:r>
        <w:rPr>
          <w:b/>
        </w:rPr>
        <w:t>Background</w:t>
      </w:r>
      <w:r>
        <w:br/>
        <w:t>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14:paraId="18CE6E80" w14:textId="0927652F" w:rsidR="002D1C67" w:rsidRDefault="003143A2" w:rsidP="00330690">
      <w:pPr>
        <w:spacing w:after="360"/>
      </w:pPr>
      <w:r>
        <w:rPr>
          <w:b/>
        </w:rPr>
        <w:t>Methods</w:t>
      </w:r>
      <w:r>
        <w:br/>
        <w:t>We sequenced the 16S rRNA genes from the stool samples of 490 patients. We used the relative abundances of the bacterial populations within each sample to develop a random forest classification model that detects colonic lesions using the relative abundance of gut microbiota and the concentration of hemoglobin in stool.</w:t>
      </w:r>
    </w:p>
    <w:p w14:paraId="4271EC35" w14:textId="77777777" w:rsidR="002D1C67" w:rsidRDefault="003143A2" w:rsidP="00330690">
      <w:pPr>
        <w:spacing w:after="360"/>
      </w:pPr>
      <w:r>
        <w:rPr>
          <w:b/>
        </w:rPr>
        <w:t>Results</w:t>
      </w:r>
      <w:r>
        <w:br/>
        <w:t xml:space="preserve">The microbiota-based random forest model detected 95.0% of cancers and 57.1% of adenomas while FIT alone detected 75.0% and 15.7%, respectively. Of the colonic lesions missed by FIT, the model detected 80.0% of cancers and 49.1% of adenomas. We confirmed known assocaitions of </w:t>
      </w:r>
      <w:r>
        <w:rPr>
          <w:i/>
        </w:rPr>
        <w:t>Porphyromonas assaccharolytica</w:t>
      </w:r>
      <w:r>
        <w:t xml:space="preserve">, </w:t>
      </w:r>
      <w:r>
        <w:rPr>
          <w:i/>
        </w:rPr>
        <w:t>Peptostreptococcus stomatis</w:t>
      </w:r>
      <w:r>
        <w:t xml:space="preserve">, </w:t>
      </w:r>
      <w:r>
        <w:rPr>
          <w:i/>
        </w:rPr>
        <w:t>Parvimonas micra</w:t>
      </w:r>
      <w:r>
        <w:t xml:space="preserve">, and </w:t>
      </w:r>
      <w:r>
        <w:rPr>
          <w:i/>
        </w:rPr>
        <w:t>Fusobacterium nucleatum</w:t>
      </w:r>
      <w:r>
        <w:t xml:space="preserve"> with CRC. Yet, we found that the loss of </w:t>
      </w:r>
      <w:r>
        <w:lastRenderedPageBreak/>
        <w:t>potentially beneficial organisms, such as members of the Lachnospiraceae, was more predictive for identifying patients with adenomas when used in combination with FIT.</w:t>
      </w:r>
    </w:p>
    <w:p w14:paraId="277F8093" w14:textId="77777777" w:rsidR="002D1C67" w:rsidRDefault="003143A2" w:rsidP="00330690">
      <w:pPr>
        <w:spacing w:after="360"/>
      </w:pPr>
      <w:r>
        <w:rPr>
          <w:b/>
        </w:rPr>
        <w:t>Conclusions</w:t>
      </w:r>
      <w:r>
        <w:br/>
        <w:t>These findings demonstrate the potential for microbiota analysis to complement existing screening methods to improve detection of colonic lesions.</w:t>
      </w:r>
    </w:p>
    <w:p w14:paraId="617460A4" w14:textId="77777777" w:rsidR="002D1C67" w:rsidRDefault="003143A2" w:rsidP="00330690">
      <w:pPr>
        <w:pStyle w:val="Heading3"/>
        <w:spacing w:before="180" w:after="360"/>
      </w:pPr>
      <w:bookmarkStart w:id="3" w:name="background"/>
      <w:bookmarkEnd w:id="3"/>
      <w:r>
        <w:t>Background</w:t>
      </w:r>
    </w:p>
    <w:p w14:paraId="48AC5A3B" w14:textId="77777777" w:rsidR="002D1C67" w:rsidRDefault="003143A2" w:rsidP="00330690">
      <w:pPr>
        <w:spacing w:after="360"/>
      </w:pPr>
      <w:r>
        <w:t>Colorectal cancer mortality has steadily declined in recent decades, due in large part to increased screening [1]. Yet current screening tests, the fecal immunochemical test (FIT) and the multitarget DNA test, have a sensitivity of 7.6% and 17.2%, respectively, for detecting non-advanced adenoma – just the type of early lesion that screening is meant to identify [2].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 [3]. Likewise the large disparity in screening rates between those with and without health insurance highlights the need for inexpensive screening methods [1, 4, 5]. Unfortunately cheaper, less invasive stool-based tests like guaic fecal occult blood test and FIT are unable to reliably detect adenomas [6]. The newly introduced stool DNA panel has improved accuracy compared to FIT, but is still limited in its ability to accurately detect adenomas [2]. Thus there is need for novel screening methods that are inexpensive and capable of detecting both cancer and adenomas.</w:t>
      </w:r>
    </w:p>
    <w:p w14:paraId="170E5D6E" w14:textId="566AFB38" w:rsidR="002D1C67" w:rsidRDefault="003143A2" w:rsidP="00330690">
      <w:pPr>
        <w:spacing w:after="360"/>
      </w:pPr>
      <w:r>
        <w:lastRenderedPageBreak/>
        <w:t>The gut microbiota, the collection of microorganisms that inhabit the gastrointestinal tract, are one potential source of biomarkers for detecting colonic lesions. Numerous studies have observed alterations in the gut bacterial communities of patients with CRC [7–</w:t>
      </w:r>
      <w:r>
        <w:t>12</w:t>
      </w:r>
      <w:r>
        <w:t>]. Experiments in animal models have demonstrated that such alterations have the potential to accelerate tumorigenesis [</w:t>
      </w:r>
      <w:r>
        <w:t>13</w:t>
      </w:r>
      <w:r>
        <w:t>]. Furthermore, several members of the gut microbiota have been shown to potentiate both the development and progression of CRC by a variety of mechanisms [</w:t>
      </w:r>
      <w:r>
        <w:t>14–16</w:t>
      </w:r>
      <w:r>
        <w:t>].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14:paraId="1D231031" w14:textId="7D758FA9" w:rsidR="002D1C67" w:rsidRDefault="003143A2" w:rsidP="00330690">
      <w:pPr>
        <w:spacing w:after="360"/>
      </w:pPr>
      <w:r>
        <w:t>Two recent studies used statistical models that take into account the abundances of multiple bacterial species and the results of guaic fecal occult blood test (gFOBT) to distinguish healthy individuals from those with CRC [17</w:t>
      </w:r>
      <w:r>
        <w:t>, 18</w:t>
      </w:r>
      <w:r>
        <w:t>]. The analysis by Zackular et al. [</w:t>
      </w:r>
      <w:r>
        <w:t>17</w:t>
      </w:r>
      <w:r>
        <w:t>] used samples from a limited number of subjects (N=30 normal, 30 adenoma, and 30 carcinoma), while that of Zeller et al [</w:t>
      </w:r>
      <w:r>
        <w:t>18</w:t>
      </w:r>
      <w:r>
        <w:t>] 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14:paraId="6530E95C" w14:textId="69286C43" w:rsidR="002D1C67" w:rsidRDefault="003143A2" w:rsidP="00330690">
      <w:pPr>
        <w:spacing w:after="360"/>
      </w:pPr>
      <w:r>
        <w:lastRenderedPageBreak/>
        <w:t>In the present study</w:t>
      </w:r>
      <w:ins w:id="4" w:author="NTB" w:date="2016-01-20T20:28:00Z">
        <w:r>
          <w:t>, we</w:t>
        </w:r>
      </w:ins>
      <w:r>
        <w:t xml:space="preserve"> demonstrate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 [</w:t>
      </w:r>
      <w:r>
        <w:t>19</w:t>
      </w:r>
      <w:r>
        <w:t>].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14:paraId="20756C27" w14:textId="77777777" w:rsidR="002D1C67" w:rsidRDefault="003143A2" w:rsidP="00330690">
      <w:pPr>
        <w:pStyle w:val="Heading3"/>
        <w:spacing w:before="180" w:after="360"/>
      </w:pPr>
      <w:bookmarkStart w:id="5" w:name="methods"/>
      <w:bookmarkEnd w:id="5"/>
      <w:r>
        <w:t>Methods</w:t>
      </w:r>
    </w:p>
    <w:p w14:paraId="53C2E610" w14:textId="44D90037" w:rsidR="002D1C67" w:rsidRDefault="003143A2" w:rsidP="00330690">
      <w:pPr>
        <w:spacing w:after="360"/>
      </w:pPr>
      <w:r>
        <w:rPr>
          <w:b/>
        </w:rPr>
        <w:t>Study Design/Patient sampling.</w:t>
      </w:r>
      <w:r>
        <w:t xml:space="preserve"> 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w:t>
      </w:r>
      <w:r>
        <w:lastRenderedPageBreak/>
        <w:t>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20</w:t>
      </w:r>
      <w:r>
        <w:t>]. Stool samples were packed in ice, shipped to a processing center via next day delivery and stored at -80˚C. The University of Michigan Institutional Review Board approved this study, and all subjects provided informed consent</w:t>
      </w:r>
      <w:ins w:id="6" w:author="NTB" w:date="2016-01-20T20:28:00Z">
        <w:r>
          <w:t>. This study conformed to the guidelines of the Helsinki Declaration</w:t>
        </w:r>
      </w:ins>
      <w:r>
        <w:t>.</w:t>
      </w:r>
    </w:p>
    <w:p w14:paraId="7700E21B" w14:textId="77777777" w:rsidR="002D1C67" w:rsidRDefault="003143A2" w:rsidP="00330690">
      <w:pPr>
        <w:spacing w:after="360"/>
      </w:pPr>
      <w:r>
        <w:rPr>
          <w:b/>
        </w:rPr>
        <w:t>Fecal Immunochemical Tests.</w:t>
      </w:r>
      <w:r>
        <w:t xml:space="preserve"> 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14:paraId="77EF0E08" w14:textId="711B0CF4" w:rsidR="002D1C67" w:rsidRDefault="003143A2" w:rsidP="00330690">
      <w:pPr>
        <w:spacing w:after="360"/>
      </w:pPr>
      <w:r>
        <w:rPr>
          <w:b/>
        </w:rPr>
        <w:t>16S rRNA Gene Sequencing.</w:t>
      </w:r>
      <w:r>
        <w:t xml:space="preserve"> 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 [</w:t>
      </w:r>
      <w:r>
        <w:t>21</w:t>
      </w:r>
      <w:r>
        <w:t>].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14:paraId="28FA3C39" w14:textId="6ABCD852" w:rsidR="002D1C67" w:rsidRDefault="003143A2" w:rsidP="00330690">
      <w:pPr>
        <w:spacing w:after="360"/>
      </w:pPr>
      <w:r>
        <w:rPr>
          <w:b/>
        </w:rPr>
        <w:lastRenderedPageBreak/>
        <w:t>Sequence Curation.</w:t>
      </w:r>
      <w:r>
        <w:t xml:space="preserve"> The 16S rRNA gene sequences were curated using the mothur software package, as described previously [</w:t>
      </w:r>
      <w:r>
        <w:t>21</w:t>
      </w:r>
      <w:r>
        <w:t>].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 [</w:t>
      </w:r>
      <w:r>
        <w:t>22</w:t>
      </w:r>
      <w:r>
        <w:t>].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w:t>
      </w:r>
    </w:p>
    <w:p w14:paraId="22E51F2A" w14:textId="1BB5BC0C" w:rsidR="002D1C67" w:rsidRDefault="003143A2" w:rsidP="00330690">
      <w:pPr>
        <w:spacing w:after="360"/>
      </w:pPr>
      <w:r>
        <w:rPr>
          <w:b/>
        </w:rPr>
        <w:t>Statistical Methods.</w:t>
      </w:r>
      <w:r>
        <w:t xml:space="preserve"> All statistical analyses were performed using R (v.3.2.0). Random Forest models were generated using the AUCRF package [</w:t>
      </w:r>
      <w:r>
        <w:t>23</w:t>
      </w:r>
      <w:r>
        <w:t>]. The AUC of ROC curves were compared using the method described by DeLong et al. [</w:t>
      </w:r>
      <w:r>
        <w:t>24</w:t>
      </w:r>
      <w:r>
        <w:t xml:space="preserve">]. The optimal cutoff for the MMT was determined using Youden's </w:t>
      </w:r>
      <w:r>
        <w:rPr>
          <w:i/>
        </w:rPr>
        <w:t>J</w:t>
      </w:r>
      <w:r>
        <w:t xml:space="preserve"> statistic as implemented in the pROC package in R [</w:t>
      </w:r>
      <w:r>
        <w:t>25</w:t>
      </w:r>
      <w:r>
        <w:t>]. The sensitivities of FIT and the MMT were compared using McNemar's Chi-squared test. To control for diagnosis while testing the effects of sex on the microbiome we used PERMANOVA as implemented in the adonis function in the vegan R package [</w:t>
      </w:r>
      <w:r>
        <w:t>26</w:t>
      </w:r>
      <w:r>
        <w:t>].</w:t>
      </w:r>
    </w:p>
    <w:p w14:paraId="4AE95A89" w14:textId="77777777" w:rsidR="002D1C67" w:rsidRDefault="003143A2" w:rsidP="00330690">
      <w:pPr>
        <w:pStyle w:val="Heading3"/>
        <w:spacing w:before="180" w:after="360"/>
      </w:pPr>
      <w:bookmarkStart w:id="7" w:name="results"/>
      <w:bookmarkEnd w:id="7"/>
      <w:r>
        <w:lastRenderedPageBreak/>
        <w:t>Results</w:t>
      </w:r>
    </w:p>
    <w:p w14:paraId="75431029" w14:textId="72DA387A" w:rsidR="002D1C67" w:rsidRDefault="003143A2" w:rsidP="00330690">
      <w:pPr>
        <w:spacing w:after="360"/>
      </w:pPr>
      <w:r>
        <w:rPr>
          <w:b/>
          <w:i/>
        </w:rPr>
        <w:t>Complementary detection of lesions by FIT and the microbiota.</w:t>
      </w:r>
      <w:r>
        <w:t xml:space="preserve"> 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 [</w:t>
      </w:r>
      <w:r>
        <w:t>23</w:t>
      </w:r>
      <w:r>
        <w:t>]. The optimal model utilized 22 bacterial populations (Fig. S1A).</w:t>
      </w:r>
      <w:ins w:id="8" w:author="NTB" w:date="2016-01-20T20:28:00Z">
        <w:r>
          <w:t xml:space="preserve"> The vast majority of OTUs in the model (17 out of 22) belonged to the order </w:t>
        </w:r>
        <w:proofErr w:type="spellStart"/>
        <w:r>
          <w:t>Clostridales</w:t>
        </w:r>
        <w:proofErr w:type="spellEnd"/>
        <w:r>
          <w:t xml:space="preserve">, 4 were associated with the genus </w:t>
        </w:r>
        <w:r>
          <w:rPr>
            <w:i/>
          </w:rPr>
          <w:t>Bacteroides</w:t>
        </w:r>
        <w:r>
          <w:t>, and one OTU was unclassified at the phylum level (Fig. S1B).</w:t>
        </w:r>
      </w:ins>
      <w:r>
        <w:t xml:space="preserve"> The AUC for the microbiota model (0.673) was significantly different from a random assignment (p&lt;0.001), but not significantly different from that of FIT (FIT AUC:0.639, p&gt;0.05, Fig. 1A). At the 100ng/ml cutoff FIT detected 15.7% of </w:t>
      </w:r>
      <w:del w:id="9" w:author="NTB" w:date="2016-01-20T20:28:00Z">
        <w:r w:rsidR="006C5A11">
          <w:delText>cancers</w:delText>
        </w:r>
      </w:del>
      <w:ins w:id="10" w:author="NTB" w:date="2016-01-20T20:28:00Z">
        <w:r>
          <w:t>adenomas</w:t>
        </w:r>
      </w:ins>
      <w:r>
        <w:t xml:space="preserve">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w:t>
      </w:r>
    </w:p>
    <w:p w14:paraId="28CFDF4B" w14:textId="4956696A" w:rsidR="002D1C67" w:rsidRDefault="003143A2" w:rsidP="00330690">
      <w:pPr>
        <w:spacing w:after="360"/>
      </w:pPr>
      <w:r>
        <w:t xml:space="preserve">Next we generated a random forest model for differentiating normal individuals from those with cancer using the relative abundance </w:t>
      </w:r>
      <w:ins w:id="11" w:author="NTB" w:date="2016-01-20T20:28:00Z">
        <w:r>
          <w:t xml:space="preserve">of </w:t>
        </w:r>
      </w:ins>
      <w:r>
        <w:t xml:space="preserve">34 bacterial populations (Fig. S2A). Consistent </w:t>
      </w:r>
      <w:r>
        <w:lastRenderedPageBreak/>
        <w:t>with previous observations, the bacteria most strongly associated with CRC belonged to taxa commonly associated with periodontal disease [</w:t>
      </w:r>
      <w:r>
        <w:t>18</w:t>
      </w:r>
      <w:r>
        <w:t>, 27</w:t>
      </w:r>
      <w:r>
        <w:t>, 28</w:t>
      </w:r>
      <w:r>
        <w:t xml:space="preserve">]. These include OTUs associated </w:t>
      </w:r>
      <w:r>
        <w:rPr>
          <w:i/>
        </w:rPr>
        <w:t>Pophyromonas assaccharolytica</w:t>
      </w:r>
      <w:r>
        <w:t xml:space="preserve"> (OTU105), </w:t>
      </w:r>
      <w:r>
        <w:rPr>
          <w:i/>
        </w:rPr>
        <w:t>Fusobacterium nucleatum</w:t>
      </w:r>
      <w:r>
        <w:t xml:space="preserve"> (OTU264), </w:t>
      </w:r>
      <w:r>
        <w:rPr>
          <w:i/>
        </w:rPr>
        <w:t>Parvimonas micra</w:t>
      </w:r>
      <w:r>
        <w:t xml:space="preserve"> (OTU281), </w:t>
      </w:r>
      <w:r>
        <w:rPr>
          <w:i/>
        </w:rPr>
        <w:t>Peptostreptococcus stomatis</w:t>
      </w:r>
      <w:r>
        <w:t xml:space="preserve"> (OTU310), </w:t>
      </w:r>
      <w:r>
        <w:rPr>
          <w:i/>
        </w:rPr>
        <w:t>Gemella spp.</w:t>
      </w:r>
      <w:r>
        <w:t xml:space="preserve"> (OTU356), and an unclassified </w:t>
      </w:r>
      <w:r>
        <w:rPr>
          <w:i/>
        </w:rPr>
        <w:t>Prevotella</w:t>
      </w:r>
      <w:r>
        <w:t xml:space="preserve"> (OTU57) (Fig. S2C). The ROC curve for the model had an AUC of 0.</w:t>
      </w:r>
      <w:r>
        <w:t>847</w:t>
      </w:r>
      <w:r>
        <w:t>, which was similar to AUCs reported for other microbiota-based models for CRC [17</w:t>
      </w:r>
      <w:r>
        <w:t>, 18]. The AUC of this model was</w:t>
      </w:r>
      <w:r>
        <w:t xml:space="preserve"> significantly </w:t>
      </w:r>
      <w:r>
        <w:t>better than</w:t>
      </w:r>
      <w:r>
        <w:t xml:space="preserve"> a random assignment (p&lt;0.001), but was significantly lower than that of FIT (FIT AUC:0.929, p=0.005, Fig. 1C). At the manufacturer recommended cutoff of 100ng/ml FIT detected 75.0% of cancers with a specificity of 97.1%. At its optimal cutoff the microbiota model detected 69.2% of cancers with a specificity of 89.0%. Although most cancers (53.3%) were detected by both FIT and the microbiota model, many (37.5%) were only detected by one of the two tests (Fig. 1D).</w:t>
      </w:r>
    </w:p>
    <w:p w14:paraId="49B61763" w14:textId="69862DCF" w:rsidR="002D1C67" w:rsidRDefault="003143A2" w:rsidP="00330690">
      <w:pPr>
        <w:spacing w:after="360"/>
      </w:pPr>
      <w:r>
        <w:rPr>
          <w:b/>
          <w:i/>
        </w:rPr>
        <w:t>Multitarget Microbiota Test for colonic lesions.</w:t>
      </w:r>
      <w:r>
        <w:t xml:space="preserve"> Most of the adenomas and many of the carcinomas were not detected by both tests, suggesting that the two 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w:t>
      </w:r>
      <w:r>
        <w:t>.</w:t>
      </w:r>
      <w:r>
        <w:t xml:space="preserve"> Of those OTUs, 16 were members of the Firmicutes phylum, including 3 from the Ruminococcaceae family and 10 from the Lachnospiraceae family (Fig. </w:t>
      </w:r>
      <w:del w:id="12" w:author="NTB" w:date="2016-01-20T20:28:00Z">
        <w:r w:rsidR="006C5A11">
          <w:delText>S4</w:delText>
        </w:r>
      </w:del>
      <w:ins w:id="13" w:author="NTB" w:date="2016-01-20T20:28:00Z">
        <w:r>
          <w:t>S3</w:t>
        </w:r>
      </w:ins>
      <w:r>
        <w:t xml:space="preserve">). Three OTUs </w:t>
      </w:r>
      <w:r>
        <w:lastRenderedPageBreak/>
        <w:t xml:space="preserve">were associated with the genus </w:t>
      </w:r>
      <w:r>
        <w:rPr>
          <w:i/>
        </w:rPr>
        <w:t>Bacteroides</w:t>
      </w:r>
      <w:r>
        <w:t xml:space="preserve">. The remaining OTUs were associated with </w:t>
      </w:r>
      <w:r>
        <w:rPr>
          <w:i/>
        </w:rPr>
        <w:t>Porphyromonas</w:t>
      </w:r>
      <w:r>
        <w:t xml:space="preserve">, </w:t>
      </w:r>
      <w:r>
        <w:rPr>
          <w:i/>
        </w:rPr>
        <w:t>Parabacteroides</w:t>
      </w:r>
      <w:r>
        <w:t xml:space="preserve">, </w:t>
      </w:r>
      <w:r>
        <w:rPr>
          <w:i/>
        </w:rPr>
        <w:t>Collinsella</w:t>
      </w:r>
      <w:r>
        <w:t xml:space="preserve">, and Enterobacteriaceae. The OTU associated with </w:t>
      </w:r>
      <w:r>
        <w:rPr>
          <w:i/>
        </w:rPr>
        <w:t>Porphyromonas</w:t>
      </w:r>
      <w:r>
        <w:t xml:space="preserve"> was most closely related to </w:t>
      </w:r>
      <w:r>
        <w:rPr>
          <w:i/>
        </w:rPr>
        <w:t>Porphyromonas asaccharolytica</w:t>
      </w:r>
      <w:r>
        <w:t>, which has been previously shown to be predictive of CRC [</w:t>
      </w:r>
      <w:r>
        <w:t>17, 18, 29</w:t>
      </w:r>
      <w:r>
        <w:t xml:space="preserve">]. Interestingly the majority of OTU used in the model, especially the Lachnospiraceae, were enriched in normal patients (Fig. </w:t>
      </w:r>
      <w:r>
        <w:t>S3</w:t>
      </w:r>
      <w:r>
        <w:t>), suggesting that a loss of beneficial organisms in addition to the emergence of pathogens may be indicative of CRC development.</w:t>
      </w:r>
    </w:p>
    <w:p w14:paraId="69AC1451" w14:textId="30305DF8" w:rsidR="002D1C67" w:rsidRDefault="003143A2" w:rsidP="00330690">
      <w:pPr>
        <w:spacing w:after="360"/>
      </w:pPr>
      <w:r>
        <w:rPr>
          <w:b/>
          <w:i/>
        </w:rPr>
        <w:t>Comparing MMT to FIT.</w:t>
      </w:r>
      <w:r>
        <w:t xml:space="preserve"> To determine whether microbiota sequence data could be used to complement FIT, we compared the performance of the MMT to FIT. For differentiating any lesions from normal, the AUC for the MMT was significantly higher than FIT (MMT AUC:0.829, FIT AUC:0.749, p&lt;0.001). Subdividing the lesions, detecting adenomas by the MMT (AUC:0.755) was significantly better than FIT (AUC:0.639, p&lt;0.001), but not for differentiating cancer from normal (MMT AUC:0.952, FIT AUC:0.929, p=0.09) (Fig. 2A). To generate a categorical prediction from the MMT, we determined that the optimal threshold for the models's probability was 0.622 using Youden's J statisitc [</w:t>
      </w:r>
      <w:r>
        <w:t>25</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95.0% of cancers and 57.1% of adenomas compared to 75.0% and 15.7% for FIT (Table 1, Fig. 2B, Fig. 2C). When adenomas and cancers were pooled together, the MMT detected 71.4% of lesions, while FIT only detected 38.1%. The MMT significantly improved sensitivity for both advanced and non-advanced adenomas as well as multiple stages of cancer (Fig. 3). The </w:t>
      </w:r>
      <w:r>
        <w:lastRenderedPageBreak/>
        <w:t>increased sensitivity of the MMT was accompanied by a decrease in specificity (83.7%) compared to FIT (97.1%).</w:t>
      </w:r>
    </w:p>
    <w:p w14:paraId="09946216" w14:textId="77777777" w:rsidR="002D1C67" w:rsidRDefault="003143A2" w:rsidP="00330690">
      <w:pPr>
        <w:spacing w:after="360"/>
      </w:pPr>
      <w:r>
        <w:t>To better understand the relationship between the MMT and FIT, we compared the results of the two tests for each sample (Fig. 4A). All samples that tested positive by FIT also tested positive by the MMT, indicating that the MMT did not miss any of the lesions that FIT was able to detect. However the MMT was able to detect 80.0% of cancers and 49.1% of adenomas that FIT had failed to detect, while maintaining a specificity of 86.2% (Fig. 4B). This result demonstrated that incorporation of data from a subject's microbiota complemented FIT to improve its sensitivity.</w:t>
      </w:r>
    </w:p>
    <w:p w14:paraId="1C83A6BC" w14:textId="3DC95539" w:rsidR="002D1C67" w:rsidRDefault="003143A2" w:rsidP="00330690">
      <w:pPr>
        <w:spacing w:after="360"/>
      </w:pPr>
      <w:r>
        <w:t>The purpose of screening is to identify asymptomatic individuals with early stage disease (i.e., true positives). Therefore, we estimated the number of true positives captured through FIT and MMT in the recommended screening population in the United States (adults ages 50-</w:t>
      </w:r>
      <w:r>
        <w:t>75</w:t>
      </w:r>
      <w:r>
        <w:t xml:space="preserve"> years). The prevalence of lesions in an average-risk population was obtained through a previously published meta-analysis [</w:t>
      </w:r>
      <w:del w:id="14" w:author="NTB" w:date="2016-01-20T20:28:00Z">
        <w:r w:rsidR="006C5A11">
          <w:delText>29]. Tests were utilized</w:delText>
        </w:r>
      </w:del>
      <w:ins w:id="15" w:author="NTB" w:date="2016-01-20T20:28:00Z">
        <w:r>
          <w:t>30]. Based on sensitivities of FIT and MMT</w:t>
        </w:r>
      </w:ins>
      <w:r>
        <w:t xml:space="preserve"> in </w:t>
      </w:r>
      <w:del w:id="16" w:author="NTB" w:date="2016-01-20T20:28:00Z">
        <w:r w:rsidR="006C5A11">
          <w:delText>series so</w:delText>
        </w:r>
      </w:del>
      <w:ins w:id="17" w:author="NTB" w:date="2016-01-20T20:28:00Z">
        <w:r>
          <w:t>our dataset, we estimate</w:t>
        </w:r>
      </w:ins>
      <w:r>
        <w:t xml:space="preserve"> that </w:t>
      </w:r>
      <w:del w:id="18" w:author="NTB" w:date="2016-01-20T20:28:00Z">
        <w:r w:rsidR="006C5A11">
          <w:delText>FIT, with a higher specificity (fewer false positives), was applied first</w:delText>
        </w:r>
      </w:del>
      <w:ins w:id="19" w:author="NTB" w:date="2016-01-20T20:28:00Z">
        <w:r>
          <w:t>MMT would detect approximately 48 thousand additional cancers, 1.9 million additional advanced adenomas, and 5.9 million additional non-advanced adenomas compared</w:t>
        </w:r>
      </w:ins>
      <w:r>
        <w:t xml:space="preserve"> to </w:t>
      </w:r>
      <w:del w:id="20" w:author="NTB" w:date="2016-01-20T20:28:00Z">
        <w:r w:rsidR="006C5A11">
          <w:delText>minimize unnecessary diagnostic testing. MMT, with a higher</w:delText>
        </w:r>
      </w:del>
      <w:ins w:id="21" w:author="NTB" w:date="2016-01-20T20:28:00Z">
        <w:r>
          <w:t>using FIT alone (Table 2). Thus the improved</w:t>
        </w:r>
      </w:ins>
      <w:r>
        <w:t xml:space="preserve"> sensitivity </w:t>
      </w:r>
      <w:del w:id="22" w:author="NTB" w:date="2016-01-20T20:28:00Z">
        <w:r w:rsidR="006C5A11">
          <w:delText xml:space="preserve">(fewer false negatives), was then used to capture additional </w:delText>
        </w:r>
      </w:del>
      <w:ins w:id="23" w:author="NTB" w:date="2016-01-20T20:28:00Z">
        <w:r>
          <w:t xml:space="preserve">of the MMT would substantially increase the number of </w:t>
        </w:r>
      </w:ins>
      <w:r>
        <w:t xml:space="preserve">true positives </w:t>
      </w:r>
      <w:del w:id="24" w:author="NTB" w:date="2016-01-20T20:28:00Z">
        <w:r w:rsidR="006C5A11">
          <w:delText>in those with negative FIT results (Table 2). MMT was able to identify a large proportion</w:delText>
        </w:r>
      </w:del>
      <w:ins w:id="25" w:author="NTB" w:date="2016-01-20T20:28:00Z">
        <w:r>
          <w:t>identified in the recommended screening population of the United States. Additional studies will be needed to determine whether the increased number</w:t>
        </w:r>
      </w:ins>
      <w:r>
        <w:t xml:space="preserve"> of true positives </w:t>
      </w:r>
      <w:del w:id="26" w:author="NTB" w:date="2016-01-20T20:28:00Z">
        <w:r w:rsidR="006C5A11">
          <w:delText>among individuals with a negative FIT result (55.1% for cancer, 72.0% for advanced adenoma, 82.5% for non-advanced adenoma).</w:delText>
        </w:r>
      </w:del>
      <w:ins w:id="27" w:author="NTB" w:date="2016-01-20T20:28:00Z">
        <w:r>
          <w:t>identified by MMT justify the increased number of false positives (and subsequent colonoscopies) that would result from the decreased specificity of MMT.</w:t>
        </w:r>
      </w:ins>
    </w:p>
    <w:p w14:paraId="01A02B61" w14:textId="2564BF85" w:rsidR="002D1C67" w:rsidRDefault="003143A2" w:rsidP="00330690">
      <w:pPr>
        <w:spacing w:after="360"/>
      </w:pPr>
      <w:r>
        <w:rPr>
          <w:b/>
          <w:i/>
        </w:rPr>
        <w:lastRenderedPageBreak/>
        <w:t xml:space="preserve">Effect of </w:t>
      </w:r>
      <w:del w:id="28" w:author="NTB" w:date="2016-01-20T20:28:00Z">
        <w:r w:rsidR="006C5A11">
          <w:rPr>
            <w:b/>
            <w:i/>
          </w:rPr>
          <w:delText>sex</w:delText>
        </w:r>
      </w:del>
      <w:ins w:id="29" w:author="NTB" w:date="2016-01-20T20:28:00Z">
        <w:r>
          <w:rPr>
            <w:b/>
            <w:i/>
          </w:rPr>
          <w:t>patient characteristics</w:t>
        </w:r>
      </w:ins>
      <w:r>
        <w:rPr>
          <w:b/>
          <w:i/>
        </w:rPr>
        <w:t xml:space="preserve"> on model performance.</w:t>
      </w:r>
      <w:r>
        <w:t xml:space="preserve"> Previous studies have identified differences in diagnostic test performance for certain demographic groups or for people taking certain medications [</w:t>
      </w:r>
      <w:r>
        <w:t>31–33</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w:t>
      </w:r>
      <w:del w:id="30" w:author="NTB" w:date="2016-01-20T20:28:00Z">
        <w:r w:rsidR="006C5A11">
          <w:delText>S6</w:delText>
        </w:r>
      </w:del>
      <w:ins w:id="31" w:author="NTB" w:date="2016-01-20T20:28:00Z">
        <w:r>
          <w:t>S4</w:t>
        </w:r>
      </w:ins>
      <w:r>
        <w:t>).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appeared to be due to differences in FIT results rather than differences in the microbiome. After correcting for diagnosis, there was a significant effect of sex on FIT result (p=0.006, two-way ANOVA), but not on the overall structure of the microbiome (PERMANOVA: p=0.06).</w:t>
      </w:r>
    </w:p>
    <w:p w14:paraId="78ACDABD" w14:textId="77777777" w:rsidR="002D1C67" w:rsidRDefault="003143A2" w:rsidP="00CD1017">
      <w:pPr>
        <w:spacing w:after="360"/>
        <w:rPr>
          <w:ins w:id="32" w:author="NTB" w:date="2016-01-20T20:28:00Z"/>
        </w:rPr>
      </w:pPr>
      <w:ins w:id="33" w:author="NTB" w:date="2016-01-20T20:28:00Z">
        <w:r>
          <w:t xml:space="preserve">We have previously shown that incorporating patient metadata into microbiome-based diagnostic models can improve screening accuracy [17]. To test whether the same was true for the MMT we generated a random forest model that combined patients' age, BMI, sex, and smoking status with the OTUs and FIT result from the MMT. The AUC of the ROC curve for this model (0.865) was not significantly higher than that of the MMT (AUC: 0.829, p=0.15, Fig. S5). However, when the model with patient metadata was set to the same </w:t>
        </w:r>
        <w:r>
          <w:lastRenderedPageBreak/>
          <w:t>specificity as the MMT (83.7%), it had significantly higher sensitivity for lesions (78.3%) than the MMT (71.4%, p=0.03). This result supports our previous observations that patient metadata could be used to further improve screening accuracy.</w:t>
        </w:r>
      </w:ins>
    </w:p>
    <w:p w14:paraId="1A506ED6" w14:textId="77777777" w:rsidR="002D1C67" w:rsidRDefault="003143A2" w:rsidP="00330690">
      <w:pPr>
        <w:pStyle w:val="Heading3"/>
        <w:spacing w:before="180" w:after="360"/>
      </w:pPr>
      <w:bookmarkStart w:id="34" w:name="discussion"/>
      <w:bookmarkEnd w:id="34"/>
      <w:r>
        <w:t>Discussion</w:t>
      </w:r>
    </w:p>
    <w:p w14:paraId="1AB8D598" w14:textId="31F59120" w:rsidR="002D1C67" w:rsidRDefault="003143A2" w:rsidP="00CD1017">
      <w:pPr>
        <w:spacing w:after="360"/>
        <w:rPr>
          <w:ins w:id="35" w:author="NTB" w:date="2016-01-20T20:28:00Z"/>
        </w:rPr>
      </w:pPr>
      <w:r>
        <w:t xml:space="preserve">We confirmed previous findings that the gut microbiota can be used to differentiate healthy individuals from those with colonic lesions. Although FIT was better at detecting lesions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MMT was also able to detect the majority of lesions missed by FIT. However, the increased sensitivity of MMT was accompanied by a decrease in specificity compared to FIT. </w:t>
      </w:r>
      <w:del w:id="36" w:author="NTB" w:date="2016-01-20T20:28:00Z">
        <w:r w:rsidR="006C5A11">
          <w:delText>By estimating the performance of the tests on the U.S. population, we demonstarted the potential for using</w:delText>
        </w:r>
      </w:del>
      <w:ins w:id="37" w:author="NTB" w:date="2016-01-20T20:28:00Z">
        <w:r>
          <w:t>We anticipate that inclusion of additional host markers to the MMT could further improve its sensitivity and/or specificity.</w:t>
        </w:r>
      </w:ins>
    </w:p>
    <w:p w14:paraId="3FE6F77E" w14:textId="77777777" w:rsidR="002D1C67" w:rsidRDefault="003143A2" w:rsidP="00330690">
      <w:pPr>
        <w:spacing w:after="360"/>
      </w:pPr>
      <w:ins w:id="38" w:author="NTB" w:date="2016-01-20T20:28:00Z">
        <w:r>
          <w:t>One way to approach screening would be to use</w:t>
        </w:r>
      </w:ins>
      <w:r>
        <w:t xml:space="preserve"> FIT and the MMT in series, thereby preserving the advantages of the higher specificity of FIT and the superior sensitivity of MMT.</w:t>
      </w:r>
      <w:ins w:id="39" w:author="NTB" w:date="2016-01-20T20:28:00Z">
        <w:r>
          <w:t xml:space="preserve"> A potential strategy would be to advise colonoscopies to those individuals positive in both MMT and FIT. In individuals who tested negative in both MMT and FIT, it could be argued that less frequent testing may be necessary (e.g., stool testing once every 3 years could be assessed versus once a year). Trials could confirm the time lag between testing. For those individuals who tested positive in one of the tests but negative in the other, trials </w:t>
        </w:r>
        <w:r>
          <w:lastRenderedPageBreak/>
          <w:t>could confirm whether continuing with the annual stool testing or offering colonoscopy would yield better patient outcomes (to include both likely benefits of early diagnosis as well as adverse effects of unnecessary testing). Randomized control trials would be needed to demonstrate the efficacy of this scheme and to evaluate the appropriate frequency of retesting.</w:t>
        </w:r>
      </w:ins>
    </w:p>
    <w:p w14:paraId="1AB17D5C" w14:textId="1A5F6B0E" w:rsidR="002D1C67" w:rsidRDefault="003143A2" w:rsidP="00330690">
      <w:pPr>
        <w:spacing w:after="360"/>
      </w:pPr>
      <w:r>
        <w:t xml:space="preserve">It was recently shown that when FIT was combined with host-associated DNA biomarkers, the ability to detect adenomas and carcinomas was significantly improved over FIT alone [2]. The sensitivity of the host-associated DNA screen was 92.3% for cancer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the host-associated biomarkers or those targeting specific genes involved in the underlying mechanism of tumorigenesis such as bacterial toxins [15, </w:t>
      </w:r>
      <w:r>
        <w:t>16, 18</w:t>
      </w:r>
      <w:r>
        <w:t xml:space="preserve">]. More generally, predictive and diagnostic models for other diseases with a microbial etiology may benefit from a similar approach. For example, we recently demonstrated the ability to detect </w:t>
      </w:r>
      <w:r>
        <w:rPr>
          <w:i/>
        </w:rPr>
        <w:t>Clostridium difficile</w:t>
      </w:r>
      <w:r>
        <w:t xml:space="preserve"> infection based on the composition of the microbiota [</w:t>
      </w:r>
      <w:r>
        <w:t>34</w:t>
      </w:r>
      <w:r>
        <w:t>]. Such models are likely to be useful as microbiota sequencing gains traction as a tool for characterizing health.</w:t>
      </w:r>
    </w:p>
    <w:p w14:paraId="2622EB12" w14:textId="28B4469F" w:rsidR="002D1C67" w:rsidRDefault="003143A2" w:rsidP="00330690">
      <w:pPr>
        <w:spacing w:after="360"/>
      </w:pPr>
      <w:r>
        <w:t xml:space="preserve">Surprisingly most of the OTUs that work well for identifying cancers, including </w:t>
      </w:r>
      <w:r>
        <w:rPr>
          <w:i/>
        </w:rPr>
        <w:t>Fusobacterium nucleatum</w:t>
      </w:r>
      <w:r>
        <w:t xml:space="preserve"> (OTU264), </w:t>
      </w:r>
      <w:r>
        <w:rPr>
          <w:i/>
        </w:rPr>
        <w:t>Peptostroptococcus stomatis</w:t>
      </w:r>
      <w:r>
        <w:t xml:space="preserve"> (OTU310), and </w:t>
      </w:r>
      <w:r>
        <w:rPr>
          <w:i/>
        </w:rPr>
        <w:lastRenderedPageBreak/>
        <w:t>Parvimonas micra</w:t>
      </w:r>
      <w:r>
        <w:t xml:space="preserve"> (OTU281), were excluded from the MMT. </w:t>
      </w:r>
      <w:ins w:id="40" w:author="NTB" w:date="2016-01-20T20:28:00Z">
        <w:r>
          <w:t xml:space="preserve">This is likely due to these OTUs being positively correlated with FIT (all p&lt;0.001, Spearman correlation), meaning they add little information when used in combination with FIT. </w:t>
        </w:r>
      </w:ins>
      <w:r>
        <w:t xml:space="preserve">Instead the MMT is enriched for OTUs that help detect adenomas. </w:t>
      </w:r>
      <w:ins w:id="41" w:author="NTB" w:date="2016-01-20T20:28:00Z">
        <w:r>
          <w:t>Thus the</w:t>
        </w:r>
      </w:ins>
      <w:r>
        <w:t xml:space="preserve"> MMT model relies primarily on FIT for detecting cancer, and uses the microbiota to </w:t>
      </w:r>
      <w:ins w:id="42" w:author="NTB" w:date="2016-01-20T20:28:00Z">
        <w:r>
          <w:t xml:space="preserve">help </w:t>
        </w:r>
      </w:ins>
      <w:r>
        <w:t>identify adenomas</w:t>
      </w:r>
      <w:ins w:id="43" w:author="NTB" w:date="2016-01-20T20:28:00Z">
        <w:r>
          <w:t xml:space="preserve"> undetectable by FIT alone</w:t>
        </w:r>
      </w:ins>
      <w:r>
        <w:t>.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 [</w:t>
      </w:r>
      <w:r>
        <w:t>35–38</w:t>
      </w:r>
      <w:r>
        <w:t xml:space="preserve">]. Likewise Zeller et al. observed a depletion of </w:t>
      </w:r>
      <w:ins w:id="44" w:author="NTB" w:date="2016-01-20T20:28:00Z">
        <w:r>
          <w:t xml:space="preserve">a potential </w:t>
        </w:r>
      </w:ins>
      <w:r>
        <w:t xml:space="preserve">butyrate-producing </w:t>
      </w:r>
      <w:r>
        <w:rPr>
          <w:i/>
        </w:rPr>
        <w:t>Eubacterium spp.</w:t>
      </w:r>
      <w:r>
        <w:t xml:space="preserve"> in patients with CRC [</w:t>
      </w:r>
      <w:r>
        <w:t>18</w:t>
      </w:r>
      <w:r>
        <w:t>].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14:paraId="26E20863" w14:textId="73409D37" w:rsidR="00492795" w:rsidRDefault="006C5A11" w:rsidP="00343AFC">
      <w:pPr>
        <w:spacing w:before="360"/>
        <w:rPr>
          <w:del w:id="45" w:author="NTB" w:date="2016-01-20T20:28:00Z"/>
        </w:rPr>
      </w:pPr>
      <w:del w:id="46" w:author="NTB" w:date="2016-01-20T20:28:00Z">
        <w:r>
          <w:delText>All previous studies describing differences in the gut microbiota of individuals with varying stages of CRC, including this one, have relied on samples collected after colonoscopy. A previous study showed that the microbiome quickly returns to normal following colonoscopy [19].Furthermore, future development of this approach will require prospective sampling of additional individuals to demonstrate the clinical potential of the approach.</w:delText>
        </w:r>
      </w:del>
    </w:p>
    <w:p w14:paraId="24A0D14E" w14:textId="274990B3" w:rsidR="002D1C67" w:rsidRDefault="003143A2" w:rsidP="00330690">
      <w:pPr>
        <w:spacing w:after="360"/>
      </w:pPr>
      <w:r>
        <w:t xml:space="preserve">Like other groups, we noticed that the microbiota of CRC patients contained higher levels of bacterial taxa traditionally thought of as oral pathogens, including </w:t>
      </w:r>
      <w:r>
        <w:rPr>
          <w:i/>
        </w:rPr>
        <w:t>Fusobacterium</w:t>
      </w:r>
      <w:r>
        <w:t xml:space="preserve">, </w:t>
      </w:r>
      <w:r>
        <w:rPr>
          <w:i/>
        </w:rPr>
        <w:t>Porphyromonas</w:t>
      </w:r>
      <w:r>
        <w:t xml:space="preserve">, </w:t>
      </w:r>
      <w:r>
        <w:rPr>
          <w:i/>
        </w:rPr>
        <w:t>Peptostreptococus</w:t>
      </w:r>
      <w:r>
        <w:t xml:space="preserve">, </w:t>
      </w:r>
      <w:r>
        <w:rPr>
          <w:i/>
        </w:rPr>
        <w:t>Gemella</w:t>
      </w:r>
      <w:r>
        <w:t xml:space="preserve">, </w:t>
      </w:r>
      <w:r>
        <w:rPr>
          <w:i/>
        </w:rPr>
        <w:t>Parvimonas</w:t>
      </w:r>
      <w:r>
        <w:t xml:space="preserve">, and </w:t>
      </w:r>
      <w:r>
        <w:rPr>
          <w:i/>
        </w:rPr>
        <w:t>Prevotella</w:t>
      </w:r>
      <w:r>
        <w:t>. Periodontal pathogens have been shown to promote the progression of oral cancer [</w:t>
      </w:r>
      <w:r>
        <w:t>39</w:t>
      </w:r>
      <w:r>
        <w:t xml:space="preserve">]. Therefore it is possible that these taxa could influence the progression of CRC by a similar mechanism. These observation may warrant further investigation into a potential link between </w:t>
      </w:r>
      <w:r>
        <w:lastRenderedPageBreak/>
        <w:t>periodontal diseases and CRC. Furthermore, since the structure of an individual's oral microbiome is correlated with that of the gut [</w:t>
      </w:r>
      <w:r>
        <w:t>40</w:t>
      </w:r>
      <w:r>
        <w:t>], alterations in the oral community could potentially be a proxy for ongoing or future changes to the gut community.</w:t>
      </w:r>
    </w:p>
    <w:p w14:paraId="488A66EA" w14:textId="77777777" w:rsidR="002D1C67" w:rsidRDefault="003143A2" w:rsidP="00CD1017">
      <w:pPr>
        <w:spacing w:after="360"/>
        <w:rPr>
          <w:ins w:id="47" w:author="NTB" w:date="2016-01-20T20:28:00Z"/>
        </w:rPr>
      </w:pPr>
      <w:ins w:id="48" w:author="NTB" w:date="2016-01-20T20:28:00Z">
        <w:r>
          <w:t xml:space="preserve">Although it is exciting that the addition of the microbiota can improve the sensitivity of FIT, further validation is needed prior to clinical adoption. This represents the largest cohort to date, but still only represents 490 patients. In contrast, the cohort used to validate the </w:t>
        </w:r>
        <w:proofErr w:type="spellStart"/>
        <w:r>
          <w:t>Multitarget</w:t>
        </w:r>
        <w:proofErr w:type="spellEnd"/>
        <w:r>
          <w:t xml:space="preserve"> stool DNA test included 9,989 subjects. Development of a larger cohort will allow us to apply the MMT to a separate validation set. It is also unclear how sensitive the MMT is to variation in sample preparation and processing. Many of the samples included in the current study were collected after the subjects’ colonoscopy. A previous study showed that the microbiome quickly returns to normal following colonoscopy [20].</w:t>
        </w:r>
      </w:ins>
      <w:r>
        <w:t xml:space="preserve"> Likewise we found no difference in the microbiome between samples collected prior to or after colonoscopy (PERMANOVA: p=0.45). Regardless, we would have greater confidence in the predictive potential of the microbiota if all samples were collected prior to colonoscopy. </w:t>
      </w:r>
      <w:ins w:id="49" w:author="NTB" w:date="2016-01-20T20:28:00Z">
        <w:r>
          <w:t>Despite these shortcomings, the ability to improve the sensitivity of detecting adenomas suggests that further methods development and validation are warranted.</w:t>
        </w:r>
      </w:ins>
    </w:p>
    <w:p w14:paraId="009B0716" w14:textId="77777777" w:rsidR="002D1C67" w:rsidRDefault="003143A2" w:rsidP="00330690">
      <w:pPr>
        <w:pStyle w:val="Heading3"/>
        <w:spacing w:before="180" w:after="360"/>
      </w:pPr>
      <w:bookmarkStart w:id="50" w:name="conclusions"/>
      <w:bookmarkEnd w:id="50"/>
      <w:r>
        <w:t>Conclusions</w:t>
      </w:r>
    </w:p>
    <w:p w14:paraId="0813A28A" w14:textId="55E11253" w:rsidR="00690BB1" w:rsidRDefault="003143A2" w:rsidP="00330690">
      <w:pPr>
        <w:spacing w:after="360"/>
      </w:pPr>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regardless of the stages of tumorigenesis. Moreover the model detected the majority of lesions that FIT was unable to detect. The shortcoming of </w:t>
      </w:r>
      <w:r>
        <w:lastRenderedPageBreak/>
        <w:t>the MMT is its lower specificity but, by conducting the FIT and MMT in series, it is possible to maximize the number of correctly identified individuals with preclinical lesions. The potential value of the MMT is its higher sensitivity which, is the purpose of preventive screening – finding lesions earlier so that cancer would be avoided.</w:t>
      </w:r>
      <w:ins w:id="51" w:author="NTB" w:date="2016-01-20T20:28:00Z">
        <w:r w:rsidR="00690BB1">
          <w:br w:type="page"/>
        </w:r>
      </w:ins>
    </w:p>
    <w:p w14:paraId="7863BB7A" w14:textId="77777777" w:rsidR="002D1C67" w:rsidRDefault="003143A2" w:rsidP="00330690">
      <w:pPr>
        <w:spacing w:after="360"/>
        <w:jc w:val="left"/>
      </w:pPr>
      <w:bookmarkStart w:id="52" w:name="declarations"/>
      <w:bookmarkEnd w:id="52"/>
      <w:r>
        <w:rPr>
          <w:b/>
        </w:rPr>
        <w:lastRenderedPageBreak/>
        <w:t>Abbreviations:</w:t>
      </w:r>
      <w:r>
        <w:br/>
        <w:t>FIT: fecal immunochemical test</w:t>
      </w:r>
      <w:r>
        <w:br/>
        <w:t>gFOBT: guaic fecal occult blood test</w:t>
      </w:r>
      <w:r>
        <w:br/>
        <w:t>OTU: operational taxonomic unit</w:t>
      </w:r>
      <w:r>
        <w:br/>
      </w:r>
      <w:ins w:id="53" w:author="NTB" w:date="2016-01-20T20:28:00Z">
        <w:r>
          <w:t>AUC: area under the curve</w:t>
        </w:r>
        <w:r>
          <w:br/>
          <w:t xml:space="preserve">ROC curve: </w:t>
        </w:r>
        <w:proofErr w:type="spellStart"/>
        <w:r>
          <w:t>reciever</w:t>
        </w:r>
        <w:proofErr w:type="spellEnd"/>
        <w:r>
          <w:t xml:space="preserve"> operating characteristic curve</w:t>
        </w:r>
        <w:r>
          <w:br/>
        </w:r>
      </w:ins>
      <w:r>
        <w:t>MMT: multitarget microbiota test</w:t>
      </w:r>
    </w:p>
    <w:p w14:paraId="251C31D4" w14:textId="5D485EC0" w:rsidR="00CD1017" w:rsidRDefault="003143A2" w:rsidP="00330690">
      <w:pPr>
        <w:spacing w:after="360"/>
      </w:pPr>
      <w:r>
        <w:rPr>
          <w:b/>
        </w:rPr>
        <w:t>Availability of data and materials:</w:t>
      </w:r>
      <w:r>
        <w:t xml:space="preserve"> </w:t>
      </w:r>
      <w:r w:rsidR="00CD1017" w:rsidRPr="00CD1017">
        <w:t xml:space="preserve">Raw </w:t>
      </w:r>
      <w:proofErr w:type="spellStart"/>
      <w:r w:rsidR="00CD1017" w:rsidRPr="00CD1017">
        <w:t>fastq</w:t>
      </w:r>
      <w:proofErr w:type="spellEnd"/>
      <w:r w:rsidR="00CD1017" w:rsidRPr="00CD1017">
        <w:t xml:space="preserve"> files and a MIMARKS file are available through the NCBI Sequence Read Archive [SRP062005]. The exact data processing steps </w:t>
      </w:r>
      <w:ins w:id="54" w:author="NTB" w:date="2016-01-20T20:28:00Z">
        <w:r w:rsidR="00CD1017" w:rsidRPr="00CD1017">
          <w:t>for</w:t>
        </w:r>
      </w:ins>
      <w:r w:rsidR="00CD1017" w:rsidRPr="00CD1017">
        <w:t xml:space="preserve"> going from the raw sequence data to the final manuscript is available at </w:t>
      </w:r>
      <w:hyperlink r:id="rId13" w:history="1">
        <w:r w:rsidR="00CD1017" w:rsidRPr="001C4820">
          <w:rPr>
            <w:rStyle w:val="Hyperlink"/>
          </w:rPr>
          <w:t>http://</w:t>
        </w:r>
        <w:r w:rsidR="00CD1017" w:rsidRPr="001C4820">
          <w:rPr>
            <w:rStyle w:val="Hyperlink"/>
          </w:rPr>
          <w:t>www.github.com/SchlossLab/Baxter_glne007Modeling_2015</w:t>
        </w:r>
      </w:hyperlink>
      <w:r w:rsidR="00CD1017" w:rsidRPr="00CD1017">
        <w:t>.</w:t>
      </w:r>
    </w:p>
    <w:p w14:paraId="45B06B41" w14:textId="77777777" w:rsidR="002D1C67" w:rsidRDefault="003143A2" w:rsidP="00330690">
      <w:pPr>
        <w:spacing w:after="360"/>
      </w:pPr>
      <w:r>
        <w:rPr>
          <w:b/>
        </w:rPr>
        <w:t>Competing interests:</w:t>
      </w:r>
      <w:r>
        <w:t xml:space="preserve"> The authors declare no competing financial interests.</w:t>
      </w:r>
    </w:p>
    <w:p w14:paraId="1C0F8344" w14:textId="77777777" w:rsidR="002D1C67" w:rsidRDefault="003143A2" w:rsidP="00330690">
      <w:pPr>
        <w:spacing w:after="360"/>
      </w:pPr>
      <w:r>
        <w:rPr>
          <w:b/>
        </w:rPr>
        <w:t>Author Contributions:</w:t>
      </w:r>
      <w:r>
        <w:t xml:space="preserve"> All authors were involved in the conception and design of the study. NTB processed samples and analyzed the data. All authors interpreted the data. NTB and PDS wrote the manuscript. All authors reviewed and revised the manuscript.</w:t>
      </w:r>
    </w:p>
    <w:p w14:paraId="1A2B9BB3" w14:textId="77777777" w:rsidR="002D1C67" w:rsidRDefault="003143A2" w:rsidP="00330690">
      <w:pPr>
        <w:spacing w:after="360"/>
      </w:pPr>
      <w:r>
        <w:rPr>
          <w:b/>
        </w:rPr>
        <w:t>Funding:</w:t>
      </w:r>
      <w:r>
        <w:t xml:space="preserve"> This study was supported by funding from the National Institutes of Health to P. Schloss (R01GM099514</w:t>
      </w:r>
      <w:ins w:id="55" w:author="NTB" w:date="2016-01-20T20:28:00Z">
        <w:r>
          <w:t>, P30DK034933</w:t>
        </w:r>
      </w:ins>
      <w:r>
        <w:t>) and to the Early Detection Research Network (U01CA86400).</w:t>
      </w:r>
    </w:p>
    <w:p w14:paraId="1600ED42" w14:textId="77777777" w:rsidR="00CD1017" w:rsidRDefault="003143A2" w:rsidP="00330690">
      <w:pPr>
        <w:spacing w:after="360"/>
      </w:pPr>
      <w:r>
        <w:rPr>
          <w:b/>
        </w:rPr>
        <w:t>Acknowledgements:</w:t>
      </w:r>
      <w:r>
        <w:t xml:space="preserve"> The authors thank the Great Lakes-New England Early Detection Research Network for providing the fecal samples that were used in this study.</w:t>
      </w:r>
      <w:ins w:id="56" w:author="NTB" w:date="2016-01-20T20:28:00Z">
        <w:r w:rsidR="00CD1017">
          <w:br w:type="page"/>
        </w:r>
      </w:ins>
    </w:p>
    <w:p w14:paraId="3C9ABE8A" w14:textId="77777777" w:rsidR="00CD1017" w:rsidRDefault="00CD1017" w:rsidP="00330690">
      <w:pPr>
        <w:pStyle w:val="Heading3"/>
        <w:spacing w:before="180" w:after="240"/>
      </w:pPr>
      <w:r>
        <w:lastRenderedPageBreak/>
        <w:t>References</w:t>
      </w:r>
    </w:p>
    <w:p w14:paraId="178C8B81" w14:textId="77777777" w:rsidR="00CD1017" w:rsidRDefault="00CD1017" w:rsidP="00330690">
      <w:pPr>
        <w:pStyle w:val="Bibliography"/>
        <w:spacing w:after="240"/>
      </w:pPr>
      <w:r>
        <w:t xml:space="preserve">1. Siegel R, </w:t>
      </w:r>
      <w:proofErr w:type="spellStart"/>
      <w:r>
        <w:t>DeSantis</w:t>
      </w:r>
      <w:proofErr w:type="spellEnd"/>
      <w:r>
        <w:t xml:space="preserve"> C, </w:t>
      </w:r>
      <w:proofErr w:type="spellStart"/>
      <w:r>
        <w:t>Jemal</w:t>
      </w:r>
      <w:proofErr w:type="spellEnd"/>
      <w:r>
        <w:t xml:space="preserve"> A: </w:t>
      </w:r>
      <w:r>
        <w:rPr>
          <w:b/>
        </w:rPr>
        <w:t>Colorectal cancer statistics, 2014</w:t>
      </w:r>
      <w:r>
        <w:t xml:space="preserve">. </w:t>
      </w:r>
      <w:r>
        <w:rPr>
          <w:i/>
        </w:rPr>
        <w:t>CA: a cancer journal for clinicians</w:t>
      </w:r>
      <w:r>
        <w:t xml:space="preserve">. 2014, </w:t>
      </w:r>
      <w:r>
        <w:rPr>
          <w:b/>
        </w:rPr>
        <w:t>64</w:t>
      </w:r>
      <w:r>
        <w:t>:104–117.</w:t>
      </w:r>
    </w:p>
    <w:p w14:paraId="05D07F67" w14:textId="77777777" w:rsidR="00CD1017" w:rsidRDefault="00CD1017" w:rsidP="00330690">
      <w:pPr>
        <w:pStyle w:val="Bibliography"/>
        <w:spacing w:after="240"/>
      </w:pPr>
      <w:r>
        <w:t xml:space="preserve">2. </w:t>
      </w:r>
      <w:proofErr w:type="spellStart"/>
      <w:r>
        <w:t>Imperiale</w:t>
      </w:r>
      <w:proofErr w:type="spellEnd"/>
      <w:r>
        <w:t xml:space="preserve"> TF, </w:t>
      </w:r>
      <w:proofErr w:type="spellStart"/>
      <w:r>
        <w:t>Ransohoff</w:t>
      </w:r>
      <w:proofErr w:type="spellEnd"/>
      <w:r>
        <w:t xml:space="preserve"> DF, </w:t>
      </w:r>
      <w:proofErr w:type="spellStart"/>
      <w:r>
        <w:t>Itzkowitz</w:t>
      </w:r>
      <w:proofErr w:type="spellEnd"/>
      <w:r>
        <w:t xml:space="preserve"> SH, Levin TR, Lavin P, </w:t>
      </w:r>
      <w:proofErr w:type="spellStart"/>
      <w:r>
        <w:t>Lidgard</w:t>
      </w:r>
      <w:proofErr w:type="spellEnd"/>
      <w:r>
        <w:t xml:space="preserve"> GP, </w:t>
      </w:r>
      <w:proofErr w:type="spellStart"/>
      <w:r>
        <w:t>Ahlquist</w:t>
      </w:r>
      <w:proofErr w:type="spellEnd"/>
      <w:r>
        <w:t xml:space="preserve"> DA, Berger BM: </w:t>
      </w:r>
      <w:proofErr w:type="spellStart"/>
      <w:r>
        <w:rPr>
          <w:b/>
        </w:rPr>
        <w:t>Multitarget</w:t>
      </w:r>
      <w:proofErr w:type="spellEnd"/>
      <w:r>
        <w:rPr>
          <w:b/>
        </w:rPr>
        <w:t xml:space="preserve"> stool DNA testing for colorectal-cancer screening</w:t>
      </w:r>
      <w:r>
        <w:t xml:space="preserve">. </w:t>
      </w:r>
      <w:r>
        <w:rPr>
          <w:i/>
        </w:rPr>
        <w:t>New England Journal of Medicine</w:t>
      </w:r>
      <w:r>
        <w:t xml:space="preserve">. 2014, </w:t>
      </w:r>
      <w:r>
        <w:rPr>
          <w:b/>
        </w:rPr>
        <w:t>370</w:t>
      </w:r>
      <w:r>
        <w:t>:1287–1297.</w:t>
      </w:r>
    </w:p>
    <w:p w14:paraId="2AB433FD" w14:textId="77777777" w:rsidR="00CD1017" w:rsidRDefault="00CD1017" w:rsidP="00330690">
      <w:pPr>
        <w:pStyle w:val="Bibliography"/>
        <w:spacing w:after="240"/>
      </w:pPr>
      <w:r>
        <w:t xml:space="preserve">3. Jones RM, Devers KJ, </w:t>
      </w:r>
      <w:proofErr w:type="spellStart"/>
      <w:r>
        <w:t>Kuzel</w:t>
      </w:r>
      <w:proofErr w:type="spellEnd"/>
      <w:r>
        <w:t xml:space="preserve"> AJ, Woolf SH: </w:t>
      </w:r>
      <w:r>
        <w:rPr>
          <w:b/>
        </w:rPr>
        <w:t>Patient-reported barriers to colorectal cancer screening: a mixed-methods analysis</w:t>
      </w:r>
      <w:r>
        <w:t xml:space="preserve">. </w:t>
      </w:r>
      <w:r>
        <w:rPr>
          <w:i/>
        </w:rPr>
        <w:t>American journal of preventive medicine</w:t>
      </w:r>
      <w:r>
        <w:t xml:space="preserve">. 2010, </w:t>
      </w:r>
      <w:r>
        <w:rPr>
          <w:b/>
        </w:rPr>
        <w:t>38</w:t>
      </w:r>
      <w:r>
        <w:t>:508–516.</w:t>
      </w:r>
    </w:p>
    <w:p w14:paraId="5E3B32C5" w14:textId="77777777" w:rsidR="00CD1017" w:rsidRDefault="00CD1017" w:rsidP="00330690">
      <w:pPr>
        <w:pStyle w:val="Bibliography"/>
        <w:spacing w:after="240"/>
      </w:pPr>
      <w:r>
        <w:t xml:space="preserve">4. Hsia J, Kemper E, </w:t>
      </w:r>
      <w:proofErr w:type="spellStart"/>
      <w:r>
        <w:t>Kiefe</w:t>
      </w:r>
      <w:proofErr w:type="spellEnd"/>
      <w:r>
        <w:t xml:space="preserve"> C, </w:t>
      </w:r>
      <w:proofErr w:type="spellStart"/>
      <w:r>
        <w:t>Zapka</w:t>
      </w:r>
      <w:proofErr w:type="spellEnd"/>
      <w:r>
        <w:t xml:space="preserve"> J, </w:t>
      </w:r>
      <w:proofErr w:type="spellStart"/>
      <w:r>
        <w:t>Sofaer</w:t>
      </w:r>
      <w:proofErr w:type="spellEnd"/>
      <w:r>
        <w:t xml:space="preserve"> S, </w:t>
      </w:r>
      <w:proofErr w:type="spellStart"/>
      <w:r>
        <w:t>Pettinger</w:t>
      </w:r>
      <w:proofErr w:type="spellEnd"/>
      <w:r>
        <w:t xml:space="preserve"> M, Bowen D, </w:t>
      </w:r>
      <w:proofErr w:type="spellStart"/>
      <w:r>
        <w:t>Limacher</w:t>
      </w:r>
      <w:proofErr w:type="spellEnd"/>
      <w:r>
        <w:t xml:space="preserve"> M, Lillington L, Mason E, others: </w:t>
      </w:r>
      <w:r>
        <w:rPr>
          <w:b/>
        </w:rPr>
        <w:t>The importance of health insurance as a determinant of cancer screening: evidence from the Women’s Health Initiative</w:t>
      </w:r>
      <w:r>
        <w:t xml:space="preserve">. </w:t>
      </w:r>
      <w:r>
        <w:rPr>
          <w:i/>
        </w:rPr>
        <w:t>Preventive medicine</w:t>
      </w:r>
      <w:r>
        <w:t xml:space="preserve">. 2000, </w:t>
      </w:r>
      <w:r>
        <w:rPr>
          <w:b/>
        </w:rPr>
        <w:t>31</w:t>
      </w:r>
      <w:r>
        <w:t>:261–270.</w:t>
      </w:r>
    </w:p>
    <w:p w14:paraId="2017A2CF" w14:textId="77777777" w:rsidR="00CD1017" w:rsidRDefault="00CD1017" w:rsidP="00330690">
      <w:pPr>
        <w:pStyle w:val="Bibliography"/>
        <w:spacing w:after="240"/>
      </w:pPr>
      <w:r>
        <w:t xml:space="preserve">5. Centers for Disease Control and Prevention: </w:t>
      </w:r>
      <w:r>
        <w:rPr>
          <w:b/>
        </w:rPr>
        <w:t>Vital signs: Colorectal cancer screening test use–United states, 2012.</w:t>
      </w:r>
      <w:r>
        <w:t xml:space="preserve"> </w:t>
      </w:r>
      <w:r>
        <w:rPr>
          <w:i/>
        </w:rPr>
        <w:t>MMWR Morbidity and mortality weekly report</w:t>
      </w:r>
      <w:r>
        <w:t xml:space="preserve">. 2013, </w:t>
      </w:r>
      <w:r>
        <w:rPr>
          <w:b/>
        </w:rPr>
        <w:t>62</w:t>
      </w:r>
      <w:r>
        <w:t>:881.</w:t>
      </w:r>
    </w:p>
    <w:p w14:paraId="45CDA09D" w14:textId="77777777" w:rsidR="00CD1017" w:rsidRDefault="00CD1017" w:rsidP="00330690">
      <w:pPr>
        <w:pStyle w:val="Bibliography"/>
        <w:spacing w:after="240"/>
      </w:pPr>
      <w:r>
        <w:t xml:space="preserve">6. </w:t>
      </w:r>
      <w:proofErr w:type="spellStart"/>
      <w:r>
        <w:t>Hundt</w:t>
      </w:r>
      <w:proofErr w:type="spellEnd"/>
      <w:r>
        <w:t xml:space="preserve"> S, </w:t>
      </w:r>
      <w:proofErr w:type="spellStart"/>
      <w:r>
        <w:t>Haug</w:t>
      </w:r>
      <w:proofErr w:type="spellEnd"/>
      <w:r>
        <w:t xml:space="preserve"> U, Brenner H: </w:t>
      </w:r>
      <w:r>
        <w:rPr>
          <w:b/>
        </w:rPr>
        <w:t>Comparative evaluation of immunochemical fecal occult blood tests for colorectal adenoma detection</w:t>
      </w:r>
      <w:r>
        <w:t xml:space="preserve">. </w:t>
      </w:r>
      <w:r>
        <w:rPr>
          <w:i/>
        </w:rPr>
        <w:t>Annals of Internal Medicine</w:t>
      </w:r>
      <w:r>
        <w:t xml:space="preserve">. 2009, </w:t>
      </w:r>
      <w:r>
        <w:rPr>
          <w:b/>
        </w:rPr>
        <w:t>150</w:t>
      </w:r>
      <w:r>
        <w:t>:162–169.</w:t>
      </w:r>
    </w:p>
    <w:p w14:paraId="7C977076" w14:textId="77777777" w:rsidR="00CD1017" w:rsidRDefault="00CD1017" w:rsidP="00330690">
      <w:pPr>
        <w:pStyle w:val="Bibliography"/>
        <w:spacing w:after="240"/>
      </w:pPr>
      <w:r>
        <w:lastRenderedPageBreak/>
        <w:t xml:space="preserve">7. Wang T, </w:t>
      </w:r>
      <w:proofErr w:type="spellStart"/>
      <w:r>
        <w:t>Cai</w:t>
      </w:r>
      <w:proofErr w:type="spellEnd"/>
      <w:r>
        <w:t xml:space="preserve"> G, </w:t>
      </w:r>
      <w:proofErr w:type="spellStart"/>
      <w:r>
        <w:t>Qiu</w:t>
      </w:r>
      <w:proofErr w:type="spellEnd"/>
      <w:r>
        <w:t xml:space="preserve"> Y, </w:t>
      </w:r>
      <w:proofErr w:type="spellStart"/>
      <w:r>
        <w:t>Fei</w:t>
      </w:r>
      <w:proofErr w:type="spellEnd"/>
      <w:r>
        <w:t xml:space="preserve"> N, Zhang M, Pang X, </w:t>
      </w:r>
      <w:proofErr w:type="spellStart"/>
      <w:r>
        <w:t>Jia</w:t>
      </w:r>
      <w:proofErr w:type="spellEnd"/>
      <w:r>
        <w:t xml:space="preserve"> W, </w:t>
      </w:r>
      <w:proofErr w:type="spellStart"/>
      <w:r>
        <w:t>Cai</w:t>
      </w:r>
      <w:proofErr w:type="spellEnd"/>
      <w:r>
        <w:t xml:space="preserve"> S, Zhao L: </w:t>
      </w:r>
      <w:r>
        <w:rPr>
          <w:b/>
        </w:rPr>
        <w:t>Structural segregation of gut microbiota between colorectal cancer patients and healthy volunteers</w:t>
      </w:r>
      <w:r>
        <w:t xml:space="preserve">. </w:t>
      </w:r>
      <w:r>
        <w:rPr>
          <w:i/>
        </w:rPr>
        <w:t>The ISME journal</w:t>
      </w:r>
      <w:r>
        <w:t xml:space="preserve">. 2012, </w:t>
      </w:r>
      <w:r>
        <w:rPr>
          <w:b/>
        </w:rPr>
        <w:t>6</w:t>
      </w:r>
      <w:r>
        <w:t>:320–329.</w:t>
      </w:r>
    </w:p>
    <w:p w14:paraId="58C25F5E" w14:textId="77777777" w:rsidR="00CD1017" w:rsidRDefault="00CD1017" w:rsidP="00330690">
      <w:pPr>
        <w:pStyle w:val="Bibliography"/>
        <w:spacing w:after="240"/>
      </w:pPr>
      <w:r>
        <w:t xml:space="preserve">8. Chen H-M, Yu Y-N, Wang J-L, Lin Y-W, Kong X, Yang C-Q, Yang L, Liu Z-J, Yuan Y-Z, Liu F, others: </w:t>
      </w:r>
      <w:r>
        <w:rPr>
          <w:b/>
        </w:rPr>
        <w:t>Decreased dietary fiber intake and structural alteration of gut microbiota in patients with advanced colorectal adenoma</w:t>
      </w:r>
      <w:r>
        <w:t xml:space="preserve">. </w:t>
      </w:r>
      <w:r>
        <w:rPr>
          <w:i/>
        </w:rPr>
        <w:t>The American journal of clinical nutrition</w:t>
      </w:r>
      <w:r>
        <w:t xml:space="preserve">. 2013, </w:t>
      </w:r>
      <w:r>
        <w:rPr>
          <w:b/>
        </w:rPr>
        <w:t>97</w:t>
      </w:r>
      <w:r>
        <w:t>:1044–1052.</w:t>
      </w:r>
    </w:p>
    <w:p w14:paraId="33D186C5" w14:textId="77777777" w:rsidR="00CD1017" w:rsidRDefault="00CD1017" w:rsidP="00330690">
      <w:pPr>
        <w:pStyle w:val="Bibliography"/>
        <w:spacing w:after="240"/>
      </w:pPr>
      <w:r>
        <w:t xml:space="preserve">9. Chen W, Liu F, Ling Z, Tong X, Xiang C: </w:t>
      </w:r>
      <w:r>
        <w:rPr>
          <w:b/>
        </w:rPr>
        <w:t>Human intestinal lumen and mucosa-associated microbiota in patients with colorectal cancer</w:t>
      </w:r>
      <w:r>
        <w:t xml:space="preserve">. </w:t>
      </w:r>
      <w:proofErr w:type="spellStart"/>
      <w:r>
        <w:rPr>
          <w:i/>
        </w:rPr>
        <w:t>PloS</w:t>
      </w:r>
      <w:proofErr w:type="spellEnd"/>
      <w:r>
        <w:rPr>
          <w:i/>
        </w:rPr>
        <w:t xml:space="preserve"> one</w:t>
      </w:r>
      <w:r>
        <w:t xml:space="preserve">. 2012, </w:t>
      </w:r>
      <w:r>
        <w:rPr>
          <w:b/>
        </w:rPr>
        <w:t>7</w:t>
      </w:r>
      <w:r>
        <w:t>:e39743.</w:t>
      </w:r>
    </w:p>
    <w:p w14:paraId="082C0372" w14:textId="77777777" w:rsidR="00CD1017" w:rsidRDefault="00CD1017" w:rsidP="00330690">
      <w:pPr>
        <w:pStyle w:val="Bibliography"/>
        <w:spacing w:after="240"/>
      </w:pPr>
      <w:r>
        <w:t xml:space="preserve">10. </w:t>
      </w:r>
      <w:proofErr w:type="spellStart"/>
      <w:r>
        <w:t>Shen</w:t>
      </w:r>
      <w:proofErr w:type="spellEnd"/>
      <w:r>
        <w:t xml:space="preserve"> XJ, Rawls JF, Randall TA, </w:t>
      </w:r>
      <w:proofErr w:type="spellStart"/>
      <w:r>
        <w:t>Burcall</w:t>
      </w:r>
      <w:proofErr w:type="spellEnd"/>
      <w:r>
        <w:t xml:space="preserve"> L, </w:t>
      </w:r>
      <w:proofErr w:type="spellStart"/>
      <w:r>
        <w:t>Mpande</w:t>
      </w:r>
      <w:proofErr w:type="spellEnd"/>
      <w:r>
        <w:t xml:space="preserve"> C, Jenkins N, </w:t>
      </w:r>
      <w:proofErr w:type="spellStart"/>
      <w:r>
        <w:t>Jovov</w:t>
      </w:r>
      <w:proofErr w:type="spellEnd"/>
      <w:r>
        <w:t xml:space="preserve"> B, </w:t>
      </w:r>
      <w:proofErr w:type="spellStart"/>
      <w:r>
        <w:t>Abdo</w:t>
      </w:r>
      <w:proofErr w:type="spellEnd"/>
      <w:r>
        <w:t xml:space="preserve"> Z, Sandler RS, </w:t>
      </w:r>
      <w:proofErr w:type="spellStart"/>
      <w:r>
        <w:t>Keku</w:t>
      </w:r>
      <w:proofErr w:type="spellEnd"/>
      <w:r>
        <w:t xml:space="preserve"> TO: </w:t>
      </w:r>
      <w:r>
        <w:rPr>
          <w:b/>
        </w:rPr>
        <w:t>Molecular characterization of mucosal adherent bacteria and associations with colorectal adenomas</w:t>
      </w:r>
      <w:r>
        <w:t xml:space="preserve">. </w:t>
      </w:r>
      <w:r>
        <w:rPr>
          <w:i/>
        </w:rPr>
        <w:t>Gut microbes</w:t>
      </w:r>
      <w:r>
        <w:t xml:space="preserve">. 2010, </w:t>
      </w:r>
      <w:r>
        <w:rPr>
          <w:b/>
        </w:rPr>
        <w:t>1</w:t>
      </w:r>
      <w:r>
        <w:t>:138–147.</w:t>
      </w:r>
    </w:p>
    <w:p w14:paraId="1B8CD1A8" w14:textId="77777777" w:rsidR="00CD1017" w:rsidRDefault="00CD1017" w:rsidP="00330690">
      <w:pPr>
        <w:pStyle w:val="Bibliography"/>
        <w:spacing w:after="240"/>
      </w:pPr>
      <w:r>
        <w:t xml:space="preserve">11. </w:t>
      </w:r>
      <w:proofErr w:type="spellStart"/>
      <w:r>
        <w:t>Kostic</w:t>
      </w:r>
      <w:proofErr w:type="spellEnd"/>
      <w:r>
        <w:t xml:space="preserve"> AD, </w:t>
      </w:r>
      <w:proofErr w:type="spellStart"/>
      <w:r>
        <w:t>Gevers</w:t>
      </w:r>
      <w:proofErr w:type="spellEnd"/>
      <w:r>
        <w:t xml:space="preserve"> D, </w:t>
      </w:r>
      <w:proofErr w:type="spellStart"/>
      <w:r>
        <w:t>Pedamallu</w:t>
      </w:r>
      <w:proofErr w:type="spellEnd"/>
      <w:r>
        <w:t xml:space="preserve"> CS, Michaud M, Duke F, Earl AM, </w:t>
      </w:r>
      <w:proofErr w:type="spellStart"/>
      <w:r>
        <w:t>Ojesina</w:t>
      </w:r>
      <w:proofErr w:type="spellEnd"/>
      <w:r>
        <w:t xml:space="preserve"> AI, Jung J, Bass AJ, </w:t>
      </w:r>
      <w:proofErr w:type="spellStart"/>
      <w:r>
        <w:t>Tabernero</w:t>
      </w:r>
      <w:proofErr w:type="spellEnd"/>
      <w:r>
        <w:t xml:space="preserve"> J, others: </w:t>
      </w:r>
      <w:r>
        <w:rPr>
          <w:b/>
        </w:rPr>
        <w:t>Genomic analysis identifies association of Fusobacterium with colorectal carcinoma</w:t>
      </w:r>
      <w:r>
        <w:t xml:space="preserve">. </w:t>
      </w:r>
      <w:r>
        <w:rPr>
          <w:i/>
        </w:rPr>
        <w:t>Genome research</w:t>
      </w:r>
      <w:r>
        <w:t xml:space="preserve">. 2012, </w:t>
      </w:r>
      <w:r>
        <w:rPr>
          <w:b/>
        </w:rPr>
        <w:t>22</w:t>
      </w:r>
      <w:r>
        <w:t>:292–298.</w:t>
      </w:r>
    </w:p>
    <w:p w14:paraId="0453D813" w14:textId="51FA7A93" w:rsidR="00CD1017" w:rsidRDefault="00CD1017" w:rsidP="00330690">
      <w:pPr>
        <w:pStyle w:val="Bibliography"/>
        <w:spacing w:after="240"/>
      </w:pPr>
      <w:r>
        <w:t xml:space="preserve">12. </w:t>
      </w:r>
      <w:proofErr w:type="spellStart"/>
      <w:ins w:id="57" w:author="NTB" w:date="2016-01-20T20:28:00Z">
        <w:r>
          <w:t>Feng</w:t>
        </w:r>
        <w:proofErr w:type="spellEnd"/>
        <w:r>
          <w:t xml:space="preserve"> Q, Liang S, </w:t>
        </w:r>
        <w:proofErr w:type="spellStart"/>
        <w:r>
          <w:t>Jia</w:t>
        </w:r>
        <w:proofErr w:type="spellEnd"/>
        <w:r>
          <w:t xml:space="preserve"> H, </w:t>
        </w:r>
        <w:proofErr w:type="spellStart"/>
        <w:r>
          <w:t>Stadlmayr</w:t>
        </w:r>
        <w:proofErr w:type="spellEnd"/>
        <w:r>
          <w:t xml:space="preserve"> A, Tang L, </w:t>
        </w:r>
        <w:proofErr w:type="spellStart"/>
        <w:r>
          <w:t>Lan</w:t>
        </w:r>
        <w:proofErr w:type="spellEnd"/>
        <w:r>
          <w:t xml:space="preserve"> Z, Zhang D, Xia H, </w:t>
        </w:r>
        <w:proofErr w:type="spellStart"/>
        <w:r>
          <w:t>Xu</w:t>
        </w:r>
        <w:proofErr w:type="spellEnd"/>
        <w:r>
          <w:t xml:space="preserve"> X, </w:t>
        </w:r>
        <w:proofErr w:type="spellStart"/>
        <w:r>
          <w:t>Jie</w:t>
        </w:r>
        <w:proofErr w:type="spellEnd"/>
        <w:r>
          <w:t xml:space="preserve"> Z, others: </w:t>
        </w:r>
        <w:r>
          <w:rPr>
            <w:b/>
          </w:rPr>
          <w:t>Gut microbiome development along the colorectal adenoma–carcinoma sequence</w:t>
        </w:r>
        <w:r>
          <w:t xml:space="preserve">. </w:t>
        </w:r>
        <w:r>
          <w:rPr>
            <w:i/>
          </w:rPr>
          <w:t>Nature communications</w:t>
        </w:r>
        <w:r>
          <w:t xml:space="preserve">. 2015, </w:t>
        </w:r>
        <w:r>
          <w:rPr>
            <w:b/>
          </w:rPr>
          <w:t>6</w:t>
        </w:r>
      </w:ins>
      <w:r>
        <w:t>.</w:t>
      </w:r>
    </w:p>
    <w:p w14:paraId="1F9513AA" w14:textId="3F714702" w:rsidR="00CD1017" w:rsidRDefault="00CD1017" w:rsidP="00690BB1">
      <w:pPr>
        <w:pStyle w:val="Bibliography"/>
        <w:spacing w:after="240"/>
      </w:pPr>
      <w:r>
        <w:t xml:space="preserve">13. </w:t>
      </w:r>
      <w:proofErr w:type="spellStart"/>
      <w:r>
        <w:t>Zackular</w:t>
      </w:r>
      <w:proofErr w:type="spellEnd"/>
      <w:r>
        <w:t xml:space="preserve"> JP, Baxter NT, Iverson KD, Sadler WD, </w:t>
      </w:r>
      <w:proofErr w:type="spellStart"/>
      <w:r>
        <w:t>Petrosino</w:t>
      </w:r>
      <w:proofErr w:type="spellEnd"/>
      <w:r>
        <w:t xml:space="preserve"> JF, Chen GY, </w:t>
      </w:r>
      <w:proofErr w:type="spellStart"/>
      <w:r>
        <w:t>Schloss</w:t>
      </w:r>
      <w:proofErr w:type="spellEnd"/>
      <w:r>
        <w:t xml:space="preserve"> PD: </w:t>
      </w:r>
      <w:r>
        <w:rPr>
          <w:b/>
        </w:rPr>
        <w:t>The gut microbiome modulates colon tumorigenesis</w:t>
      </w:r>
      <w:r>
        <w:t xml:space="preserve">. </w:t>
      </w:r>
      <w:proofErr w:type="spellStart"/>
      <w:r>
        <w:rPr>
          <w:i/>
        </w:rPr>
        <w:t>MBio</w:t>
      </w:r>
      <w:proofErr w:type="spellEnd"/>
      <w:r>
        <w:t xml:space="preserve">. 2013, </w:t>
      </w:r>
      <w:r>
        <w:rPr>
          <w:b/>
        </w:rPr>
        <w:t>4</w:t>
      </w:r>
      <w:r>
        <w:t>:e00692–13</w:t>
      </w:r>
      <w:r>
        <w:t>.</w:t>
      </w:r>
    </w:p>
    <w:p w14:paraId="35203487" w14:textId="77777777" w:rsidR="00CD1017" w:rsidRDefault="00CD1017" w:rsidP="00330690">
      <w:pPr>
        <w:pStyle w:val="Bibliography"/>
        <w:spacing w:after="240"/>
      </w:pPr>
      <w:r>
        <w:lastRenderedPageBreak/>
        <w:t>14.</w:t>
      </w:r>
      <w:r>
        <w:t xml:space="preserve"> </w:t>
      </w:r>
      <w:proofErr w:type="spellStart"/>
      <w:r>
        <w:t>Kostic</w:t>
      </w:r>
      <w:proofErr w:type="spellEnd"/>
      <w:r>
        <w:t xml:space="preserve"> AD, Chun E, Robertson L, Glickman JN, </w:t>
      </w:r>
      <w:proofErr w:type="spellStart"/>
      <w:r>
        <w:t>Gallini</w:t>
      </w:r>
      <w:proofErr w:type="spellEnd"/>
      <w:r>
        <w:t xml:space="preserve"> CA, Michaud M, Clancy TE, Chung DC, </w:t>
      </w:r>
      <w:proofErr w:type="spellStart"/>
      <w:r>
        <w:t>Lochhead</w:t>
      </w:r>
      <w:proofErr w:type="spellEnd"/>
      <w:r>
        <w:t xml:space="preserve"> P, Hold GL, others: </w:t>
      </w:r>
      <w:r>
        <w:rPr>
          <w:b/>
        </w:rPr>
        <w:t>Fusobacterium nucleatum potentiates intestinal tumorigenesis and modulates the tumor-immune microenvironment</w:t>
      </w:r>
      <w:r>
        <w:t xml:space="preserve">. </w:t>
      </w:r>
      <w:r>
        <w:rPr>
          <w:i/>
        </w:rPr>
        <w:t>Cell host &amp; microbe</w:t>
      </w:r>
      <w:r>
        <w:t xml:space="preserve">. 2013, </w:t>
      </w:r>
      <w:r>
        <w:rPr>
          <w:b/>
        </w:rPr>
        <w:t>14</w:t>
      </w:r>
      <w:r>
        <w:t>:207–215.</w:t>
      </w:r>
    </w:p>
    <w:p w14:paraId="2F8BFBBB" w14:textId="5E9B2C8E" w:rsidR="00CD1017" w:rsidRDefault="00CD1017" w:rsidP="00330690">
      <w:pPr>
        <w:pStyle w:val="Bibliography"/>
        <w:spacing w:after="240"/>
      </w:pPr>
      <w:r>
        <w:t>15</w:t>
      </w:r>
      <w:r>
        <w:t xml:space="preserve">. Wu S, Rhee K-J, </w:t>
      </w:r>
      <w:proofErr w:type="spellStart"/>
      <w:r>
        <w:t>Albesiano</w:t>
      </w:r>
      <w:proofErr w:type="spellEnd"/>
      <w:r>
        <w:t xml:space="preserve"> E, </w:t>
      </w:r>
      <w:proofErr w:type="spellStart"/>
      <w:r>
        <w:t>Rabizadeh</w:t>
      </w:r>
      <w:proofErr w:type="spellEnd"/>
      <w:r>
        <w:t xml:space="preserve"> S, Wu X, Yen H-R, </w:t>
      </w:r>
      <w:proofErr w:type="spellStart"/>
      <w:r>
        <w:t>Huso</w:t>
      </w:r>
      <w:proofErr w:type="spellEnd"/>
      <w:r>
        <w:t xml:space="preserve"> DL, </w:t>
      </w:r>
      <w:proofErr w:type="spellStart"/>
      <w:r>
        <w:t>Brancati</w:t>
      </w:r>
      <w:proofErr w:type="spellEnd"/>
      <w:r>
        <w:t xml:space="preserve"> FL, Wick E, McAllister F, others: </w:t>
      </w:r>
      <w:r>
        <w:rPr>
          <w:b/>
        </w:rPr>
        <w:t>A human colonic commensal promotes colon tumorigenesis via activation of T helper type 17 T cell responses</w:t>
      </w:r>
      <w:r>
        <w:t xml:space="preserve">. </w:t>
      </w:r>
      <w:r>
        <w:rPr>
          <w:i/>
        </w:rPr>
        <w:t>Nature medicine</w:t>
      </w:r>
      <w:r>
        <w:t xml:space="preserve">. 2009, </w:t>
      </w:r>
      <w:r>
        <w:rPr>
          <w:b/>
        </w:rPr>
        <w:t>15</w:t>
      </w:r>
      <w:r>
        <w:t>:1016–1022.</w:t>
      </w:r>
    </w:p>
    <w:p w14:paraId="284502DC" w14:textId="388BF661" w:rsidR="00CD1017" w:rsidRDefault="00CD1017" w:rsidP="00330690">
      <w:pPr>
        <w:pStyle w:val="Bibliography"/>
        <w:spacing w:after="240"/>
      </w:pPr>
      <w:r>
        <w:t>16</w:t>
      </w:r>
      <w:r>
        <w:t>. Arthur JC, Perez-</w:t>
      </w:r>
      <w:proofErr w:type="spellStart"/>
      <w:r>
        <w:t>Chanona</w:t>
      </w:r>
      <w:proofErr w:type="spellEnd"/>
      <w:r>
        <w:t xml:space="preserve"> E, </w:t>
      </w:r>
      <w:proofErr w:type="spellStart"/>
      <w:r>
        <w:t>Mühlbauer</w:t>
      </w:r>
      <w:proofErr w:type="spellEnd"/>
      <w:r>
        <w:t xml:space="preserve"> M, </w:t>
      </w:r>
      <w:proofErr w:type="spellStart"/>
      <w:r>
        <w:t>Tomkovich</w:t>
      </w:r>
      <w:proofErr w:type="spellEnd"/>
      <w:r>
        <w:t xml:space="preserve"> S, </w:t>
      </w:r>
      <w:proofErr w:type="spellStart"/>
      <w:r>
        <w:t>Uronis</w:t>
      </w:r>
      <w:proofErr w:type="spellEnd"/>
      <w:r>
        <w:t xml:space="preserve"> JM, Fan T-J, Campbell BJ, </w:t>
      </w:r>
      <w:proofErr w:type="spellStart"/>
      <w:r>
        <w:t>Abujamel</w:t>
      </w:r>
      <w:proofErr w:type="spellEnd"/>
      <w:r>
        <w:t xml:space="preserve"> T, </w:t>
      </w:r>
      <w:proofErr w:type="spellStart"/>
      <w:r>
        <w:t>Dogan</w:t>
      </w:r>
      <w:proofErr w:type="spellEnd"/>
      <w:r>
        <w:t xml:space="preserve"> B, Rogers AB, others: </w:t>
      </w:r>
      <w:r>
        <w:rPr>
          <w:b/>
        </w:rPr>
        <w:t>Intestinal inflammation targets cancer-inducing activity of the microbiota</w:t>
      </w:r>
      <w:r>
        <w:t xml:space="preserve">. </w:t>
      </w:r>
      <w:r>
        <w:rPr>
          <w:i/>
        </w:rPr>
        <w:t>science</w:t>
      </w:r>
      <w:r>
        <w:t xml:space="preserve">. 2012, </w:t>
      </w:r>
      <w:r>
        <w:rPr>
          <w:b/>
        </w:rPr>
        <w:t>338</w:t>
      </w:r>
      <w:r>
        <w:t>:120–123.</w:t>
      </w:r>
    </w:p>
    <w:p w14:paraId="7A8B8829" w14:textId="54F7DBCC" w:rsidR="00CD1017" w:rsidRDefault="00CD1017" w:rsidP="00330690">
      <w:pPr>
        <w:pStyle w:val="Bibliography"/>
        <w:spacing w:after="240"/>
      </w:pPr>
      <w:r>
        <w:t>17</w:t>
      </w:r>
      <w:r>
        <w:t xml:space="preserve">. </w:t>
      </w:r>
      <w:proofErr w:type="spellStart"/>
      <w:r>
        <w:t>Zackular</w:t>
      </w:r>
      <w:proofErr w:type="spellEnd"/>
      <w:r>
        <w:t xml:space="preserve"> JP, Rogers MA, Ruffin MT, </w:t>
      </w:r>
      <w:proofErr w:type="spellStart"/>
      <w:r>
        <w:t>Schloss</w:t>
      </w:r>
      <w:proofErr w:type="spellEnd"/>
      <w:r>
        <w:t xml:space="preserve"> PD: </w:t>
      </w:r>
      <w:r>
        <w:rPr>
          <w:b/>
        </w:rPr>
        <w:t>The human gut microbiome as a screening tool for colorectal cancer</w:t>
      </w:r>
      <w:r>
        <w:t xml:space="preserve">. </w:t>
      </w:r>
      <w:r>
        <w:rPr>
          <w:i/>
        </w:rPr>
        <w:t>Cancer Prevention Research</w:t>
      </w:r>
      <w:r>
        <w:t xml:space="preserve">. 2014, </w:t>
      </w:r>
      <w:r>
        <w:rPr>
          <w:b/>
        </w:rPr>
        <w:t>7</w:t>
      </w:r>
      <w:r>
        <w:t>:1112–1121.</w:t>
      </w:r>
    </w:p>
    <w:p w14:paraId="55F38FB8" w14:textId="7B2DE310" w:rsidR="00CD1017" w:rsidRDefault="00CD1017" w:rsidP="00330690">
      <w:pPr>
        <w:pStyle w:val="Bibliography"/>
        <w:spacing w:after="240"/>
      </w:pPr>
      <w:r>
        <w:t>18</w:t>
      </w:r>
      <w:r>
        <w:t xml:space="preserve">. Zeller G, Tap J, Voigt AY, </w:t>
      </w:r>
      <w:proofErr w:type="spellStart"/>
      <w:r>
        <w:t>Sunagawa</w:t>
      </w:r>
      <w:proofErr w:type="spellEnd"/>
      <w:r>
        <w:t xml:space="preserve"> S, </w:t>
      </w:r>
      <w:proofErr w:type="spellStart"/>
      <w:r>
        <w:t>Kultima</w:t>
      </w:r>
      <w:proofErr w:type="spellEnd"/>
      <w:r>
        <w:t xml:space="preserve"> JR, </w:t>
      </w:r>
      <w:proofErr w:type="spellStart"/>
      <w:r>
        <w:t>Costea</w:t>
      </w:r>
      <w:proofErr w:type="spellEnd"/>
      <w:r>
        <w:t xml:space="preserve"> PI, </w:t>
      </w:r>
      <w:proofErr w:type="spellStart"/>
      <w:r>
        <w:t>Amiot</w:t>
      </w:r>
      <w:proofErr w:type="spellEnd"/>
      <w:r>
        <w:t xml:space="preserve"> A, </w:t>
      </w:r>
      <w:proofErr w:type="spellStart"/>
      <w:r>
        <w:t>Böhm</w:t>
      </w:r>
      <w:proofErr w:type="spellEnd"/>
      <w:r>
        <w:t xml:space="preserve"> J, </w:t>
      </w:r>
      <w:proofErr w:type="spellStart"/>
      <w:r>
        <w:t>Brunetti</w:t>
      </w:r>
      <w:proofErr w:type="spellEnd"/>
      <w:r>
        <w:t xml:space="preserve"> F, </w:t>
      </w:r>
      <w:proofErr w:type="spellStart"/>
      <w:r>
        <w:t>Habermann</w:t>
      </w:r>
      <w:proofErr w:type="spellEnd"/>
      <w:r>
        <w:t xml:space="preserve"> N, others: </w:t>
      </w:r>
      <w:r>
        <w:rPr>
          <w:b/>
        </w:rPr>
        <w:t>Potential of fecal microbiota for early-stage detection of colorectal cancer</w:t>
      </w:r>
      <w:r>
        <w:t xml:space="preserve">. </w:t>
      </w:r>
      <w:r>
        <w:rPr>
          <w:i/>
        </w:rPr>
        <w:t>Molecular systems biology</w:t>
      </w:r>
      <w:r>
        <w:t xml:space="preserve">. 2014, </w:t>
      </w:r>
      <w:r>
        <w:rPr>
          <w:b/>
        </w:rPr>
        <w:t>10</w:t>
      </w:r>
      <w:r>
        <w:t>:766.</w:t>
      </w:r>
    </w:p>
    <w:p w14:paraId="7BDD6560" w14:textId="0A992AC5" w:rsidR="00CD1017" w:rsidRDefault="00CD1017" w:rsidP="00330690">
      <w:pPr>
        <w:pStyle w:val="Bibliography"/>
        <w:spacing w:after="240"/>
      </w:pPr>
      <w:r>
        <w:t>19</w:t>
      </w:r>
      <w:r>
        <w:t xml:space="preserve">. </w:t>
      </w:r>
      <w:proofErr w:type="spellStart"/>
      <w:r>
        <w:t>Liaw</w:t>
      </w:r>
      <w:proofErr w:type="spellEnd"/>
      <w:r>
        <w:t xml:space="preserve"> A, Wiener M: </w:t>
      </w:r>
      <w:r>
        <w:rPr>
          <w:b/>
        </w:rPr>
        <w:t xml:space="preserve">Classification and regression by </w:t>
      </w:r>
      <w:proofErr w:type="spellStart"/>
      <w:r>
        <w:rPr>
          <w:b/>
        </w:rPr>
        <w:t>randomForest</w:t>
      </w:r>
      <w:proofErr w:type="spellEnd"/>
      <w:r>
        <w:t xml:space="preserve">. </w:t>
      </w:r>
      <w:r>
        <w:rPr>
          <w:i/>
        </w:rPr>
        <w:t>R news</w:t>
      </w:r>
      <w:r>
        <w:t xml:space="preserve">. 2002, </w:t>
      </w:r>
      <w:r>
        <w:rPr>
          <w:b/>
        </w:rPr>
        <w:t>2</w:t>
      </w:r>
      <w:r>
        <w:t>:18–22.</w:t>
      </w:r>
    </w:p>
    <w:p w14:paraId="7787046A" w14:textId="39E9CF3A" w:rsidR="00CD1017" w:rsidRDefault="00CD1017" w:rsidP="00330690">
      <w:pPr>
        <w:pStyle w:val="Bibliography"/>
        <w:spacing w:after="240"/>
      </w:pPr>
      <w:r>
        <w:t>20</w:t>
      </w:r>
      <w:r>
        <w:t xml:space="preserve">. O’Brien CL, Allison GE, </w:t>
      </w:r>
      <w:proofErr w:type="spellStart"/>
      <w:r>
        <w:t>Grimpen</w:t>
      </w:r>
      <w:proofErr w:type="spellEnd"/>
      <w:r>
        <w:t xml:space="preserve"> F, Pavli P: </w:t>
      </w:r>
      <w:r>
        <w:rPr>
          <w:b/>
        </w:rPr>
        <w:t>Impact of Colonoscopy Bowel Preparation on Intestinal Microbiota</w:t>
      </w:r>
      <w:r>
        <w:t xml:space="preserve">. </w:t>
      </w:r>
      <w:proofErr w:type="spellStart"/>
      <w:r>
        <w:rPr>
          <w:i/>
        </w:rPr>
        <w:t>PLoS</w:t>
      </w:r>
      <w:proofErr w:type="spellEnd"/>
      <w:r>
        <w:rPr>
          <w:i/>
        </w:rPr>
        <w:t xml:space="preserve"> ONE</w:t>
      </w:r>
      <w:r>
        <w:t xml:space="preserve">. 2013, </w:t>
      </w:r>
      <w:r>
        <w:rPr>
          <w:b/>
        </w:rPr>
        <w:t>8</w:t>
      </w:r>
      <w:r>
        <w:t>:e62815.</w:t>
      </w:r>
    </w:p>
    <w:p w14:paraId="11C1501F" w14:textId="413B8BBA" w:rsidR="00CD1017" w:rsidRDefault="00CD1017" w:rsidP="00330690">
      <w:pPr>
        <w:pStyle w:val="Bibliography"/>
        <w:spacing w:after="240"/>
      </w:pPr>
      <w:r>
        <w:lastRenderedPageBreak/>
        <w:t>21</w:t>
      </w:r>
      <w:r>
        <w:t xml:space="preserve">. </w:t>
      </w:r>
      <w:proofErr w:type="spellStart"/>
      <w:r>
        <w:t>Kozich</w:t>
      </w:r>
      <w:proofErr w:type="spellEnd"/>
      <w:r>
        <w:t xml:space="preserve"> JJ, Westcott SL, Baxter NT, Highlander SK, </w:t>
      </w:r>
      <w:proofErr w:type="spellStart"/>
      <w:r>
        <w:t>Schloss</w:t>
      </w:r>
      <w:proofErr w:type="spellEnd"/>
      <w:r>
        <w:t xml:space="preserve"> PD: </w:t>
      </w:r>
      <w:r>
        <w:rPr>
          <w:b/>
        </w:rPr>
        <w:t xml:space="preserve">Development of a dual-index sequencing strategy and </w:t>
      </w:r>
      <w:proofErr w:type="spellStart"/>
      <w:r>
        <w:rPr>
          <w:b/>
        </w:rPr>
        <w:t>curation</w:t>
      </w:r>
      <w:proofErr w:type="spellEnd"/>
      <w:r>
        <w:rPr>
          <w:b/>
        </w:rPr>
        <w:t xml:space="preserve"> pipeline for analyzing </w:t>
      </w:r>
      <w:proofErr w:type="spellStart"/>
      <w:r>
        <w:rPr>
          <w:b/>
        </w:rPr>
        <w:t>amplicon</w:t>
      </w:r>
      <w:proofErr w:type="spellEnd"/>
      <w:r>
        <w:rPr>
          <w:b/>
        </w:rPr>
        <w:t xml:space="preserve"> sequence data on the </w:t>
      </w:r>
      <w:proofErr w:type="spellStart"/>
      <w:r>
        <w:rPr>
          <w:b/>
        </w:rPr>
        <w:t>MiSeq</w:t>
      </w:r>
      <w:proofErr w:type="spellEnd"/>
      <w:r>
        <w:rPr>
          <w:b/>
        </w:rPr>
        <w:t xml:space="preserve"> </w:t>
      </w:r>
      <w:proofErr w:type="spellStart"/>
      <w:r>
        <w:rPr>
          <w:b/>
        </w:rPr>
        <w:t>Illumina</w:t>
      </w:r>
      <w:proofErr w:type="spellEnd"/>
      <w:r>
        <w:rPr>
          <w:b/>
        </w:rPr>
        <w:t xml:space="preserve"> sequencing platform</w:t>
      </w:r>
      <w:r>
        <w:t xml:space="preserve">. </w:t>
      </w:r>
      <w:r>
        <w:rPr>
          <w:i/>
        </w:rPr>
        <w:t>Applied and environmental microbiology</w:t>
      </w:r>
      <w:r>
        <w:t xml:space="preserve">. 2013, </w:t>
      </w:r>
      <w:r>
        <w:rPr>
          <w:b/>
        </w:rPr>
        <w:t>79</w:t>
      </w:r>
      <w:r>
        <w:t>:5112–5120.</w:t>
      </w:r>
    </w:p>
    <w:p w14:paraId="402B613F" w14:textId="7E877FD7" w:rsidR="00CD1017" w:rsidRDefault="00CD1017" w:rsidP="00330690">
      <w:pPr>
        <w:pStyle w:val="Bibliography"/>
        <w:spacing w:after="240"/>
      </w:pPr>
      <w:r>
        <w:t>22</w:t>
      </w:r>
      <w:r>
        <w:t xml:space="preserve">. Wang Q, </w:t>
      </w:r>
      <w:proofErr w:type="spellStart"/>
      <w:r>
        <w:t>Garrity</w:t>
      </w:r>
      <w:proofErr w:type="spellEnd"/>
      <w:r>
        <w:t xml:space="preserve"> GM, </w:t>
      </w:r>
      <w:proofErr w:type="spellStart"/>
      <w:r>
        <w:t>Tiedje</w:t>
      </w:r>
      <w:proofErr w:type="spellEnd"/>
      <w:r>
        <w:t xml:space="preserve"> JM, Cole JR: </w:t>
      </w:r>
      <w:r>
        <w:rPr>
          <w:b/>
        </w:rPr>
        <w:t xml:space="preserve">Naive </w:t>
      </w:r>
      <w:proofErr w:type="spellStart"/>
      <w:r>
        <w:rPr>
          <w:b/>
        </w:rPr>
        <w:t>bayesian</w:t>
      </w:r>
      <w:proofErr w:type="spellEnd"/>
      <w:r>
        <w:rPr>
          <w:b/>
        </w:rPr>
        <w:t xml:space="preserve"> classifier for rapid assignment of rRNA sequences into the new bacterial taxonomy</w:t>
      </w:r>
      <w:r>
        <w:t xml:space="preserve">. </w:t>
      </w:r>
      <w:r>
        <w:rPr>
          <w:i/>
        </w:rPr>
        <w:t>Applied and environmental microbiology</w:t>
      </w:r>
      <w:r>
        <w:t xml:space="preserve">. 2007, </w:t>
      </w:r>
      <w:r>
        <w:rPr>
          <w:b/>
        </w:rPr>
        <w:t>73</w:t>
      </w:r>
      <w:r>
        <w:t>:5261–5267.</w:t>
      </w:r>
    </w:p>
    <w:p w14:paraId="5B3E7943" w14:textId="2DC9FFFE" w:rsidR="00CD1017" w:rsidRDefault="00CD1017" w:rsidP="00330690">
      <w:pPr>
        <w:pStyle w:val="Bibliography"/>
        <w:spacing w:after="240"/>
      </w:pPr>
      <w:r>
        <w:t>23</w:t>
      </w:r>
      <w:r>
        <w:t xml:space="preserve">. </w:t>
      </w:r>
      <w:proofErr w:type="spellStart"/>
      <w:r>
        <w:t>Calle</w:t>
      </w:r>
      <w:proofErr w:type="spellEnd"/>
      <w:r>
        <w:t xml:space="preserve"> ML, </w:t>
      </w:r>
      <w:proofErr w:type="spellStart"/>
      <w:r>
        <w:t>Urrea</w:t>
      </w:r>
      <w:proofErr w:type="spellEnd"/>
      <w:r>
        <w:t xml:space="preserve"> V, </w:t>
      </w:r>
      <w:proofErr w:type="spellStart"/>
      <w:r>
        <w:t>Boulesteix</w:t>
      </w:r>
      <w:proofErr w:type="spellEnd"/>
      <w:r>
        <w:t xml:space="preserve"> A-L, </w:t>
      </w:r>
      <w:proofErr w:type="spellStart"/>
      <w:r>
        <w:t>Malats</w:t>
      </w:r>
      <w:proofErr w:type="spellEnd"/>
      <w:r>
        <w:t xml:space="preserve"> N: </w:t>
      </w:r>
      <w:r>
        <w:rPr>
          <w:b/>
        </w:rPr>
        <w:t>AUC-RF: A new strategy for genomic profiling with random forest</w:t>
      </w:r>
      <w:r>
        <w:t xml:space="preserve">. </w:t>
      </w:r>
      <w:r>
        <w:rPr>
          <w:i/>
        </w:rPr>
        <w:t>Human heredity</w:t>
      </w:r>
      <w:r>
        <w:t xml:space="preserve">. 2011, </w:t>
      </w:r>
      <w:r>
        <w:rPr>
          <w:b/>
        </w:rPr>
        <w:t>72</w:t>
      </w:r>
      <w:r>
        <w:t>:121–132.</w:t>
      </w:r>
    </w:p>
    <w:p w14:paraId="06BEF535" w14:textId="7215291E" w:rsidR="00CD1017" w:rsidRDefault="00CD1017" w:rsidP="00330690">
      <w:pPr>
        <w:pStyle w:val="Bibliography"/>
        <w:spacing w:after="240"/>
      </w:pPr>
      <w:r>
        <w:t>24</w:t>
      </w:r>
      <w:r>
        <w:t xml:space="preserve">. DeLong ER, DeLong DM, Clarke-Pearson DL: </w:t>
      </w:r>
      <w:r>
        <w:rPr>
          <w:b/>
        </w:rPr>
        <w:t>Comparing the areas under two or more correlated receiver operating characteristic curves: a nonparametric approach</w:t>
      </w:r>
      <w:r>
        <w:t xml:space="preserve">. </w:t>
      </w:r>
      <w:r>
        <w:rPr>
          <w:i/>
        </w:rPr>
        <w:t>Biometrics</w:t>
      </w:r>
      <w:r>
        <w:t>. 1988:837–845.</w:t>
      </w:r>
    </w:p>
    <w:p w14:paraId="66D19B03" w14:textId="4747334A" w:rsidR="00CD1017" w:rsidRDefault="00CD1017" w:rsidP="00330690">
      <w:pPr>
        <w:pStyle w:val="Bibliography"/>
        <w:spacing w:after="240"/>
      </w:pPr>
      <w:r>
        <w:t>25</w:t>
      </w:r>
      <w:r>
        <w:t xml:space="preserve">. </w:t>
      </w:r>
      <w:proofErr w:type="spellStart"/>
      <w:r>
        <w:t>Youden</w:t>
      </w:r>
      <w:proofErr w:type="spellEnd"/>
      <w:r>
        <w:t xml:space="preserve"> WJ: </w:t>
      </w:r>
      <w:r>
        <w:rPr>
          <w:b/>
        </w:rPr>
        <w:t>Index for rating diagnostic tests</w:t>
      </w:r>
      <w:r>
        <w:t xml:space="preserve">. </w:t>
      </w:r>
      <w:r>
        <w:rPr>
          <w:i/>
        </w:rPr>
        <w:t>Cancer</w:t>
      </w:r>
      <w:r>
        <w:t xml:space="preserve">. 1950, </w:t>
      </w:r>
      <w:r>
        <w:rPr>
          <w:b/>
        </w:rPr>
        <w:t>3</w:t>
      </w:r>
      <w:r>
        <w:t>:32–35.</w:t>
      </w:r>
    </w:p>
    <w:p w14:paraId="1234BB1A" w14:textId="2AE4C31D" w:rsidR="00CD1017" w:rsidRDefault="00CD1017" w:rsidP="00330690">
      <w:pPr>
        <w:pStyle w:val="Bibliography"/>
        <w:spacing w:after="240"/>
      </w:pPr>
      <w:r>
        <w:t>26</w:t>
      </w:r>
      <w:r>
        <w:t xml:space="preserve">. Dixon P, Palmer M: </w:t>
      </w:r>
      <w:r>
        <w:rPr>
          <w:b/>
        </w:rPr>
        <w:t>VEGAN, a package of r functions for community ecology</w:t>
      </w:r>
      <w:r>
        <w:t xml:space="preserve">. </w:t>
      </w:r>
      <w:r>
        <w:rPr>
          <w:i/>
        </w:rPr>
        <w:t>Journal of Vegetation Science</w:t>
      </w:r>
      <w:r>
        <w:t xml:space="preserve">. 2003, </w:t>
      </w:r>
      <w:r>
        <w:rPr>
          <w:b/>
        </w:rPr>
        <w:t>14</w:t>
      </w:r>
      <w:r>
        <w:t>:927–930.</w:t>
      </w:r>
    </w:p>
    <w:p w14:paraId="0BFA9556" w14:textId="68C45495" w:rsidR="00CD1017" w:rsidRDefault="00CD1017" w:rsidP="00330690">
      <w:pPr>
        <w:pStyle w:val="Bibliography"/>
        <w:spacing w:after="240"/>
      </w:pPr>
      <w:r>
        <w:t>27</w:t>
      </w:r>
      <w:r>
        <w:t>. Warren RL, Freeman DJ, Pleasance S, Watson P, Moore RA, Cochrane K, Allen-</w:t>
      </w:r>
      <w:proofErr w:type="spellStart"/>
      <w:r>
        <w:t>Vercoe</w:t>
      </w:r>
      <w:proofErr w:type="spellEnd"/>
      <w:r>
        <w:t xml:space="preserve"> E, Holt RA: </w:t>
      </w:r>
      <w:r>
        <w:rPr>
          <w:b/>
        </w:rPr>
        <w:t>Co-occurrence of anaerobic bacteria in colorectal carcinomas</w:t>
      </w:r>
      <w:r>
        <w:t xml:space="preserve">. </w:t>
      </w:r>
      <w:r>
        <w:rPr>
          <w:i/>
        </w:rPr>
        <w:t>Microbiome</w:t>
      </w:r>
      <w:r>
        <w:t xml:space="preserve">. 2013, </w:t>
      </w:r>
      <w:r>
        <w:rPr>
          <w:b/>
        </w:rPr>
        <w:t>1</w:t>
      </w:r>
      <w:r>
        <w:t>:16.</w:t>
      </w:r>
    </w:p>
    <w:p w14:paraId="273FC342" w14:textId="52283A11" w:rsidR="00CD1017" w:rsidRDefault="00CD1017" w:rsidP="00330690">
      <w:pPr>
        <w:pStyle w:val="Bibliography"/>
        <w:spacing w:after="240"/>
      </w:pPr>
      <w:r>
        <w:lastRenderedPageBreak/>
        <w:t>28</w:t>
      </w:r>
      <w:r>
        <w:t xml:space="preserve">. Yu J, </w:t>
      </w:r>
      <w:proofErr w:type="spellStart"/>
      <w:r>
        <w:t>Feng</w:t>
      </w:r>
      <w:proofErr w:type="spellEnd"/>
      <w:r>
        <w:t xml:space="preserve"> Q, Wong SH, Zhang D, Liang Q </w:t>
      </w:r>
      <w:proofErr w:type="spellStart"/>
      <w:r>
        <w:t>yi</w:t>
      </w:r>
      <w:proofErr w:type="spellEnd"/>
      <w:r>
        <w:t xml:space="preserve">, Qin Y, Tang L, Zhao H, </w:t>
      </w:r>
      <w:proofErr w:type="spellStart"/>
      <w:r>
        <w:t>Stenvang</w:t>
      </w:r>
      <w:proofErr w:type="spellEnd"/>
      <w:r>
        <w:t xml:space="preserve"> J, Li Y, others: </w:t>
      </w:r>
      <w:proofErr w:type="spellStart"/>
      <w:r>
        <w:rPr>
          <w:b/>
        </w:rPr>
        <w:t>Metagenomic</w:t>
      </w:r>
      <w:proofErr w:type="spellEnd"/>
      <w:r>
        <w:rPr>
          <w:b/>
        </w:rPr>
        <w:t xml:space="preserve"> analysis of </w:t>
      </w:r>
      <w:proofErr w:type="spellStart"/>
      <w:r>
        <w:rPr>
          <w:b/>
        </w:rPr>
        <w:t>faecal</w:t>
      </w:r>
      <w:proofErr w:type="spellEnd"/>
      <w:r>
        <w:rPr>
          <w:b/>
        </w:rPr>
        <w:t xml:space="preserve"> microbiome as a tool towards targeted non-invasive biomarkers for colorectal cancer</w:t>
      </w:r>
      <w:r>
        <w:t xml:space="preserve">. </w:t>
      </w:r>
      <w:r>
        <w:rPr>
          <w:i/>
        </w:rPr>
        <w:t>Gut</w:t>
      </w:r>
      <w:r>
        <w:t>. 2015:gutjnl–2015.</w:t>
      </w:r>
    </w:p>
    <w:p w14:paraId="54328B99" w14:textId="19C44FB4" w:rsidR="00CD1017" w:rsidRDefault="00CD1017" w:rsidP="00330690">
      <w:pPr>
        <w:pStyle w:val="Bibliography"/>
        <w:spacing w:after="240"/>
      </w:pPr>
      <w:r>
        <w:t>29</w:t>
      </w:r>
      <w:r>
        <w:t xml:space="preserve">. Rex DK, Johnson DA, Anderson JC, </w:t>
      </w:r>
      <w:proofErr w:type="spellStart"/>
      <w:r>
        <w:t>Schoenfeld</w:t>
      </w:r>
      <w:proofErr w:type="spellEnd"/>
      <w:r>
        <w:t xml:space="preserve"> PS, Burke CA, </w:t>
      </w:r>
      <w:proofErr w:type="spellStart"/>
      <w:r>
        <w:t>Inadomi</w:t>
      </w:r>
      <w:proofErr w:type="spellEnd"/>
      <w:r>
        <w:t xml:space="preserve"> JM: </w:t>
      </w:r>
      <w:r>
        <w:rPr>
          <w:b/>
        </w:rPr>
        <w:t>American College of Gastroenterology guidelines for colorectal cancer screening 2008</w:t>
      </w:r>
      <w:r>
        <w:t xml:space="preserve">. </w:t>
      </w:r>
      <w:r>
        <w:rPr>
          <w:i/>
        </w:rPr>
        <w:t>The American journal of gastroenterology</w:t>
      </w:r>
      <w:r>
        <w:t xml:space="preserve">. 2009, </w:t>
      </w:r>
      <w:r>
        <w:rPr>
          <w:b/>
        </w:rPr>
        <w:t>104</w:t>
      </w:r>
      <w:r>
        <w:t>:739–750.</w:t>
      </w:r>
    </w:p>
    <w:p w14:paraId="32225782" w14:textId="2C7E88BC" w:rsidR="00CD1017" w:rsidRDefault="00CD1017" w:rsidP="00330690">
      <w:pPr>
        <w:pStyle w:val="Bibliography"/>
        <w:spacing w:after="240"/>
      </w:pPr>
      <w:r>
        <w:t>30</w:t>
      </w:r>
      <w:r>
        <w:t xml:space="preserve">. </w:t>
      </w:r>
      <w:proofErr w:type="spellStart"/>
      <w:r>
        <w:t>Heitman</w:t>
      </w:r>
      <w:proofErr w:type="spellEnd"/>
      <w:r>
        <w:t xml:space="preserve"> SJ, </w:t>
      </w:r>
      <w:proofErr w:type="spellStart"/>
      <w:r>
        <w:t>Ronksley</w:t>
      </w:r>
      <w:proofErr w:type="spellEnd"/>
      <w:r>
        <w:t xml:space="preserve"> PE, </w:t>
      </w:r>
      <w:proofErr w:type="spellStart"/>
      <w:r>
        <w:t>Hilsden</w:t>
      </w:r>
      <w:proofErr w:type="spellEnd"/>
      <w:r>
        <w:t xml:space="preserve"> RJ, </w:t>
      </w:r>
      <w:proofErr w:type="spellStart"/>
      <w:r>
        <w:t>Manns</w:t>
      </w:r>
      <w:proofErr w:type="spellEnd"/>
      <w:r>
        <w:t xml:space="preserve"> BJ, </w:t>
      </w:r>
      <w:proofErr w:type="spellStart"/>
      <w:r>
        <w:t>Rostom</w:t>
      </w:r>
      <w:proofErr w:type="spellEnd"/>
      <w:r>
        <w:t xml:space="preserve"> A, </w:t>
      </w:r>
      <w:proofErr w:type="spellStart"/>
      <w:r>
        <w:t>Hemmelgarn</w:t>
      </w:r>
      <w:proofErr w:type="spellEnd"/>
      <w:r>
        <w:t xml:space="preserve"> BR: </w:t>
      </w:r>
      <w:r>
        <w:rPr>
          <w:b/>
        </w:rPr>
        <w:t>Prevalence of adenomas and colorectal cancer in average risk individuals: a systematic review and meta-analysis</w:t>
      </w:r>
      <w:r>
        <w:t xml:space="preserve">. </w:t>
      </w:r>
      <w:r>
        <w:rPr>
          <w:i/>
        </w:rPr>
        <w:t xml:space="preserve">Clinical Gastroenterology and </w:t>
      </w:r>
      <w:proofErr w:type="spellStart"/>
      <w:r>
        <w:rPr>
          <w:i/>
        </w:rPr>
        <w:t>Hepatology</w:t>
      </w:r>
      <w:proofErr w:type="spellEnd"/>
      <w:r>
        <w:t xml:space="preserve">. 2009, </w:t>
      </w:r>
      <w:r>
        <w:rPr>
          <w:b/>
        </w:rPr>
        <w:t>7</w:t>
      </w:r>
      <w:r>
        <w:t>:1272–1278.</w:t>
      </w:r>
    </w:p>
    <w:p w14:paraId="6A83D16B" w14:textId="65E6EEA5" w:rsidR="00CD1017" w:rsidRDefault="00CD1017" w:rsidP="00330690">
      <w:pPr>
        <w:pStyle w:val="Bibliography"/>
        <w:spacing w:after="240"/>
      </w:pPr>
      <w:r>
        <w:t>31</w:t>
      </w:r>
      <w:r>
        <w:t xml:space="preserve">. Symonds EL, Osborne JM, Cole SR, </w:t>
      </w:r>
      <w:proofErr w:type="spellStart"/>
      <w:r>
        <w:t>Bampton</w:t>
      </w:r>
      <w:proofErr w:type="spellEnd"/>
      <w:r>
        <w:t xml:space="preserve"> PA, Fraser RJ, Young GP: </w:t>
      </w:r>
      <w:r>
        <w:rPr>
          <w:b/>
        </w:rPr>
        <w:t xml:space="preserve">Factors affecting </w:t>
      </w:r>
      <w:proofErr w:type="spellStart"/>
      <w:r>
        <w:rPr>
          <w:b/>
        </w:rPr>
        <w:t>faecal</w:t>
      </w:r>
      <w:proofErr w:type="spellEnd"/>
      <w:r>
        <w:rPr>
          <w:b/>
        </w:rPr>
        <w:t xml:space="preserve"> immunochemical test positive rates: demographic, pathological, </w:t>
      </w:r>
      <w:proofErr w:type="spellStart"/>
      <w:r>
        <w:rPr>
          <w:b/>
        </w:rPr>
        <w:t>behavioural</w:t>
      </w:r>
      <w:proofErr w:type="spellEnd"/>
      <w:r>
        <w:rPr>
          <w:b/>
        </w:rPr>
        <w:t xml:space="preserve"> and environmental variables</w:t>
      </w:r>
      <w:r>
        <w:t xml:space="preserve">. </w:t>
      </w:r>
      <w:r>
        <w:rPr>
          <w:i/>
        </w:rPr>
        <w:t>Journal of Medical Screening</w:t>
      </w:r>
      <w:r>
        <w:t>. 2015:0969141315584783.</w:t>
      </w:r>
    </w:p>
    <w:p w14:paraId="5E05E2BE" w14:textId="4B1D1388" w:rsidR="00CD1017" w:rsidRDefault="00CD1017" w:rsidP="00330690">
      <w:pPr>
        <w:pStyle w:val="Bibliography"/>
        <w:spacing w:after="240"/>
      </w:pPr>
      <w:r>
        <w:t>32</w:t>
      </w:r>
      <w:r>
        <w:t xml:space="preserve">. </w:t>
      </w:r>
      <w:proofErr w:type="spellStart"/>
      <w:r>
        <w:t>Kapidzic</w:t>
      </w:r>
      <w:proofErr w:type="spellEnd"/>
      <w:r>
        <w:t xml:space="preserve"> A, </w:t>
      </w:r>
      <w:proofErr w:type="spellStart"/>
      <w:r>
        <w:t>Meulen</w:t>
      </w:r>
      <w:proofErr w:type="spellEnd"/>
      <w:r>
        <w:t xml:space="preserve"> MP van der, </w:t>
      </w:r>
      <w:proofErr w:type="spellStart"/>
      <w:r>
        <w:t>Hol</w:t>
      </w:r>
      <w:proofErr w:type="spellEnd"/>
      <w:r>
        <w:t xml:space="preserve"> L, </w:t>
      </w:r>
      <w:proofErr w:type="spellStart"/>
      <w:r>
        <w:t>Roon</w:t>
      </w:r>
      <w:proofErr w:type="spellEnd"/>
      <w:r>
        <w:t xml:space="preserve"> AH van, </w:t>
      </w:r>
      <w:proofErr w:type="spellStart"/>
      <w:r>
        <w:t>Looman</w:t>
      </w:r>
      <w:proofErr w:type="spellEnd"/>
      <w:r>
        <w:t xml:space="preserve"> CW, </w:t>
      </w:r>
      <w:proofErr w:type="spellStart"/>
      <w:r>
        <w:t>Lansdorp-Vogelaar</w:t>
      </w:r>
      <w:proofErr w:type="spellEnd"/>
      <w:r>
        <w:t xml:space="preserve"> I, </w:t>
      </w:r>
      <w:proofErr w:type="spellStart"/>
      <w:r>
        <w:t>Ballegooijen</w:t>
      </w:r>
      <w:proofErr w:type="spellEnd"/>
      <w:r>
        <w:t xml:space="preserve"> M van, </w:t>
      </w:r>
      <w:proofErr w:type="spellStart"/>
      <w:r>
        <w:t>Vuuren</w:t>
      </w:r>
      <w:proofErr w:type="spellEnd"/>
      <w:r>
        <w:t xml:space="preserve"> AJ van, </w:t>
      </w:r>
      <w:proofErr w:type="spellStart"/>
      <w:r>
        <w:t>Reijerink</w:t>
      </w:r>
      <w:proofErr w:type="spellEnd"/>
      <w:r>
        <w:t xml:space="preserve"> JC, </w:t>
      </w:r>
      <w:proofErr w:type="spellStart"/>
      <w:r>
        <w:t>Leerdam</w:t>
      </w:r>
      <w:proofErr w:type="spellEnd"/>
      <w:r>
        <w:t xml:space="preserve"> ME van, others: </w:t>
      </w:r>
      <w:r>
        <w:rPr>
          <w:b/>
        </w:rPr>
        <w:t xml:space="preserve">Gender differences in fecal immunochemical test performance for early detection of colorectal </w:t>
      </w:r>
      <w:proofErr w:type="spellStart"/>
      <w:r>
        <w:rPr>
          <w:b/>
        </w:rPr>
        <w:t>neoplasia</w:t>
      </w:r>
      <w:proofErr w:type="spellEnd"/>
      <w:r>
        <w:t xml:space="preserve">. </w:t>
      </w:r>
      <w:r>
        <w:rPr>
          <w:i/>
        </w:rPr>
        <w:t xml:space="preserve">Clinical Gastroenterology and </w:t>
      </w:r>
      <w:proofErr w:type="spellStart"/>
      <w:r>
        <w:rPr>
          <w:i/>
        </w:rPr>
        <w:t>Hepatology</w:t>
      </w:r>
      <w:proofErr w:type="spellEnd"/>
      <w:r>
        <w:t>. 2015.</w:t>
      </w:r>
    </w:p>
    <w:p w14:paraId="22D869F1" w14:textId="269E392D" w:rsidR="00CD1017" w:rsidRDefault="00CD1017" w:rsidP="00330690">
      <w:pPr>
        <w:pStyle w:val="Bibliography"/>
        <w:spacing w:after="240"/>
      </w:pPr>
      <w:r>
        <w:t>33</w:t>
      </w:r>
      <w:r>
        <w:t xml:space="preserve">. Levi Z, </w:t>
      </w:r>
      <w:proofErr w:type="spellStart"/>
      <w:r>
        <w:t>Rozen</w:t>
      </w:r>
      <w:proofErr w:type="spellEnd"/>
      <w:r>
        <w:t xml:space="preserve"> P, </w:t>
      </w:r>
      <w:proofErr w:type="spellStart"/>
      <w:r>
        <w:t>Hazazi</w:t>
      </w:r>
      <w:proofErr w:type="spellEnd"/>
      <w:r>
        <w:t xml:space="preserve"> R, </w:t>
      </w:r>
      <w:proofErr w:type="spellStart"/>
      <w:r>
        <w:t>Vilkin</w:t>
      </w:r>
      <w:proofErr w:type="spellEnd"/>
      <w:r>
        <w:t xml:space="preserve"> A, Waked A, </w:t>
      </w:r>
      <w:proofErr w:type="spellStart"/>
      <w:r>
        <w:t>Maoz</w:t>
      </w:r>
      <w:proofErr w:type="spellEnd"/>
      <w:r>
        <w:t xml:space="preserve"> E, </w:t>
      </w:r>
      <w:proofErr w:type="spellStart"/>
      <w:r>
        <w:t>Birkenfeld</w:t>
      </w:r>
      <w:proofErr w:type="spellEnd"/>
      <w:r>
        <w:t xml:space="preserve"> S, Lieberman N, </w:t>
      </w:r>
      <w:proofErr w:type="spellStart"/>
      <w:r>
        <w:t>Klang</w:t>
      </w:r>
      <w:proofErr w:type="spellEnd"/>
      <w:r>
        <w:t xml:space="preserve"> S, </w:t>
      </w:r>
      <w:proofErr w:type="spellStart"/>
      <w:r>
        <w:t>Niv</w:t>
      </w:r>
      <w:proofErr w:type="spellEnd"/>
      <w:r>
        <w:t xml:space="preserve"> Y: </w:t>
      </w:r>
      <w:r>
        <w:rPr>
          <w:b/>
        </w:rPr>
        <w:t xml:space="preserve">Sensitivity, but not specificity, of a quantitative immunochemical fecal occult blood test for </w:t>
      </w:r>
      <w:proofErr w:type="spellStart"/>
      <w:r>
        <w:rPr>
          <w:b/>
        </w:rPr>
        <w:t>neoplasia</w:t>
      </w:r>
      <w:proofErr w:type="spellEnd"/>
      <w:r>
        <w:rPr>
          <w:b/>
        </w:rPr>
        <w:t xml:space="preserve"> is slightly increased by the use of low-dose aspirin, NSAIDs, and anticoagulants</w:t>
      </w:r>
      <w:r>
        <w:t xml:space="preserve">. </w:t>
      </w:r>
      <w:r>
        <w:rPr>
          <w:i/>
        </w:rPr>
        <w:t>The American journal of gastroenterology</w:t>
      </w:r>
      <w:r>
        <w:t xml:space="preserve">. 2009, </w:t>
      </w:r>
      <w:r>
        <w:rPr>
          <w:b/>
        </w:rPr>
        <w:t>104</w:t>
      </w:r>
      <w:r>
        <w:t>:933–938.</w:t>
      </w:r>
    </w:p>
    <w:p w14:paraId="63651100" w14:textId="23946C0A" w:rsidR="00CD1017" w:rsidRDefault="00CD1017" w:rsidP="00330690">
      <w:pPr>
        <w:pStyle w:val="Bibliography"/>
        <w:spacing w:after="240"/>
      </w:pPr>
      <w:r>
        <w:lastRenderedPageBreak/>
        <w:t>34</w:t>
      </w:r>
      <w:r>
        <w:t xml:space="preserve">. Schubert AM, </w:t>
      </w:r>
      <w:proofErr w:type="spellStart"/>
      <w:r>
        <w:t>Sinani</w:t>
      </w:r>
      <w:proofErr w:type="spellEnd"/>
      <w:r>
        <w:t xml:space="preserve"> H, </w:t>
      </w:r>
      <w:proofErr w:type="spellStart"/>
      <w:r>
        <w:t>Schloss</w:t>
      </w:r>
      <w:proofErr w:type="spellEnd"/>
      <w:r>
        <w:t xml:space="preserve"> PD: </w:t>
      </w:r>
      <w:r>
        <w:rPr>
          <w:b/>
        </w:rPr>
        <w:t>Antibiotic-Induced Alterations of the Murine Gut Microbiota and Subsequent Effects on Colonization Resistance against Clostridium difficile</w:t>
      </w:r>
      <w:r>
        <w:t xml:space="preserve">. </w:t>
      </w:r>
      <w:proofErr w:type="spellStart"/>
      <w:r>
        <w:rPr>
          <w:i/>
        </w:rPr>
        <w:t>MBio</w:t>
      </w:r>
      <w:proofErr w:type="spellEnd"/>
      <w:r>
        <w:t xml:space="preserve">. 2015, </w:t>
      </w:r>
      <w:r>
        <w:rPr>
          <w:b/>
        </w:rPr>
        <w:t>6</w:t>
      </w:r>
      <w:r>
        <w:t>.</w:t>
      </w:r>
    </w:p>
    <w:p w14:paraId="374A0DA9" w14:textId="242FD603" w:rsidR="00CD1017" w:rsidRDefault="00CD1017" w:rsidP="00330690">
      <w:pPr>
        <w:pStyle w:val="Bibliography"/>
        <w:spacing w:after="240"/>
      </w:pPr>
      <w:r>
        <w:t>35</w:t>
      </w:r>
      <w:r>
        <w:t xml:space="preserve">. </w:t>
      </w:r>
      <w:proofErr w:type="spellStart"/>
      <w:r>
        <w:t>Pryde</w:t>
      </w:r>
      <w:proofErr w:type="spellEnd"/>
      <w:r>
        <w:t xml:space="preserve"> SE, Duncan SH, Hold GL, Stewart CS, Flint HJ: </w:t>
      </w:r>
      <w:r>
        <w:rPr>
          <w:b/>
        </w:rPr>
        <w:t>The microbiology of butyrate formation in the human colon</w:t>
      </w:r>
      <w:r>
        <w:t xml:space="preserve">. </w:t>
      </w:r>
      <w:r>
        <w:rPr>
          <w:i/>
        </w:rPr>
        <w:t>FEMS microbiology letters</w:t>
      </w:r>
      <w:r>
        <w:t xml:space="preserve">. 2002, </w:t>
      </w:r>
      <w:r>
        <w:rPr>
          <w:b/>
        </w:rPr>
        <w:t>217</w:t>
      </w:r>
      <w:r>
        <w:t>:133–139.</w:t>
      </w:r>
    </w:p>
    <w:p w14:paraId="2EFACC03" w14:textId="3E18E2C2" w:rsidR="00CD1017" w:rsidRDefault="00CD1017" w:rsidP="00330690">
      <w:pPr>
        <w:pStyle w:val="Bibliography"/>
        <w:spacing w:after="240"/>
      </w:pPr>
      <w:r>
        <w:t>36</w:t>
      </w:r>
      <w:r>
        <w:t xml:space="preserve">. </w:t>
      </w:r>
      <w:proofErr w:type="spellStart"/>
      <w:r>
        <w:t>Segain</w:t>
      </w:r>
      <w:proofErr w:type="spellEnd"/>
      <w:r>
        <w:t xml:space="preserve"> J, De La </w:t>
      </w:r>
      <w:proofErr w:type="spellStart"/>
      <w:r>
        <w:t>Blétiere</w:t>
      </w:r>
      <w:proofErr w:type="spellEnd"/>
      <w:r>
        <w:t xml:space="preserve"> DR, </w:t>
      </w:r>
      <w:proofErr w:type="spellStart"/>
      <w:r>
        <w:t>Bourreille</w:t>
      </w:r>
      <w:proofErr w:type="spellEnd"/>
      <w:r>
        <w:t xml:space="preserve"> A, </w:t>
      </w:r>
      <w:proofErr w:type="spellStart"/>
      <w:r>
        <w:t>Leray</w:t>
      </w:r>
      <w:proofErr w:type="spellEnd"/>
      <w:r>
        <w:t xml:space="preserve"> V, </w:t>
      </w:r>
      <w:proofErr w:type="spellStart"/>
      <w:r>
        <w:t>Gervois</w:t>
      </w:r>
      <w:proofErr w:type="spellEnd"/>
      <w:r>
        <w:t xml:space="preserve"> N, Rosales C, Ferrier L, Bonnet C, </w:t>
      </w:r>
      <w:proofErr w:type="spellStart"/>
      <w:r>
        <w:t>Blottiere</w:t>
      </w:r>
      <w:proofErr w:type="spellEnd"/>
      <w:r>
        <w:t xml:space="preserve"> H, </w:t>
      </w:r>
      <w:proofErr w:type="spellStart"/>
      <w:r>
        <w:t>Galmiche</w:t>
      </w:r>
      <w:proofErr w:type="spellEnd"/>
      <w:r>
        <w:t xml:space="preserve"> J: </w:t>
      </w:r>
      <w:r>
        <w:rPr>
          <w:b/>
        </w:rPr>
        <w:t xml:space="preserve">Butyrate inhibits inflammatory responses through </w:t>
      </w:r>
      <w:proofErr w:type="spellStart"/>
      <w:r>
        <w:rPr>
          <w:b/>
        </w:rPr>
        <w:t>nF</w:t>
      </w:r>
      <w:proofErr w:type="spellEnd"/>
      <m:oMath>
        <m:r>
          <m:rPr>
            <m:sty m:val="p"/>
          </m:rPr>
          <w:rPr>
            <w:rFonts w:ascii="Cambria Math" w:hAnsi="Cambria Math"/>
          </w:rPr>
          <m:t>κ</m:t>
        </m:r>
      </m:oMath>
      <w:r>
        <w:rPr>
          <w:b/>
        </w:rPr>
        <w:t>B inhibition: I</w:t>
      </w:r>
      <w:proofErr w:type="spellStart"/>
      <w:r>
        <w:rPr>
          <w:b/>
        </w:rPr>
        <w:t>mplications</w:t>
      </w:r>
      <w:proofErr w:type="spellEnd"/>
      <w:r>
        <w:rPr>
          <w:b/>
        </w:rPr>
        <w:t xml:space="preserve"> for </w:t>
      </w:r>
      <w:proofErr w:type="spellStart"/>
      <w:r>
        <w:rPr>
          <w:b/>
        </w:rPr>
        <w:t>crohn’s</w:t>
      </w:r>
      <w:proofErr w:type="spellEnd"/>
      <w:r>
        <w:rPr>
          <w:b/>
        </w:rPr>
        <w:t xml:space="preserve"> disease</w:t>
      </w:r>
      <w:r>
        <w:t xml:space="preserve">. </w:t>
      </w:r>
      <w:r>
        <w:rPr>
          <w:i/>
        </w:rPr>
        <w:t>Gut</w:t>
      </w:r>
      <w:r>
        <w:t xml:space="preserve">. 2000, </w:t>
      </w:r>
      <w:r>
        <w:rPr>
          <w:b/>
        </w:rPr>
        <w:t>47</w:t>
      </w:r>
      <w:r>
        <w:t>:397–403.</w:t>
      </w:r>
    </w:p>
    <w:p w14:paraId="66714ABB" w14:textId="304F8B9A" w:rsidR="00CD1017" w:rsidRDefault="00CD1017" w:rsidP="00330690">
      <w:pPr>
        <w:pStyle w:val="Bibliography"/>
        <w:spacing w:after="240"/>
      </w:pPr>
      <w:r>
        <w:t>37</w:t>
      </w:r>
      <w:r>
        <w:t xml:space="preserve">. </w:t>
      </w:r>
      <w:proofErr w:type="spellStart"/>
      <w:r>
        <w:t>D’Argenio</w:t>
      </w:r>
      <w:proofErr w:type="spellEnd"/>
      <w:r>
        <w:t xml:space="preserve"> G, Cosenza V, </w:t>
      </w:r>
      <w:proofErr w:type="spellStart"/>
      <w:r>
        <w:t>Delle</w:t>
      </w:r>
      <w:proofErr w:type="spellEnd"/>
      <w:r>
        <w:t xml:space="preserve"> Cave M, </w:t>
      </w:r>
      <w:proofErr w:type="spellStart"/>
      <w:r>
        <w:t>Iovino</w:t>
      </w:r>
      <w:proofErr w:type="spellEnd"/>
      <w:r>
        <w:t xml:space="preserve"> P, </w:t>
      </w:r>
      <w:proofErr w:type="spellStart"/>
      <w:r>
        <w:t>Delle</w:t>
      </w:r>
      <w:proofErr w:type="spellEnd"/>
      <w:r>
        <w:t xml:space="preserve"> Valle N, Lombardi G, </w:t>
      </w:r>
      <w:proofErr w:type="spellStart"/>
      <w:r>
        <w:t>Mazzacca</w:t>
      </w:r>
      <w:proofErr w:type="spellEnd"/>
      <w:r>
        <w:t xml:space="preserve"> G: </w:t>
      </w:r>
      <w:r>
        <w:rPr>
          <w:b/>
        </w:rPr>
        <w:t>Butyrate enemas in experimental colitis and protection against large bowel cancer in a rat model</w:t>
      </w:r>
      <w:r>
        <w:t xml:space="preserve">. </w:t>
      </w:r>
      <w:r>
        <w:rPr>
          <w:i/>
        </w:rPr>
        <w:t>Gastroenterology</w:t>
      </w:r>
      <w:r>
        <w:t xml:space="preserve">. 1996, </w:t>
      </w:r>
      <w:r>
        <w:rPr>
          <w:b/>
        </w:rPr>
        <w:t>110</w:t>
      </w:r>
      <w:r>
        <w:t>:1727–1734.</w:t>
      </w:r>
    </w:p>
    <w:p w14:paraId="234CD841" w14:textId="0B5550F2" w:rsidR="00CD1017" w:rsidRDefault="00CD1017" w:rsidP="00330690">
      <w:pPr>
        <w:pStyle w:val="Bibliography"/>
        <w:spacing w:after="240"/>
      </w:pPr>
      <w:r>
        <w:t>38</w:t>
      </w:r>
      <w:r>
        <w:t xml:space="preserve">. Hague A, Elder DJ, Hicks DJ, </w:t>
      </w:r>
      <w:proofErr w:type="spellStart"/>
      <w:r>
        <w:t>Paraskeva</w:t>
      </w:r>
      <w:proofErr w:type="spellEnd"/>
      <w:r>
        <w:t xml:space="preserve"> C: </w:t>
      </w:r>
      <w:r>
        <w:rPr>
          <w:b/>
        </w:rPr>
        <w:t xml:space="preserve">Apoptosis in colorectal </w:t>
      </w:r>
      <w:proofErr w:type="spellStart"/>
      <w:r>
        <w:rPr>
          <w:b/>
        </w:rPr>
        <w:t>tumour</w:t>
      </w:r>
      <w:proofErr w:type="spellEnd"/>
      <w:r>
        <w:rPr>
          <w:b/>
        </w:rPr>
        <w:t xml:space="preserve"> cells: Induction by the short chain fatty acids butyrate, propionate and acetate and by the bile salt </w:t>
      </w:r>
      <w:proofErr w:type="spellStart"/>
      <w:r>
        <w:rPr>
          <w:b/>
        </w:rPr>
        <w:t>deoxycholate</w:t>
      </w:r>
      <w:proofErr w:type="spellEnd"/>
      <w:r>
        <w:t xml:space="preserve">. </w:t>
      </w:r>
      <w:r>
        <w:rPr>
          <w:i/>
        </w:rPr>
        <w:t>International Journal of Cancer</w:t>
      </w:r>
      <w:r>
        <w:t xml:space="preserve">. 1995, </w:t>
      </w:r>
      <w:r>
        <w:rPr>
          <w:b/>
        </w:rPr>
        <w:t>60</w:t>
      </w:r>
      <w:r>
        <w:t>:400–406.</w:t>
      </w:r>
    </w:p>
    <w:p w14:paraId="5610F3CE" w14:textId="37E8ECBF" w:rsidR="00CD1017" w:rsidRDefault="00CD1017" w:rsidP="00330690">
      <w:pPr>
        <w:pStyle w:val="Bibliography"/>
        <w:spacing w:after="240"/>
      </w:pPr>
      <w:r>
        <w:t>39</w:t>
      </w:r>
      <w:r>
        <w:t xml:space="preserve">. </w:t>
      </w:r>
      <w:proofErr w:type="spellStart"/>
      <w:r>
        <w:t>Gallimidi</w:t>
      </w:r>
      <w:proofErr w:type="spellEnd"/>
      <w:r>
        <w:t xml:space="preserve"> AB, </w:t>
      </w:r>
      <w:proofErr w:type="spellStart"/>
      <w:r>
        <w:t>Fischman</w:t>
      </w:r>
      <w:proofErr w:type="spellEnd"/>
      <w:r>
        <w:t xml:space="preserve"> S, </w:t>
      </w:r>
      <w:proofErr w:type="spellStart"/>
      <w:r>
        <w:t>Revach</w:t>
      </w:r>
      <w:proofErr w:type="spellEnd"/>
      <w:r>
        <w:t xml:space="preserve"> B, </w:t>
      </w:r>
      <w:proofErr w:type="spellStart"/>
      <w:r>
        <w:t>Bulvik</w:t>
      </w:r>
      <w:proofErr w:type="spellEnd"/>
      <w:r>
        <w:t xml:space="preserve"> R, </w:t>
      </w:r>
      <w:proofErr w:type="spellStart"/>
      <w:r>
        <w:t>Maliutina</w:t>
      </w:r>
      <w:proofErr w:type="spellEnd"/>
      <w:r>
        <w:t xml:space="preserve"> A, Rubinstein AM, Nussbaum G, Elkin M: </w:t>
      </w:r>
      <w:r>
        <w:rPr>
          <w:b/>
        </w:rPr>
        <w:t xml:space="preserve">Periodontal pathogens </w:t>
      </w:r>
      <w:proofErr w:type="spellStart"/>
      <w:r>
        <w:rPr>
          <w:b/>
        </w:rPr>
        <w:t>porphyromonas</w:t>
      </w:r>
      <w:proofErr w:type="spellEnd"/>
      <w:r>
        <w:rPr>
          <w:b/>
        </w:rPr>
        <w:t xml:space="preserve"> </w:t>
      </w:r>
      <w:proofErr w:type="spellStart"/>
      <w:r>
        <w:rPr>
          <w:b/>
        </w:rPr>
        <w:t>gingivalis</w:t>
      </w:r>
      <w:proofErr w:type="spellEnd"/>
      <w:r>
        <w:rPr>
          <w:b/>
        </w:rPr>
        <w:t xml:space="preserve"> and </w:t>
      </w:r>
      <w:proofErr w:type="spellStart"/>
      <w:r>
        <w:rPr>
          <w:b/>
        </w:rPr>
        <w:t>fusobacterium</w:t>
      </w:r>
      <w:proofErr w:type="spellEnd"/>
      <w:r>
        <w:rPr>
          <w:b/>
        </w:rPr>
        <w:t xml:space="preserve"> nucleatum promote tumor progression in an oral-specific chemical carcinogenesis model.</w:t>
      </w:r>
      <w:r>
        <w:t xml:space="preserve"> </w:t>
      </w:r>
      <w:proofErr w:type="spellStart"/>
      <w:r>
        <w:rPr>
          <w:i/>
        </w:rPr>
        <w:t>Oncotarget</w:t>
      </w:r>
      <w:proofErr w:type="spellEnd"/>
      <w:r>
        <w:t>. 2015.</w:t>
      </w:r>
    </w:p>
    <w:p w14:paraId="6365F688" w14:textId="34FBCA98" w:rsidR="00CD1017" w:rsidRDefault="00CD1017" w:rsidP="00330690">
      <w:pPr>
        <w:pStyle w:val="Bibliography"/>
        <w:spacing w:after="240"/>
      </w:pPr>
      <w:r>
        <w:t>40</w:t>
      </w:r>
      <w:r>
        <w:t xml:space="preserve">. Ding T, </w:t>
      </w:r>
      <w:proofErr w:type="spellStart"/>
      <w:r>
        <w:t>Schloss</w:t>
      </w:r>
      <w:proofErr w:type="spellEnd"/>
      <w:r>
        <w:t xml:space="preserve"> PD: </w:t>
      </w:r>
      <w:r>
        <w:rPr>
          <w:b/>
        </w:rPr>
        <w:t>Dynamics and associations of microbial community types across the human body</w:t>
      </w:r>
      <w:r>
        <w:t xml:space="preserve">. </w:t>
      </w:r>
      <w:r>
        <w:rPr>
          <w:i/>
        </w:rPr>
        <w:t>Nature</w:t>
      </w:r>
      <w:r>
        <w:t xml:space="preserve">. 2014, </w:t>
      </w:r>
      <w:r>
        <w:rPr>
          <w:b/>
        </w:rPr>
        <w:t>509</w:t>
      </w:r>
      <w:r>
        <w:t>:357–360.</w:t>
      </w:r>
      <w:ins w:id="58" w:author="NTB" w:date="2016-01-20T20:28:00Z">
        <w:r>
          <w:br w:type="page"/>
        </w:r>
      </w:ins>
    </w:p>
    <w:p w14:paraId="59AFB14C" w14:textId="77777777" w:rsidR="002D1C67" w:rsidRDefault="003143A2" w:rsidP="00330690">
      <w:pPr>
        <w:pStyle w:val="Heading3"/>
        <w:spacing w:before="180" w:after="240"/>
      </w:pPr>
      <w:bookmarkStart w:id="59" w:name="figures"/>
      <w:bookmarkEnd w:id="59"/>
      <w:r>
        <w:lastRenderedPageBreak/>
        <w:t>Figures</w:t>
      </w:r>
    </w:p>
    <w:p w14:paraId="44318E0C" w14:textId="77777777" w:rsidR="002D1C67" w:rsidRDefault="003143A2" w:rsidP="00330690">
      <w:pPr>
        <w:spacing w:after="240"/>
      </w:pPr>
      <w:r>
        <w:rPr>
          <w:b/>
        </w:rPr>
        <w:t>Figure 1. Microbiota-based models can complement FIT.</w:t>
      </w:r>
      <w:r>
        <w:t xml:space="preserve"> (A,C) ROC curves for distinguishing healthy patients from those with adenoma (A) or cancer (C) based on FIT or a microbiota-based random forest model. Open circles show the sensitivity and specifity of FIT with a 100ng/ml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14:paraId="3C23293E" w14:textId="4B477F84" w:rsidR="002D1C67" w:rsidRDefault="003143A2" w:rsidP="00330690">
      <w:pPr>
        <w:spacing w:after="240"/>
      </w:pPr>
      <w:r>
        <w:rPr>
          <w:b/>
        </w:rPr>
        <w:t>Figure 2. Comparing MMT to FIT.</w:t>
      </w:r>
      <w:r>
        <w:t xml:space="preserve"> (A) ROC Curves for the MMT (solid lines) </w:t>
      </w:r>
      <w:ins w:id="60" w:author="NTB" w:date="2016-01-20T20:28:00Z">
        <w:r>
          <w:t>or</w:t>
        </w:r>
      </w:ins>
      <w:r>
        <w:t xml:space="preserve"> FIT (dashed lines) for distinguishing normal from any lesion (dark red), normal from cancer (red) and normal from adenoma (orange). Filled dots show the sensitivity and specificity of the MMT at the optimal cutoff (0.622). Open dots show the sensitivity and specificity of FIT at the 100ng/ml cutoff. (B,C) Stripcharts showing the results for FIT (B) and the MMT (C). Dashed lines show the cutoff for each test. Points with a FIT result of 0 are jittered to improve visibility.</w:t>
      </w:r>
    </w:p>
    <w:p w14:paraId="2BF202EC" w14:textId="77777777" w:rsidR="002D1C67" w:rsidRDefault="003143A2" w:rsidP="00330690">
      <w:pPr>
        <w:spacing w:after="240"/>
      </w:pPr>
      <w:r>
        <w:rPr>
          <w:b/>
        </w:rPr>
        <w:t>Figure 3. Sensitivities for FIT and MMT for each stage of tumor development.</w:t>
      </w:r>
      <w:r>
        <w:t xml:space="preserve"> P-values based on McNemar's chi-squared test.</w:t>
      </w:r>
    </w:p>
    <w:p w14:paraId="7E66D193" w14:textId="77777777" w:rsidR="002D1C67" w:rsidRDefault="003143A2" w:rsidP="00330690">
      <w:pPr>
        <w:spacing w:after="240"/>
      </w:pPr>
      <w:r>
        <w:rPr>
          <w:b/>
        </w:rPr>
        <w:t>Figure 4. Relationship between FIT and MMT for each sample.</w:t>
      </w:r>
      <w:r>
        <w:t xml:space="preserve"> (A) Scatterplot of MMT and FIT results for each sample. Dashed lines show the cutoff for each test. Points with a FIT result of 0 are jittered to improve visibility. (B) Stripchart of MMT results for samples separated by binary FIT result.</w:t>
      </w:r>
    </w:p>
    <w:p w14:paraId="4982FD4C" w14:textId="77777777" w:rsidR="002D1C67" w:rsidRDefault="003143A2" w:rsidP="00330690">
      <w:pPr>
        <w:pStyle w:val="Heading3"/>
        <w:spacing w:before="180" w:after="240"/>
      </w:pPr>
      <w:bookmarkStart w:id="61" w:name="tables"/>
      <w:bookmarkEnd w:id="61"/>
      <w:r>
        <w:lastRenderedPageBreak/>
        <w:t>Tables</w:t>
      </w:r>
    </w:p>
    <w:tbl>
      <w:tblPr>
        <w:tblW w:w="9195" w:type="dxa"/>
        <w:tblInd w:w="93" w:type="dxa"/>
        <w:tblLayout w:type="fixed"/>
        <w:tblLook w:val="04A0" w:firstRow="1" w:lastRow="0" w:firstColumn="1" w:lastColumn="0" w:noHBand="0" w:noVBand="1"/>
      </w:tblPr>
      <w:tblGrid>
        <w:gridCol w:w="1365"/>
        <w:gridCol w:w="900"/>
        <w:gridCol w:w="1260"/>
        <w:gridCol w:w="2160"/>
        <w:gridCol w:w="1260"/>
        <w:gridCol w:w="2250"/>
        <w:tblGridChange w:id="62">
          <w:tblGrid>
            <w:gridCol w:w="1365"/>
            <w:gridCol w:w="900"/>
            <w:gridCol w:w="1260"/>
            <w:gridCol w:w="2160"/>
            <w:gridCol w:w="1260"/>
            <w:gridCol w:w="2250"/>
          </w:tblGrid>
        </w:tblGridChange>
      </w:tblGrid>
      <w:tr w:rsidR="00690BB1" w:rsidRPr="00690BB1" w14:paraId="6E93F066" w14:textId="77777777" w:rsidTr="00330690">
        <w:trPr>
          <w:trHeight w:val="300"/>
        </w:trPr>
        <w:tc>
          <w:tcPr>
            <w:tcW w:w="2265" w:type="dxa"/>
            <w:gridSpan w:val="2"/>
            <w:tcBorders>
              <w:top w:val="single" w:sz="8" w:space="0" w:color="auto"/>
              <w:left w:val="single" w:sz="8" w:space="0" w:color="auto"/>
              <w:bottom w:val="nil"/>
              <w:right w:val="single" w:sz="4" w:space="0" w:color="000000"/>
            </w:tcBorders>
            <w:shd w:val="clear" w:color="auto" w:fill="auto"/>
            <w:hideMark/>
          </w:tcPr>
          <w:p w14:paraId="00C862E4" w14:textId="77777777" w:rsidR="00690BB1" w:rsidRPr="00690BB1" w:rsidRDefault="00690BB1" w:rsidP="00690BB1">
            <w:pPr>
              <w:spacing w:before="0" w:after="0" w:line="240" w:lineRule="auto"/>
              <w:jc w:val="center"/>
              <w:rPr>
                <w:rFonts w:ascii="Cambria" w:eastAsia="Times New Roman" w:hAnsi="Cambria" w:cs="Times New Roman"/>
                <w:b/>
                <w:bCs/>
                <w:color w:val="000000"/>
              </w:rPr>
            </w:pPr>
            <w:r w:rsidRPr="00690BB1">
              <w:rPr>
                <w:rFonts w:ascii="Cambria" w:eastAsia="Times New Roman" w:hAnsi="Cambria" w:cs="Times New Roman"/>
                <w:b/>
                <w:bCs/>
                <w:color w:val="000000"/>
              </w:rPr>
              <w:t>Diagnosis</w:t>
            </w:r>
          </w:p>
        </w:tc>
        <w:tc>
          <w:tcPr>
            <w:tcW w:w="3420" w:type="dxa"/>
            <w:gridSpan w:val="2"/>
            <w:tcBorders>
              <w:top w:val="single" w:sz="8" w:space="0" w:color="auto"/>
              <w:left w:val="nil"/>
              <w:bottom w:val="nil"/>
              <w:right w:val="single" w:sz="4" w:space="0" w:color="000000"/>
            </w:tcBorders>
            <w:shd w:val="clear" w:color="auto" w:fill="auto"/>
            <w:hideMark/>
          </w:tcPr>
          <w:p w14:paraId="22867D40" w14:textId="77777777" w:rsidR="00690BB1" w:rsidRPr="00690BB1" w:rsidRDefault="00690BB1" w:rsidP="00690BB1">
            <w:pPr>
              <w:spacing w:before="0" w:after="0" w:line="240" w:lineRule="auto"/>
              <w:jc w:val="center"/>
              <w:rPr>
                <w:rFonts w:ascii="Cambria" w:eastAsia="Times New Roman" w:hAnsi="Cambria" w:cs="Times New Roman"/>
                <w:b/>
                <w:bCs/>
                <w:color w:val="000000"/>
              </w:rPr>
            </w:pPr>
            <w:r w:rsidRPr="00690BB1">
              <w:rPr>
                <w:rFonts w:ascii="Cambria" w:eastAsia="Times New Roman" w:hAnsi="Cambria" w:cs="Times New Roman"/>
                <w:b/>
                <w:bCs/>
                <w:color w:val="000000"/>
              </w:rPr>
              <w:t>Fecal Immunochemical Test</w:t>
            </w:r>
          </w:p>
        </w:tc>
        <w:tc>
          <w:tcPr>
            <w:tcW w:w="3510" w:type="dxa"/>
            <w:gridSpan w:val="2"/>
            <w:tcBorders>
              <w:top w:val="single" w:sz="8" w:space="0" w:color="auto"/>
              <w:left w:val="nil"/>
              <w:bottom w:val="nil"/>
              <w:right w:val="single" w:sz="8" w:space="0" w:color="000000"/>
            </w:tcBorders>
            <w:shd w:val="clear" w:color="auto" w:fill="auto"/>
            <w:hideMark/>
          </w:tcPr>
          <w:p w14:paraId="1C7FD17A" w14:textId="77777777" w:rsidR="00690BB1" w:rsidRPr="00690BB1" w:rsidRDefault="00690BB1" w:rsidP="00690BB1">
            <w:pPr>
              <w:spacing w:before="0" w:after="0" w:line="240" w:lineRule="auto"/>
              <w:jc w:val="center"/>
              <w:rPr>
                <w:rFonts w:ascii="Cambria" w:eastAsia="Times New Roman" w:hAnsi="Cambria" w:cs="Times New Roman"/>
                <w:b/>
                <w:bCs/>
                <w:color w:val="000000"/>
              </w:rPr>
            </w:pPr>
            <w:proofErr w:type="spellStart"/>
            <w:r w:rsidRPr="00690BB1">
              <w:rPr>
                <w:rFonts w:ascii="Cambria" w:eastAsia="Times New Roman" w:hAnsi="Cambria" w:cs="Times New Roman"/>
                <w:b/>
                <w:bCs/>
                <w:color w:val="000000"/>
              </w:rPr>
              <w:t>Multitarget</w:t>
            </w:r>
            <w:proofErr w:type="spellEnd"/>
            <w:r w:rsidRPr="00690BB1">
              <w:rPr>
                <w:rFonts w:ascii="Cambria" w:eastAsia="Times New Roman" w:hAnsi="Cambria" w:cs="Times New Roman"/>
                <w:b/>
                <w:bCs/>
                <w:color w:val="000000"/>
              </w:rPr>
              <w:t xml:space="preserve"> Microbiota Test</w:t>
            </w:r>
          </w:p>
        </w:tc>
      </w:tr>
      <w:tr w:rsidR="00330690" w:rsidRPr="00690BB1" w14:paraId="49D36B4A" w14:textId="77777777" w:rsidTr="00690BB1">
        <w:trPr>
          <w:trHeight w:val="520"/>
        </w:trPr>
        <w:tc>
          <w:tcPr>
            <w:tcW w:w="1365" w:type="dxa"/>
            <w:tcBorders>
              <w:top w:val="nil"/>
              <w:left w:val="single" w:sz="8" w:space="0" w:color="auto"/>
              <w:bottom w:val="nil"/>
              <w:right w:val="nil"/>
            </w:tcBorders>
            <w:shd w:val="clear" w:color="auto" w:fill="auto"/>
            <w:noWrap/>
            <w:hideMark/>
          </w:tcPr>
          <w:p w14:paraId="3C7A6EA8" w14:textId="07C7D4B5"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 </w:t>
            </w:r>
          </w:p>
        </w:tc>
        <w:tc>
          <w:tcPr>
            <w:tcW w:w="900" w:type="dxa"/>
            <w:tcBorders>
              <w:top w:val="nil"/>
              <w:left w:val="nil"/>
              <w:bottom w:val="nil"/>
            </w:tcBorders>
            <w:shd w:val="clear" w:color="auto" w:fill="auto"/>
            <w:noWrap/>
            <w:hideMark/>
          </w:tcPr>
          <w:p w14:paraId="3FF3ECFC"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 </w:t>
            </w:r>
          </w:p>
        </w:tc>
        <w:tc>
          <w:tcPr>
            <w:tcW w:w="1260" w:type="dxa"/>
            <w:tcBorders>
              <w:top w:val="nil"/>
              <w:left w:val="nil"/>
              <w:bottom w:val="nil"/>
              <w:right w:val="nil"/>
            </w:tcBorders>
            <w:shd w:val="clear" w:color="auto" w:fill="auto"/>
            <w:hideMark/>
          </w:tcPr>
          <w:p w14:paraId="0BD7641B"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True Positives</w:t>
            </w:r>
          </w:p>
        </w:tc>
        <w:tc>
          <w:tcPr>
            <w:tcW w:w="2160" w:type="dxa"/>
            <w:tcBorders>
              <w:top w:val="nil"/>
              <w:left w:val="nil"/>
              <w:bottom w:val="nil"/>
            </w:tcBorders>
            <w:shd w:val="clear" w:color="auto" w:fill="auto"/>
            <w:hideMark/>
          </w:tcPr>
          <w:p w14:paraId="61280A24"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Sensitivity</w:t>
            </w:r>
            <w:r w:rsidRPr="00690BB1">
              <w:rPr>
                <w:rFonts w:ascii="Cambria" w:eastAsia="Times New Roman" w:hAnsi="Cambria" w:cs="Times New Roman"/>
                <w:color w:val="000000"/>
                <w:sz w:val="22"/>
                <w:szCs w:val="22"/>
              </w:rPr>
              <w:br/>
              <w:t>(95% CI)</w:t>
            </w:r>
          </w:p>
        </w:tc>
        <w:tc>
          <w:tcPr>
            <w:tcW w:w="1260" w:type="dxa"/>
            <w:tcBorders>
              <w:top w:val="nil"/>
              <w:left w:val="nil"/>
              <w:bottom w:val="nil"/>
              <w:right w:val="nil"/>
            </w:tcBorders>
            <w:shd w:val="clear" w:color="auto" w:fill="auto"/>
            <w:hideMark/>
          </w:tcPr>
          <w:p w14:paraId="5819F8F8"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True Positives</w:t>
            </w:r>
          </w:p>
        </w:tc>
        <w:tc>
          <w:tcPr>
            <w:tcW w:w="2250" w:type="dxa"/>
            <w:tcBorders>
              <w:top w:val="nil"/>
              <w:left w:val="nil"/>
              <w:bottom w:val="nil"/>
              <w:right w:val="single" w:sz="8" w:space="0" w:color="auto"/>
            </w:tcBorders>
            <w:shd w:val="clear" w:color="auto" w:fill="auto"/>
            <w:hideMark/>
          </w:tcPr>
          <w:p w14:paraId="77711F87"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Sensitivity</w:t>
            </w:r>
            <w:r w:rsidRPr="00690BB1">
              <w:rPr>
                <w:rFonts w:ascii="Cambria" w:eastAsia="Times New Roman" w:hAnsi="Cambria" w:cs="Times New Roman"/>
                <w:color w:val="000000"/>
                <w:sz w:val="22"/>
                <w:szCs w:val="22"/>
              </w:rPr>
              <w:br/>
              <w:t>(95% CI)</w:t>
            </w:r>
          </w:p>
        </w:tc>
      </w:tr>
      <w:tr w:rsidR="00330690" w:rsidRPr="00690BB1" w14:paraId="2A6A9457" w14:textId="77777777" w:rsidTr="00690BB1">
        <w:trPr>
          <w:trHeight w:val="300"/>
        </w:trPr>
        <w:tc>
          <w:tcPr>
            <w:tcW w:w="1365" w:type="dxa"/>
            <w:tcBorders>
              <w:top w:val="nil"/>
              <w:left w:val="single" w:sz="8" w:space="0" w:color="auto"/>
              <w:bottom w:val="nil"/>
              <w:right w:val="nil"/>
            </w:tcBorders>
            <w:shd w:val="clear" w:color="000000" w:fill="F2F2F2"/>
            <w:noWrap/>
            <w:hideMark/>
          </w:tcPr>
          <w:p w14:paraId="4EC7C96D" w14:textId="336B9344"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Cancer</w:t>
            </w:r>
          </w:p>
        </w:tc>
        <w:tc>
          <w:tcPr>
            <w:tcW w:w="900" w:type="dxa"/>
            <w:tcBorders>
              <w:top w:val="nil"/>
              <w:left w:val="nil"/>
              <w:bottom w:val="nil"/>
            </w:tcBorders>
            <w:shd w:val="clear" w:color="000000" w:fill="F2F2F2"/>
            <w:noWrap/>
            <w:hideMark/>
          </w:tcPr>
          <w:p w14:paraId="618748BE"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n=120</w:t>
            </w:r>
          </w:p>
        </w:tc>
        <w:tc>
          <w:tcPr>
            <w:tcW w:w="1260" w:type="dxa"/>
            <w:tcBorders>
              <w:top w:val="nil"/>
              <w:left w:val="nil"/>
              <w:bottom w:val="nil"/>
              <w:right w:val="nil"/>
            </w:tcBorders>
            <w:shd w:val="clear" w:color="000000" w:fill="F2F2F2"/>
            <w:noWrap/>
            <w:hideMark/>
          </w:tcPr>
          <w:p w14:paraId="1DFE7B50"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90</w:t>
            </w:r>
          </w:p>
        </w:tc>
        <w:tc>
          <w:tcPr>
            <w:tcW w:w="2160" w:type="dxa"/>
            <w:tcBorders>
              <w:top w:val="nil"/>
              <w:left w:val="nil"/>
              <w:bottom w:val="nil"/>
            </w:tcBorders>
            <w:shd w:val="clear" w:color="000000" w:fill="F2F2F2"/>
            <w:noWrap/>
            <w:hideMark/>
          </w:tcPr>
          <w:p w14:paraId="46CD812E"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b/>
                <w:bCs/>
                <w:color w:val="000000"/>
                <w:sz w:val="22"/>
                <w:szCs w:val="22"/>
              </w:rPr>
              <w:t>75.0</w:t>
            </w:r>
            <w:r w:rsidRPr="00690BB1">
              <w:rPr>
                <w:rFonts w:ascii="Cambria" w:eastAsia="Times New Roman" w:hAnsi="Cambria" w:cs="Times New Roman"/>
                <w:color w:val="000000"/>
                <w:sz w:val="22"/>
                <w:szCs w:val="22"/>
              </w:rPr>
              <w:t xml:space="preserve"> (66.7-82.5)</w:t>
            </w:r>
          </w:p>
        </w:tc>
        <w:tc>
          <w:tcPr>
            <w:tcW w:w="1260" w:type="dxa"/>
            <w:tcBorders>
              <w:top w:val="nil"/>
              <w:left w:val="nil"/>
              <w:bottom w:val="nil"/>
              <w:right w:val="nil"/>
            </w:tcBorders>
            <w:shd w:val="clear" w:color="000000" w:fill="F2F2F2"/>
            <w:noWrap/>
            <w:hideMark/>
          </w:tcPr>
          <w:p w14:paraId="54E1A8BD"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114</w:t>
            </w:r>
          </w:p>
        </w:tc>
        <w:tc>
          <w:tcPr>
            <w:tcW w:w="2250" w:type="dxa"/>
            <w:tcBorders>
              <w:top w:val="nil"/>
              <w:left w:val="nil"/>
              <w:bottom w:val="nil"/>
              <w:right w:val="single" w:sz="8" w:space="0" w:color="auto"/>
            </w:tcBorders>
            <w:shd w:val="clear" w:color="000000" w:fill="F2F2F2"/>
            <w:noWrap/>
            <w:hideMark/>
          </w:tcPr>
          <w:p w14:paraId="70132B21"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b/>
                <w:bCs/>
                <w:color w:val="000000"/>
                <w:sz w:val="22"/>
                <w:szCs w:val="22"/>
              </w:rPr>
              <w:t>95.0</w:t>
            </w:r>
            <w:r w:rsidRPr="00690BB1">
              <w:rPr>
                <w:rFonts w:ascii="Cambria" w:eastAsia="Times New Roman" w:hAnsi="Cambria" w:cs="Times New Roman"/>
                <w:color w:val="000000"/>
                <w:sz w:val="22"/>
                <w:szCs w:val="22"/>
              </w:rPr>
              <w:t xml:space="preserve"> (90.8-98.3)</w:t>
            </w:r>
          </w:p>
        </w:tc>
      </w:tr>
      <w:tr w:rsidR="00330690" w:rsidRPr="00690BB1" w14:paraId="74A35459" w14:textId="77777777" w:rsidTr="00690BB1">
        <w:trPr>
          <w:trHeight w:val="300"/>
        </w:trPr>
        <w:tc>
          <w:tcPr>
            <w:tcW w:w="1365" w:type="dxa"/>
            <w:tcBorders>
              <w:top w:val="nil"/>
              <w:left w:val="single" w:sz="8" w:space="0" w:color="auto"/>
              <w:bottom w:val="nil"/>
              <w:right w:val="nil"/>
            </w:tcBorders>
            <w:shd w:val="clear" w:color="000000" w:fill="FFFFFF"/>
            <w:noWrap/>
            <w:hideMark/>
          </w:tcPr>
          <w:p w14:paraId="55C9911D" w14:textId="72CD5F10"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Adenoma</w:t>
            </w:r>
          </w:p>
        </w:tc>
        <w:tc>
          <w:tcPr>
            <w:tcW w:w="900" w:type="dxa"/>
            <w:tcBorders>
              <w:top w:val="nil"/>
              <w:left w:val="nil"/>
              <w:bottom w:val="nil"/>
            </w:tcBorders>
            <w:shd w:val="clear" w:color="000000" w:fill="FFFFFF"/>
            <w:noWrap/>
            <w:hideMark/>
          </w:tcPr>
          <w:p w14:paraId="30D0F8A0"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n=198</w:t>
            </w:r>
          </w:p>
        </w:tc>
        <w:tc>
          <w:tcPr>
            <w:tcW w:w="1260" w:type="dxa"/>
            <w:tcBorders>
              <w:top w:val="nil"/>
              <w:left w:val="nil"/>
              <w:bottom w:val="nil"/>
              <w:right w:val="nil"/>
            </w:tcBorders>
            <w:shd w:val="clear" w:color="000000" w:fill="FFFFFF"/>
            <w:noWrap/>
            <w:hideMark/>
          </w:tcPr>
          <w:p w14:paraId="5BDEEBF6"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31</w:t>
            </w:r>
          </w:p>
        </w:tc>
        <w:tc>
          <w:tcPr>
            <w:tcW w:w="2160" w:type="dxa"/>
            <w:tcBorders>
              <w:top w:val="nil"/>
              <w:left w:val="nil"/>
              <w:bottom w:val="nil"/>
            </w:tcBorders>
            <w:shd w:val="clear" w:color="000000" w:fill="FFFFFF"/>
            <w:noWrap/>
            <w:hideMark/>
          </w:tcPr>
          <w:p w14:paraId="120F3468"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b/>
                <w:bCs/>
                <w:color w:val="000000"/>
                <w:sz w:val="22"/>
                <w:szCs w:val="22"/>
              </w:rPr>
              <w:t>15.7</w:t>
            </w:r>
            <w:r w:rsidRPr="00690BB1">
              <w:rPr>
                <w:rFonts w:ascii="Cambria" w:eastAsia="Times New Roman" w:hAnsi="Cambria" w:cs="Times New Roman"/>
                <w:color w:val="000000"/>
                <w:sz w:val="22"/>
                <w:szCs w:val="22"/>
              </w:rPr>
              <w:t xml:space="preserve"> (10.6-20.7)</w:t>
            </w:r>
          </w:p>
        </w:tc>
        <w:tc>
          <w:tcPr>
            <w:tcW w:w="1260" w:type="dxa"/>
            <w:tcBorders>
              <w:top w:val="nil"/>
              <w:left w:val="nil"/>
              <w:bottom w:val="nil"/>
              <w:right w:val="nil"/>
            </w:tcBorders>
            <w:shd w:val="clear" w:color="000000" w:fill="FFFFFF"/>
            <w:noWrap/>
            <w:hideMark/>
          </w:tcPr>
          <w:p w14:paraId="6C5A2CCE"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113</w:t>
            </w:r>
          </w:p>
        </w:tc>
        <w:tc>
          <w:tcPr>
            <w:tcW w:w="2250" w:type="dxa"/>
            <w:tcBorders>
              <w:top w:val="nil"/>
              <w:left w:val="nil"/>
              <w:bottom w:val="nil"/>
              <w:right w:val="single" w:sz="8" w:space="0" w:color="auto"/>
            </w:tcBorders>
            <w:shd w:val="clear" w:color="000000" w:fill="FFFFFF"/>
            <w:noWrap/>
            <w:hideMark/>
          </w:tcPr>
          <w:p w14:paraId="5A75CF6C"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b/>
                <w:bCs/>
                <w:color w:val="000000"/>
                <w:sz w:val="22"/>
                <w:szCs w:val="22"/>
              </w:rPr>
              <w:t>57.1</w:t>
            </w:r>
            <w:r w:rsidRPr="00690BB1">
              <w:rPr>
                <w:rFonts w:ascii="Cambria" w:eastAsia="Times New Roman" w:hAnsi="Cambria" w:cs="Times New Roman"/>
                <w:color w:val="000000"/>
                <w:sz w:val="22"/>
                <w:szCs w:val="22"/>
              </w:rPr>
              <w:t xml:space="preserve">  (50.5-64.1)</w:t>
            </w:r>
          </w:p>
        </w:tc>
      </w:tr>
      <w:tr w:rsidR="00330690" w:rsidRPr="00690BB1" w14:paraId="700158DC" w14:textId="77777777" w:rsidTr="00690BB1">
        <w:trPr>
          <w:trHeight w:val="300"/>
        </w:trPr>
        <w:tc>
          <w:tcPr>
            <w:tcW w:w="1365" w:type="dxa"/>
            <w:tcBorders>
              <w:top w:val="nil"/>
              <w:left w:val="single" w:sz="8" w:space="0" w:color="auto"/>
              <w:bottom w:val="nil"/>
              <w:right w:val="nil"/>
            </w:tcBorders>
            <w:shd w:val="clear" w:color="000000" w:fill="F2F2F2"/>
            <w:noWrap/>
            <w:hideMark/>
          </w:tcPr>
          <w:p w14:paraId="38E7CCAC" w14:textId="11BA64DA"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Any Lesions</w:t>
            </w:r>
          </w:p>
        </w:tc>
        <w:tc>
          <w:tcPr>
            <w:tcW w:w="900" w:type="dxa"/>
            <w:tcBorders>
              <w:top w:val="nil"/>
              <w:left w:val="nil"/>
              <w:bottom w:val="nil"/>
            </w:tcBorders>
            <w:shd w:val="clear" w:color="000000" w:fill="F2F2F2"/>
            <w:noWrap/>
            <w:hideMark/>
          </w:tcPr>
          <w:p w14:paraId="2FA3C385"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n=318</w:t>
            </w:r>
          </w:p>
        </w:tc>
        <w:tc>
          <w:tcPr>
            <w:tcW w:w="1260" w:type="dxa"/>
            <w:tcBorders>
              <w:top w:val="nil"/>
              <w:left w:val="nil"/>
              <w:bottom w:val="nil"/>
              <w:right w:val="nil"/>
            </w:tcBorders>
            <w:shd w:val="clear" w:color="000000" w:fill="F2F2F2"/>
            <w:noWrap/>
            <w:hideMark/>
          </w:tcPr>
          <w:p w14:paraId="38908169"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121</w:t>
            </w:r>
          </w:p>
        </w:tc>
        <w:tc>
          <w:tcPr>
            <w:tcW w:w="2160" w:type="dxa"/>
            <w:tcBorders>
              <w:top w:val="nil"/>
              <w:left w:val="nil"/>
              <w:bottom w:val="nil"/>
            </w:tcBorders>
            <w:shd w:val="clear" w:color="000000" w:fill="F2F2F2"/>
            <w:noWrap/>
            <w:hideMark/>
          </w:tcPr>
          <w:p w14:paraId="1AC1668C"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b/>
                <w:bCs/>
                <w:color w:val="000000"/>
                <w:sz w:val="22"/>
                <w:szCs w:val="22"/>
              </w:rPr>
              <w:t>38.1</w:t>
            </w:r>
            <w:r w:rsidRPr="00690BB1">
              <w:rPr>
                <w:rFonts w:ascii="Cambria" w:eastAsia="Times New Roman" w:hAnsi="Cambria" w:cs="Times New Roman"/>
                <w:color w:val="000000"/>
                <w:sz w:val="22"/>
                <w:szCs w:val="22"/>
              </w:rPr>
              <w:t xml:space="preserve"> (33-43.1)</w:t>
            </w:r>
          </w:p>
        </w:tc>
        <w:tc>
          <w:tcPr>
            <w:tcW w:w="1260" w:type="dxa"/>
            <w:tcBorders>
              <w:top w:val="nil"/>
              <w:left w:val="nil"/>
              <w:bottom w:val="nil"/>
              <w:right w:val="nil"/>
            </w:tcBorders>
            <w:shd w:val="clear" w:color="000000" w:fill="F2F2F2"/>
            <w:noWrap/>
            <w:hideMark/>
          </w:tcPr>
          <w:p w14:paraId="0887D4B1"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227</w:t>
            </w:r>
          </w:p>
        </w:tc>
        <w:tc>
          <w:tcPr>
            <w:tcW w:w="2250" w:type="dxa"/>
            <w:tcBorders>
              <w:top w:val="nil"/>
              <w:left w:val="nil"/>
              <w:bottom w:val="nil"/>
              <w:right w:val="single" w:sz="8" w:space="0" w:color="auto"/>
            </w:tcBorders>
            <w:shd w:val="clear" w:color="000000" w:fill="F2F2F2"/>
            <w:noWrap/>
            <w:hideMark/>
          </w:tcPr>
          <w:p w14:paraId="5DF736E2"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b/>
                <w:bCs/>
                <w:color w:val="000000"/>
                <w:sz w:val="22"/>
                <w:szCs w:val="22"/>
              </w:rPr>
              <w:t>71.4</w:t>
            </w:r>
            <w:r w:rsidRPr="00690BB1">
              <w:rPr>
                <w:rFonts w:ascii="Cambria" w:eastAsia="Times New Roman" w:hAnsi="Cambria" w:cs="Times New Roman"/>
                <w:color w:val="000000"/>
                <w:sz w:val="22"/>
                <w:szCs w:val="22"/>
              </w:rPr>
              <w:t xml:space="preserve"> (66.4-76.1)</w:t>
            </w:r>
          </w:p>
        </w:tc>
      </w:tr>
      <w:tr w:rsidR="00330690" w:rsidRPr="00690BB1" w14:paraId="437C0B74" w14:textId="77777777" w:rsidTr="00690BB1">
        <w:trPr>
          <w:trHeight w:val="300"/>
        </w:trPr>
        <w:tc>
          <w:tcPr>
            <w:tcW w:w="1365" w:type="dxa"/>
            <w:tcBorders>
              <w:top w:val="nil"/>
              <w:left w:val="single" w:sz="8" w:space="0" w:color="auto"/>
              <w:bottom w:val="nil"/>
              <w:right w:val="nil"/>
            </w:tcBorders>
            <w:shd w:val="clear" w:color="auto" w:fill="auto"/>
            <w:noWrap/>
            <w:hideMark/>
          </w:tcPr>
          <w:p w14:paraId="7EBAEB2D"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ins w:id="63" w:author="NTB" w:date="2016-01-20T20:28:00Z">
              <w:r w:rsidRPr="00690BB1">
                <w:rPr>
                  <w:rFonts w:ascii="Cambria" w:eastAsia="Times New Roman" w:hAnsi="Cambria" w:cs="Times New Roman"/>
                  <w:color w:val="000000"/>
                  <w:sz w:val="22"/>
                  <w:szCs w:val="22"/>
                </w:rPr>
                <w:t> </w:t>
              </w:r>
            </w:ins>
          </w:p>
        </w:tc>
        <w:tc>
          <w:tcPr>
            <w:tcW w:w="900" w:type="dxa"/>
            <w:tcBorders>
              <w:top w:val="nil"/>
              <w:left w:val="nil"/>
              <w:bottom w:val="nil"/>
            </w:tcBorders>
            <w:shd w:val="clear" w:color="auto" w:fill="auto"/>
            <w:noWrap/>
            <w:hideMark/>
          </w:tcPr>
          <w:p w14:paraId="63DD15E8"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ins w:id="64" w:author="NTB" w:date="2016-01-20T20:28:00Z">
              <w:r w:rsidRPr="00690BB1">
                <w:rPr>
                  <w:rFonts w:ascii="Cambria" w:eastAsia="Times New Roman" w:hAnsi="Cambria" w:cs="Times New Roman"/>
                  <w:color w:val="000000"/>
                  <w:sz w:val="22"/>
                  <w:szCs w:val="22"/>
                </w:rPr>
                <w:t> </w:t>
              </w:r>
            </w:ins>
          </w:p>
        </w:tc>
        <w:tc>
          <w:tcPr>
            <w:tcW w:w="1260" w:type="dxa"/>
            <w:tcBorders>
              <w:top w:val="nil"/>
              <w:left w:val="nil"/>
              <w:bottom w:val="nil"/>
              <w:right w:val="nil"/>
            </w:tcBorders>
            <w:shd w:val="clear" w:color="auto" w:fill="auto"/>
            <w:noWrap/>
            <w:hideMark/>
          </w:tcPr>
          <w:p w14:paraId="339E4929"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ins w:id="65" w:author="NTB" w:date="2016-01-20T20:28:00Z">
              <w:r w:rsidRPr="00690BB1">
                <w:rPr>
                  <w:rFonts w:ascii="Cambria" w:eastAsia="Times New Roman" w:hAnsi="Cambria" w:cs="Times New Roman"/>
                  <w:color w:val="000000"/>
                  <w:sz w:val="22"/>
                  <w:szCs w:val="22"/>
                </w:rPr>
                <w:t> </w:t>
              </w:r>
            </w:ins>
          </w:p>
        </w:tc>
        <w:tc>
          <w:tcPr>
            <w:tcW w:w="2160" w:type="dxa"/>
            <w:tcBorders>
              <w:top w:val="nil"/>
              <w:left w:val="nil"/>
              <w:bottom w:val="nil"/>
            </w:tcBorders>
            <w:shd w:val="clear" w:color="auto" w:fill="auto"/>
            <w:noWrap/>
            <w:hideMark/>
          </w:tcPr>
          <w:p w14:paraId="5A69889A"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 </w:t>
            </w:r>
          </w:p>
        </w:tc>
        <w:tc>
          <w:tcPr>
            <w:tcW w:w="1260" w:type="dxa"/>
            <w:tcBorders>
              <w:top w:val="nil"/>
              <w:left w:val="nil"/>
              <w:bottom w:val="nil"/>
              <w:right w:val="nil"/>
            </w:tcBorders>
            <w:shd w:val="clear" w:color="auto" w:fill="auto"/>
            <w:noWrap/>
            <w:hideMark/>
          </w:tcPr>
          <w:p w14:paraId="1DAA6C91"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p>
        </w:tc>
        <w:tc>
          <w:tcPr>
            <w:tcW w:w="2250" w:type="dxa"/>
            <w:tcBorders>
              <w:top w:val="nil"/>
              <w:left w:val="nil"/>
              <w:bottom w:val="nil"/>
              <w:right w:val="single" w:sz="8" w:space="0" w:color="auto"/>
            </w:tcBorders>
            <w:shd w:val="clear" w:color="auto" w:fill="auto"/>
            <w:noWrap/>
            <w:hideMark/>
          </w:tcPr>
          <w:p w14:paraId="2E13AA61"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 </w:t>
            </w:r>
          </w:p>
        </w:tc>
      </w:tr>
      <w:tr w:rsidR="00330690" w:rsidRPr="00690BB1" w14:paraId="299F6059" w14:textId="77777777" w:rsidTr="00690BB1">
        <w:trPr>
          <w:trHeight w:val="520"/>
        </w:trPr>
        <w:tc>
          <w:tcPr>
            <w:tcW w:w="1365" w:type="dxa"/>
            <w:tcBorders>
              <w:top w:val="nil"/>
              <w:left w:val="single" w:sz="8" w:space="0" w:color="auto"/>
              <w:bottom w:val="nil"/>
              <w:right w:val="nil"/>
            </w:tcBorders>
            <w:shd w:val="clear" w:color="auto" w:fill="auto"/>
            <w:noWrap/>
            <w:hideMark/>
          </w:tcPr>
          <w:p w14:paraId="08D02E2C" w14:textId="56AA35FC"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 </w:t>
            </w:r>
          </w:p>
        </w:tc>
        <w:tc>
          <w:tcPr>
            <w:tcW w:w="900" w:type="dxa"/>
            <w:tcBorders>
              <w:top w:val="nil"/>
              <w:left w:val="nil"/>
              <w:bottom w:val="nil"/>
            </w:tcBorders>
            <w:shd w:val="clear" w:color="auto" w:fill="auto"/>
            <w:noWrap/>
            <w:hideMark/>
          </w:tcPr>
          <w:p w14:paraId="3587F6F9"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 </w:t>
            </w:r>
          </w:p>
        </w:tc>
        <w:tc>
          <w:tcPr>
            <w:tcW w:w="1260" w:type="dxa"/>
            <w:tcBorders>
              <w:top w:val="nil"/>
              <w:left w:val="nil"/>
              <w:bottom w:val="nil"/>
              <w:right w:val="nil"/>
            </w:tcBorders>
            <w:shd w:val="clear" w:color="auto" w:fill="auto"/>
            <w:hideMark/>
          </w:tcPr>
          <w:p w14:paraId="3C1A6FA5"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True Negatives</w:t>
            </w:r>
          </w:p>
        </w:tc>
        <w:tc>
          <w:tcPr>
            <w:tcW w:w="2160" w:type="dxa"/>
            <w:tcBorders>
              <w:top w:val="nil"/>
              <w:left w:val="nil"/>
              <w:bottom w:val="nil"/>
            </w:tcBorders>
            <w:shd w:val="clear" w:color="auto" w:fill="auto"/>
            <w:hideMark/>
          </w:tcPr>
          <w:p w14:paraId="5D39E7D4"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Specificity</w:t>
            </w:r>
            <w:r w:rsidRPr="00690BB1">
              <w:rPr>
                <w:rFonts w:ascii="Cambria" w:eastAsia="Times New Roman" w:hAnsi="Cambria" w:cs="Times New Roman"/>
                <w:color w:val="000000"/>
                <w:sz w:val="22"/>
                <w:szCs w:val="22"/>
              </w:rPr>
              <w:br/>
              <w:t>(95% CI)</w:t>
            </w:r>
          </w:p>
        </w:tc>
        <w:tc>
          <w:tcPr>
            <w:tcW w:w="1260" w:type="dxa"/>
            <w:tcBorders>
              <w:top w:val="nil"/>
              <w:left w:val="nil"/>
              <w:bottom w:val="nil"/>
              <w:right w:val="nil"/>
            </w:tcBorders>
            <w:shd w:val="clear" w:color="auto" w:fill="auto"/>
            <w:hideMark/>
          </w:tcPr>
          <w:p w14:paraId="117F9685"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True Negatives</w:t>
            </w:r>
          </w:p>
        </w:tc>
        <w:tc>
          <w:tcPr>
            <w:tcW w:w="2250" w:type="dxa"/>
            <w:tcBorders>
              <w:top w:val="nil"/>
              <w:left w:val="nil"/>
              <w:bottom w:val="nil"/>
              <w:right w:val="single" w:sz="8" w:space="0" w:color="auto"/>
            </w:tcBorders>
            <w:shd w:val="clear" w:color="auto" w:fill="auto"/>
            <w:hideMark/>
          </w:tcPr>
          <w:p w14:paraId="66BE325F"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Specificity</w:t>
            </w:r>
            <w:r w:rsidRPr="00690BB1">
              <w:rPr>
                <w:rFonts w:ascii="Cambria" w:eastAsia="Times New Roman" w:hAnsi="Cambria" w:cs="Times New Roman"/>
                <w:color w:val="000000"/>
                <w:sz w:val="22"/>
                <w:szCs w:val="22"/>
              </w:rPr>
              <w:br/>
              <w:t>(95% CI)</w:t>
            </w:r>
          </w:p>
        </w:tc>
      </w:tr>
      <w:tr w:rsidR="00330690" w:rsidRPr="00690BB1" w14:paraId="3301A8F4" w14:textId="77777777" w:rsidTr="00690BB1">
        <w:trPr>
          <w:trHeight w:val="320"/>
        </w:trPr>
        <w:tc>
          <w:tcPr>
            <w:tcW w:w="1365" w:type="dxa"/>
            <w:tcBorders>
              <w:top w:val="nil"/>
              <w:left w:val="single" w:sz="8" w:space="0" w:color="auto"/>
              <w:bottom w:val="single" w:sz="8" w:space="0" w:color="auto"/>
              <w:right w:val="nil"/>
            </w:tcBorders>
            <w:shd w:val="clear" w:color="000000" w:fill="F2F2F2"/>
            <w:noWrap/>
            <w:hideMark/>
          </w:tcPr>
          <w:p w14:paraId="623FF725" w14:textId="6EE1C0A9"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Normal</w:t>
            </w:r>
          </w:p>
        </w:tc>
        <w:tc>
          <w:tcPr>
            <w:tcW w:w="900" w:type="dxa"/>
            <w:tcBorders>
              <w:top w:val="nil"/>
              <w:left w:val="nil"/>
              <w:bottom w:val="single" w:sz="8" w:space="0" w:color="auto"/>
            </w:tcBorders>
            <w:shd w:val="clear" w:color="000000" w:fill="F2F2F2"/>
            <w:noWrap/>
            <w:hideMark/>
          </w:tcPr>
          <w:p w14:paraId="4AF924DA"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n=172</w:t>
            </w:r>
          </w:p>
        </w:tc>
        <w:tc>
          <w:tcPr>
            <w:tcW w:w="1260" w:type="dxa"/>
            <w:tcBorders>
              <w:top w:val="nil"/>
              <w:left w:val="nil"/>
              <w:bottom w:val="single" w:sz="8" w:space="0" w:color="auto"/>
              <w:right w:val="nil"/>
            </w:tcBorders>
            <w:shd w:val="clear" w:color="000000" w:fill="F2F2F2"/>
            <w:noWrap/>
            <w:hideMark/>
          </w:tcPr>
          <w:p w14:paraId="530793F0"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167</w:t>
            </w:r>
          </w:p>
        </w:tc>
        <w:tc>
          <w:tcPr>
            <w:tcW w:w="2160" w:type="dxa"/>
            <w:tcBorders>
              <w:top w:val="nil"/>
              <w:left w:val="nil"/>
              <w:bottom w:val="single" w:sz="8" w:space="0" w:color="auto"/>
            </w:tcBorders>
            <w:shd w:val="clear" w:color="000000" w:fill="F2F2F2"/>
            <w:noWrap/>
            <w:hideMark/>
          </w:tcPr>
          <w:p w14:paraId="64C348BC"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b/>
                <w:bCs/>
                <w:color w:val="000000"/>
                <w:sz w:val="22"/>
                <w:szCs w:val="22"/>
              </w:rPr>
              <w:t>97.1</w:t>
            </w:r>
            <w:r w:rsidRPr="00690BB1">
              <w:rPr>
                <w:rFonts w:ascii="Cambria" w:eastAsia="Times New Roman" w:hAnsi="Cambria" w:cs="Times New Roman"/>
                <w:color w:val="000000"/>
                <w:sz w:val="22"/>
                <w:szCs w:val="22"/>
              </w:rPr>
              <w:t xml:space="preserve"> (94.8-99.4)</w:t>
            </w:r>
          </w:p>
        </w:tc>
        <w:tc>
          <w:tcPr>
            <w:tcW w:w="1260" w:type="dxa"/>
            <w:tcBorders>
              <w:top w:val="nil"/>
              <w:left w:val="nil"/>
              <w:bottom w:val="single" w:sz="8" w:space="0" w:color="auto"/>
              <w:right w:val="nil"/>
            </w:tcBorders>
            <w:shd w:val="clear" w:color="000000" w:fill="F2F2F2"/>
            <w:noWrap/>
            <w:hideMark/>
          </w:tcPr>
          <w:p w14:paraId="32CA3960"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144</w:t>
            </w:r>
          </w:p>
        </w:tc>
        <w:tc>
          <w:tcPr>
            <w:tcW w:w="2250" w:type="dxa"/>
            <w:tcBorders>
              <w:top w:val="nil"/>
              <w:left w:val="nil"/>
              <w:bottom w:val="single" w:sz="8" w:space="0" w:color="auto"/>
              <w:right w:val="single" w:sz="8" w:space="0" w:color="auto"/>
            </w:tcBorders>
            <w:shd w:val="clear" w:color="000000" w:fill="F2F2F2"/>
            <w:noWrap/>
            <w:hideMark/>
          </w:tcPr>
          <w:p w14:paraId="1307F2FE"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b/>
                <w:bCs/>
                <w:color w:val="000000"/>
                <w:sz w:val="22"/>
                <w:szCs w:val="22"/>
              </w:rPr>
              <w:t>83.7</w:t>
            </w:r>
            <w:r w:rsidRPr="00690BB1">
              <w:rPr>
                <w:rFonts w:ascii="Cambria" w:eastAsia="Times New Roman" w:hAnsi="Cambria" w:cs="Times New Roman"/>
                <w:color w:val="000000"/>
                <w:sz w:val="22"/>
                <w:szCs w:val="22"/>
              </w:rPr>
              <w:t xml:space="preserve"> (78.5-89)</w:t>
            </w:r>
          </w:p>
        </w:tc>
      </w:tr>
    </w:tbl>
    <w:p w14:paraId="27ED7F2E" w14:textId="66888D72" w:rsidR="006A4D51" w:rsidRDefault="003143A2" w:rsidP="00330690">
      <w:pPr>
        <w:spacing w:after="240"/>
      </w:pPr>
      <w:r>
        <w:rPr>
          <w:b/>
        </w:rPr>
        <w:t>Table 1. Sensitivities and specificities for FIT and MMT.</w:t>
      </w:r>
      <w:r>
        <w:t xml:space="preserve"> The 95% confidence intervals were computed with 2000 stratified bootstrap replicates.</w:t>
      </w:r>
    </w:p>
    <w:p w14:paraId="27346615" w14:textId="77777777" w:rsidR="00690BB1" w:rsidRDefault="00690BB1" w:rsidP="00690BB1">
      <w:pPr>
        <w:spacing w:after="240"/>
        <w:rPr>
          <w:ins w:id="66" w:author="NTB" w:date="2016-01-20T20:28:00Z"/>
        </w:rPr>
      </w:pPr>
    </w:p>
    <w:tbl>
      <w:tblPr>
        <w:tblW w:w="8820" w:type="dxa"/>
        <w:tblInd w:w="648" w:type="dxa"/>
        <w:tblLayout w:type="fixed"/>
        <w:tblLook w:val="04A0" w:firstRow="1" w:lastRow="0" w:firstColumn="1" w:lastColumn="0" w:noHBand="0" w:noVBand="1"/>
      </w:tblPr>
      <w:tblGrid>
        <w:gridCol w:w="2430"/>
        <w:gridCol w:w="1260"/>
        <w:gridCol w:w="2070"/>
        <w:gridCol w:w="1530"/>
        <w:gridCol w:w="1530"/>
      </w:tblGrid>
      <w:tr w:rsidR="00330690" w:rsidRPr="00690BB1" w14:paraId="2E115F74" w14:textId="77777777" w:rsidTr="00330690">
        <w:trPr>
          <w:trHeight w:val="826"/>
        </w:trPr>
        <w:tc>
          <w:tcPr>
            <w:tcW w:w="2430" w:type="dxa"/>
            <w:tcBorders>
              <w:top w:val="single" w:sz="8" w:space="0" w:color="auto"/>
              <w:left w:val="single" w:sz="8" w:space="0" w:color="auto"/>
              <w:bottom w:val="single" w:sz="8" w:space="0" w:color="auto"/>
            </w:tcBorders>
            <w:noWrap/>
            <w:vAlign w:val="center"/>
            <w:hideMark/>
          </w:tcPr>
          <w:p w14:paraId="0F89B770" w14:textId="77777777" w:rsidR="00330690" w:rsidRPr="00690BB1" w:rsidRDefault="00330690" w:rsidP="00690BB1">
            <w:pPr>
              <w:spacing w:before="0" w:after="0" w:line="240" w:lineRule="auto"/>
              <w:jc w:val="left"/>
              <w:rPr>
                <w:rFonts w:ascii="Arial" w:eastAsia="Times New Roman" w:hAnsi="Arial" w:cs="Arial"/>
                <w:color w:val="000000"/>
                <w:sz w:val="20"/>
                <w:szCs w:val="20"/>
              </w:rPr>
            </w:pPr>
            <w:r w:rsidRPr="00690BB1">
              <w:rPr>
                <w:rFonts w:ascii="Arial" w:eastAsia="Times New Roman" w:hAnsi="Arial" w:cs="Arial"/>
                <w:color w:val="000000"/>
                <w:sz w:val="20"/>
                <w:szCs w:val="20"/>
              </w:rPr>
              <w:t>Condition</w:t>
            </w:r>
          </w:p>
        </w:tc>
        <w:tc>
          <w:tcPr>
            <w:tcW w:w="1260" w:type="dxa"/>
            <w:tcBorders>
              <w:top w:val="single" w:sz="8" w:space="0" w:color="auto"/>
              <w:bottom w:val="single" w:sz="8" w:space="0" w:color="auto"/>
            </w:tcBorders>
            <w:noWrap/>
            <w:vAlign w:val="center"/>
            <w:hideMark/>
          </w:tcPr>
          <w:p w14:paraId="314EF60A" w14:textId="77777777" w:rsidR="00330690" w:rsidRPr="00690BB1" w:rsidRDefault="00330690" w:rsidP="00690BB1">
            <w:pPr>
              <w:spacing w:before="0" w:after="0" w:line="240" w:lineRule="auto"/>
              <w:jc w:val="right"/>
              <w:rPr>
                <w:rFonts w:ascii="Arial" w:eastAsia="Times New Roman" w:hAnsi="Arial" w:cs="Arial"/>
                <w:color w:val="000000"/>
                <w:sz w:val="20"/>
                <w:szCs w:val="20"/>
              </w:rPr>
            </w:pPr>
            <w:r w:rsidRPr="00690BB1">
              <w:rPr>
                <w:rFonts w:ascii="Arial" w:eastAsia="Times New Roman" w:hAnsi="Arial" w:cs="Arial"/>
                <w:color w:val="000000"/>
                <w:sz w:val="20"/>
                <w:szCs w:val="20"/>
              </w:rPr>
              <w:t>Prevalence</w:t>
            </w:r>
          </w:p>
        </w:tc>
        <w:tc>
          <w:tcPr>
            <w:tcW w:w="2070" w:type="dxa"/>
            <w:tcBorders>
              <w:top w:val="single" w:sz="8" w:space="0" w:color="auto"/>
              <w:bottom w:val="single" w:sz="8" w:space="0" w:color="auto"/>
            </w:tcBorders>
            <w:vAlign w:val="center"/>
            <w:hideMark/>
          </w:tcPr>
          <w:p w14:paraId="3D41B9DF" w14:textId="77777777" w:rsidR="00330690" w:rsidRPr="00690BB1" w:rsidRDefault="00330690" w:rsidP="00690BB1">
            <w:pPr>
              <w:spacing w:before="0" w:after="0" w:line="240" w:lineRule="auto"/>
              <w:jc w:val="right"/>
              <w:rPr>
                <w:rFonts w:ascii="Arial" w:eastAsia="Times New Roman" w:hAnsi="Arial" w:cs="Arial"/>
                <w:color w:val="000000"/>
                <w:sz w:val="20"/>
                <w:szCs w:val="20"/>
              </w:rPr>
            </w:pPr>
            <w:r w:rsidRPr="00690BB1">
              <w:rPr>
                <w:rFonts w:ascii="Arial" w:eastAsia="Times New Roman" w:hAnsi="Arial" w:cs="Arial"/>
                <w:color w:val="000000"/>
                <w:sz w:val="20"/>
                <w:szCs w:val="20"/>
              </w:rPr>
              <w:t>Number of Persons, ages 50-75 years, with Condition</w:t>
            </w:r>
          </w:p>
        </w:tc>
        <w:tc>
          <w:tcPr>
            <w:tcW w:w="1530" w:type="dxa"/>
            <w:tcBorders>
              <w:top w:val="single" w:sz="8" w:space="0" w:color="auto"/>
              <w:bottom w:val="single" w:sz="8" w:space="0" w:color="auto"/>
            </w:tcBorders>
            <w:vAlign w:val="center"/>
            <w:hideMark/>
          </w:tcPr>
          <w:p w14:paraId="1D846A7E" w14:textId="42719E28" w:rsidR="00330690" w:rsidRPr="00690BB1" w:rsidRDefault="00330690" w:rsidP="00690BB1">
            <w:pPr>
              <w:spacing w:before="0" w:after="0" w:line="240" w:lineRule="auto"/>
              <w:jc w:val="right"/>
              <w:rPr>
                <w:rFonts w:ascii="Arial" w:eastAsia="Times New Roman" w:hAnsi="Arial" w:cs="Arial"/>
                <w:color w:val="000000"/>
                <w:sz w:val="20"/>
                <w:szCs w:val="20"/>
              </w:rPr>
            </w:pPr>
            <w:r w:rsidRPr="00690BB1">
              <w:rPr>
                <w:rFonts w:ascii="Arial" w:eastAsia="Times New Roman" w:hAnsi="Arial" w:cs="Arial"/>
                <w:color w:val="000000"/>
                <w:sz w:val="20"/>
                <w:szCs w:val="20"/>
              </w:rPr>
              <w:t xml:space="preserve">True Positives identified </w:t>
            </w:r>
            <w:r w:rsidRPr="00690BB1">
              <w:rPr>
                <w:rFonts w:ascii="Arial" w:eastAsia="Times New Roman" w:hAnsi="Arial" w:cs="Arial"/>
                <w:color w:val="000000"/>
                <w:sz w:val="20"/>
                <w:szCs w:val="20"/>
              </w:rPr>
              <w:t>by</w:t>
            </w:r>
            <w:r w:rsidRPr="00690BB1">
              <w:rPr>
                <w:rFonts w:ascii="Arial" w:eastAsia="Times New Roman" w:hAnsi="Arial" w:cs="Arial"/>
                <w:color w:val="000000"/>
                <w:sz w:val="20"/>
                <w:szCs w:val="20"/>
              </w:rPr>
              <w:t xml:space="preserve"> FIT</w:t>
            </w:r>
          </w:p>
        </w:tc>
        <w:tc>
          <w:tcPr>
            <w:tcW w:w="1530" w:type="dxa"/>
            <w:tcBorders>
              <w:top w:val="single" w:sz="8" w:space="0" w:color="auto"/>
              <w:bottom w:val="single" w:sz="8" w:space="0" w:color="auto"/>
              <w:right w:val="single" w:sz="8" w:space="0" w:color="auto"/>
            </w:tcBorders>
            <w:vAlign w:val="center"/>
            <w:hideMark/>
          </w:tcPr>
          <w:p w14:paraId="7BF62C60" w14:textId="565CC55D" w:rsidR="00330690" w:rsidRPr="00690BB1" w:rsidRDefault="00330690" w:rsidP="00690BB1">
            <w:pPr>
              <w:spacing w:before="0" w:after="0" w:line="240" w:lineRule="auto"/>
              <w:jc w:val="right"/>
              <w:rPr>
                <w:rFonts w:ascii="Arial" w:eastAsia="Times New Roman" w:hAnsi="Arial" w:cs="Arial"/>
                <w:color w:val="000000"/>
                <w:sz w:val="20"/>
                <w:szCs w:val="20"/>
              </w:rPr>
            </w:pPr>
            <w:r w:rsidRPr="00690BB1">
              <w:rPr>
                <w:rFonts w:ascii="Arial" w:eastAsia="Times New Roman" w:hAnsi="Arial" w:cs="Arial"/>
                <w:color w:val="000000"/>
                <w:sz w:val="20"/>
                <w:szCs w:val="20"/>
              </w:rPr>
              <w:t xml:space="preserve">True Positives identified </w:t>
            </w:r>
            <w:r w:rsidRPr="00690BB1">
              <w:rPr>
                <w:rFonts w:ascii="Arial" w:eastAsia="Times New Roman" w:hAnsi="Arial" w:cs="Arial"/>
                <w:color w:val="000000"/>
                <w:sz w:val="20"/>
                <w:szCs w:val="20"/>
              </w:rPr>
              <w:t>by</w:t>
            </w:r>
            <w:r w:rsidRPr="00690BB1">
              <w:rPr>
                <w:rFonts w:ascii="Arial" w:eastAsia="Times New Roman" w:hAnsi="Arial" w:cs="Arial"/>
                <w:color w:val="000000"/>
                <w:sz w:val="20"/>
                <w:szCs w:val="20"/>
              </w:rPr>
              <w:t xml:space="preserve"> MMT</w:t>
            </w:r>
          </w:p>
        </w:tc>
      </w:tr>
      <w:tr w:rsidR="00330690" w:rsidRPr="00690BB1" w14:paraId="241D88C5" w14:textId="77777777" w:rsidTr="00330690">
        <w:trPr>
          <w:trHeight w:val="151"/>
        </w:trPr>
        <w:tc>
          <w:tcPr>
            <w:tcW w:w="2430" w:type="dxa"/>
            <w:tcBorders>
              <w:left w:val="single" w:sz="8" w:space="0" w:color="auto"/>
            </w:tcBorders>
            <w:noWrap/>
            <w:hideMark/>
          </w:tcPr>
          <w:p w14:paraId="1E8F6A16" w14:textId="77777777" w:rsidR="00330690" w:rsidRPr="00690BB1" w:rsidRDefault="00330690" w:rsidP="00690BB1">
            <w:pPr>
              <w:spacing w:before="0" w:after="0" w:line="240" w:lineRule="auto"/>
              <w:jc w:val="left"/>
              <w:rPr>
                <w:rFonts w:ascii="Arial" w:eastAsia="Times New Roman" w:hAnsi="Arial" w:cs="Arial"/>
                <w:color w:val="000000"/>
                <w:sz w:val="20"/>
                <w:szCs w:val="20"/>
              </w:rPr>
            </w:pPr>
            <w:ins w:id="67" w:author="NTB" w:date="2016-01-20T20:28:00Z">
              <w:r w:rsidRPr="00690BB1">
                <w:rPr>
                  <w:rFonts w:ascii="Arial" w:eastAsia="Times New Roman" w:hAnsi="Arial" w:cs="Arial"/>
                  <w:color w:val="000000"/>
                  <w:sz w:val="20"/>
                  <w:szCs w:val="20"/>
                </w:rPr>
                <w:t> </w:t>
              </w:r>
            </w:ins>
          </w:p>
        </w:tc>
        <w:tc>
          <w:tcPr>
            <w:tcW w:w="1260" w:type="dxa"/>
            <w:noWrap/>
            <w:hideMark/>
          </w:tcPr>
          <w:p w14:paraId="7EE59E89" w14:textId="77777777" w:rsidR="00330690" w:rsidRPr="00690BB1" w:rsidRDefault="00330690" w:rsidP="00690BB1">
            <w:pPr>
              <w:spacing w:before="0" w:after="0" w:line="240" w:lineRule="auto"/>
              <w:jc w:val="left"/>
              <w:rPr>
                <w:rFonts w:ascii="Arial" w:eastAsia="Times New Roman" w:hAnsi="Arial" w:cs="Arial"/>
                <w:color w:val="000000"/>
                <w:sz w:val="20"/>
                <w:szCs w:val="20"/>
              </w:rPr>
            </w:pPr>
          </w:p>
        </w:tc>
        <w:tc>
          <w:tcPr>
            <w:tcW w:w="2070" w:type="dxa"/>
            <w:noWrap/>
            <w:hideMark/>
          </w:tcPr>
          <w:p w14:paraId="49FFF816" w14:textId="77777777" w:rsidR="00330690" w:rsidRPr="00690BB1" w:rsidRDefault="00330690" w:rsidP="00690BB1">
            <w:pPr>
              <w:spacing w:before="0" w:after="0" w:line="240" w:lineRule="auto"/>
              <w:jc w:val="left"/>
              <w:rPr>
                <w:rFonts w:ascii="Arial" w:eastAsia="Times New Roman" w:hAnsi="Arial" w:cs="Arial"/>
                <w:color w:val="000000"/>
                <w:sz w:val="20"/>
                <w:szCs w:val="20"/>
              </w:rPr>
            </w:pPr>
          </w:p>
        </w:tc>
        <w:tc>
          <w:tcPr>
            <w:tcW w:w="1530" w:type="dxa"/>
            <w:noWrap/>
            <w:hideMark/>
          </w:tcPr>
          <w:p w14:paraId="7BDD49D1" w14:textId="77777777" w:rsidR="00330690" w:rsidRPr="00690BB1" w:rsidRDefault="00330690" w:rsidP="00690BB1">
            <w:pPr>
              <w:spacing w:before="0" w:after="0" w:line="240" w:lineRule="auto"/>
              <w:jc w:val="left"/>
              <w:rPr>
                <w:rFonts w:ascii="Arial" w:eastAsia="Times New Roman" w:hAnsi="Arial" w:cs="Arial"/>
                <w:color w:val="000000"/>
                <w:sz w:val="20"/>
                <w:szCs w:val="20"/>
              </w:rPr>
            </w:pPr>
          </w:p>
        </w:tc>
        <w:tc>
          <w:tcPr>
            <w:tcW w:w="1530" w:type="dxa"/>
            <w:tcBorders>
              <w:right w:val="single" w:sz="8" w:space="0" w:color="auto"/>
            </w:tcBorders>
            <w:noWrap/>
            <w:hideMark/>
          </w:tcPr>
          <w:p w14:paraId="7365D15B" w14:textId="77777777" w:rsidR="00330690" w:rsidRPr="00690BB1" w:rsidRDefault="00330690" w:rsidP="00690BB1">
            <w:pPr>
              <w:spacing w:before="0" w:after="0" w:line="240" w:lineRule="auto"/>
              <w:jc w:val="left"/>
              <w:rPr>
                <w:rFonts w:ascii="Arial" w:eastAsia="Times New Roman" w:hAnsi="Arial" w:cs="Arial"/>
                <w:color w:val="000000"/>
                <w:sz w:val="20"/>
                <w:szCs w:val="20"/>
              </w:rPr>
            </w:pPr>
            <w:ins w:id="68" w:author="NTB" w:date="2016-01-20T20:28:00Z">
              <w:r w:rsidRPr="00690BB1">
                <w:rPr>
                  <w:rFonts w:ascii="Arial" w:eastAsia="Times New Roman" w:hAnsi="Arial" w:cs="Arial"/>
                  <w:color w:val="000000"/>
                  <w:sz w:val="20"/>
                  <w:szCs w:val="20"/>
                </w:rPr>
                <w:t> </w:t>
              </w:r>
            </w:ins>
          </w:p>
        </w:tc>
      </w:tr>
      <w:tr w:rsidR="00330690" w:rsidRPr="00690BB1" w14:paraId="0CF87196" w14:textId="77777777" w:rsidTr="00330690">
        <w:trPr>
          <w:trHeight w:val="300"/>
        </w:trPr>
        <w:tc>
          <w:tcPr>
            <w:tcW w:w="2430" w:type="dxa"/>
            <w:tcBorders>
              <w:left w:val="single" w:sz="8" w:space="0" w:color="auto"/>
            </w:tcBorders>
            <w:noWrap/>
            <w:vAlign w:val="center"/>
            <w:hideMark/>
          </w:tcPr>
          <w:p w14:paraId="19541E5C" w14:textId="77777777" w:rsidR="00330690" w:rsidRPr="00690BB1" w:rsidRDefault="00330690" w:rsidP="00690BB1">
            <w:pPr>
              <w:spacing w:before="0" w:after="0" w:line="240" w:lineRule="auto"/>
              <w:jc w:val="left"/>
              <w:rPr>
                <w:rFonts w:ascii="Arial" w:eastAsia="Times New Roman" w:hAnsi="Arial" w:cs="Arial"/>
                <w:color w:val="000000"/>
                <w:sz w:val="20"/>
                <w:szCs w:val="20"/>
              </w:rPr>
            </w:pPr>
            <w:r w:rsidRPr="00690BB1">
              <w:rPr>
                <w:rFonts w:ascii="Arial" w:eastAsia="Times New Roman" w:hAnsi="Arial" w:cs="Arial"/>
                <w:color w:val="000000"/>
                <w:sz w:val="20"/>
                <w:szCs w:val="20"/>
              </w:rPr>
              <w:t>Cancer</w:t>
            </w:r>
          </w:p>
        </w:tc>
        <w:tc>
          <w:tcPr>
            <w:tcW w:w="1260" w:type="dxa"/>
            <w:noWrap/>
            <w:vAlign w:val="center"/>
            <w:hideMark/>
          </w:tcPr>
          <w:p w14:paraId="4B1D5CD4" w14:textId="77777777" w:rsidR="00330690" w:rsidRPr="00690BB1" w:rsidRDefault="00330690" w:rsidP="00690BB1">
            <w:pPr>
              <w:spacing w:before="0" w:after="0" w:line="240" w:lineRule="auto"/>
              <w:jc w:val="right"/>
              <w:rPr>
                <w:rFonts w:ascii="Arial" w:eastAsia="Times New Roman" w:hAnsi="Arial" w:cs="Arial"/>
                <w:color w:val="000000"/>
                <w:sz w:val="20"/>
                <w:szCs w:val="20"/>
              </w:rPr>
            </w:pPr>
            <w:r w:rsidRPr="00690BB1">
              <w:rPr>
                <w:rFonts w:ascii="Arial" w:eastAsia="Times New Roman" w:hAnsi="Arial" w:cs="Arial"/>
                <w:color w:val="000000"/>
                <w:sz w:val="20"/>
                <w:szCs w:val="20"/>
              </w:rPr>
              <w:t>0.3%</w:t>
            </w:r>
          </w:p>
        </w:tc>
        <w:tc>
          <w:tcPr>
            <w:tcW w:w="2070" w:type="dxa"/>
            <w:noWrap/>
            <w:vAlign w:val="center"/>
            <w:hideMark/>
          </w:tcPr>
          <w:p w14:paraId="407F0DB4" w14:textId="77777777" w:rsidR="00330690" w:rsidRPr="00690BB1" w:rsidRDefault="00330690" w:rsidP="00690BB1">
            <w:pPr>
              <w:spacing w:before="0" w:after="0" w:line="240" w:lineRule="auto"/>
              <w:jc w:val="right"/>
              <w:rPr>
                <w:rFonts w:ascii="Arial" w:eastAsia="Times New Roman" w:hAnsi="Arial" w:cs="Arial"/>
                <w:color w:val="000000"/>
                <w:sz w:val="20"/>
                <w:szCs w:val="20"/>
              </w:rPr>
            </w:pPr>
            <w:r w:rsidRPr="00690BB1">
              <w:rPr>
                <w:rFonts w:ascii="Arial" w:eastAsia="Times New Roman" w:hAnsi="Arial" w:cs="Arial"/>
                <w:color w:val="000000"/>
                <w:sz w:val="20"/>
                <w:szCs w:val="20"/>
              </w:rPr>
              <w:t>241,483</w:t>
            </w:r>
          </w:p>
        </w:tc>
        <w:tc>
          <w:tcPr>
            <w:tcW w:w="1530" w:type="dxa"/>
            <w:noWrap/>
            <w:hideMark/>
          </w:tcPr>
          <w:p w14:paraId="653D8050" w14:textId="77777777" w:rsidR="00330690" w:rsidRPr="00690BB1" w:rsidRDefault="00330690" w:rsidP="00690BB1">
            <w:pPr>
              <w:spacing w:before="0" w:after="0" w:line="240" w:lineRule="auto"/>
              <w:jc w:val="right"/>
              <w:rPr>
                <w:rFonts w:ascii="Arial" w:eastAsia="Times New Roman" w:hAnsi="Arial" w:cs="Arial"/>
                <w:color w:val="000000"/>
                <w:sz w:val="20"/>
                <w:szCs w:val="20"/>
              </w:rPr>
            </w:pPr>
            <w:r w:rsidRPr="00690BB1">
              <w:rPr>
                <w:rFonts w:ascii="Arial" w:eastAsia="Times New Roman" w:hAnsi="Arial" w:cs="Arial"/>
                <w:color w:val="000000"/>
                <w:sz w:val="20"/>
                <w:szCs w:val="20"/>
              </w:rPr>
              <w:t>181,112</w:t>
            </w:r>
          </w:p>
        </w:tc>
        <w:tc>
          <w:tcPr>
            <w:tcW w:w="1530" w:type="dxa"/>
            <w:tcBorders>
              <w:right w:val="single" w:sz="8" w:space="0" w:color="auto"/>
            </w:tcBorders>
            <w:noWrap/>
            <w:hideMark/>
          </w:tcPr>
          <w:p w14:paraId="037079AC" w14:textId="4C6ACA28" w:rsidR="00330690" w:rsidRPr="00690BB1" w:rsidRDefault="00330690" w:rsidP="00690BB1">
            <w:pPr>
              <w:spacing w:before="0" w:after="0" w:line="240" w:lineRule="auto"/>
              <w:jc w:val="right"/>
              <w:rPr>
                <w:rFonts w:ascii="Arial" w:eastAsia="Times New Roman" w:hAnsi="Arial" w:cs="Arial"/>
                <w:color w:val="000000"/>
                <w:sz w:val="20"/>
                <w:szCs w:val="20"/>
              </w:rPr>
            </w:pPr>
            <w:r w:rsidRPr="00690BB1">
              <w:rPr>
                <w:rFonts w:ascii="Arial" w:eastAsia="Times New Roman" w:hAnsi="Arial" w:cs="Arial"/>
                <w:color w:val="000000"/>
                <w:sz w:val="20"/>
                <w:szCs w:val="20"/>
              </w:rPr>
              <w:t>229,409</w:t>
            </w:r>
          </w:p>
        </w:tc>
      </w:tr>
      <w:tr w:rsidR="00330690" w:rsidRPr="00690BB1" w14:paraId="3FE60097" w14:textId="77777777" w:rsidTr="00330690">
        <w:trPr>
          <w:trHeight w:val="300"/>
        </w:trPr>
        <w:tc>
          <w:tcPr>
            <w:tcW w:w="2430" w:type="dxa"/>
            <w:tcBorders>
              <w:left w:val="single" w:sz="8" w:space="0" w:color="auto"/>
            </w:tcBorders>
            <w:noWrap/>
            <w:vAlign w:val="center"/>
            <w:hideMark/>
          </w:tcPr>
          <w:p w14:paraId="10944B5F" w14:textId="77777777" w:rsidR="00330690" w:rsidRPr="00690BB1" w:rsidRDefault="00330690" w:rsidP="00690BB1">
            <w:pPr>
              <w:spacing w:before="0" w:after="0" w:line="240" w:lineRule="auto"/>
              <w:jc w:val="left"/>
              <w:rPr>
                <w:rFonts w:ascii="Arial" w:eastAsia="Times New Roman" w:hAnsi="Arial" w:cs="Arial"/>
                <w:color w:val="000000"/>
                <w:sz w:val="20"/>
                <w:szCs w:val="20"/>
              </w:rPr>
            </w:pPr>
            <w:r w:rsidRPr="00690BB1">
              <w:rPr>
                <w:rFonts w:ascii="Arial" w:eastAsia="Times New Roman" w:hAnsi="Arial" w:cs="Arial"/>
                <w:color w:val="000000"/>
                <w:sz w:val="20"/>
                <w:szCs w:val="20"/>
              </w:rPr>
              <w:t>Advanced Adenoma</w:t>
            </w:r>
          </w:p>
        </w:tc>
        <w:tc>
          <w:tcPr>
            <w:tcW w:w="1260" w:type="dxa"/>
            <w:noWrap/>
            <w:vAlign w:val="center"/>
            <w:hideMark/>
          </w:tcPr>
          <w:p w14:paraId="241C3283" w14:textId="77777777" w:rsidR="00330690" w:rsidRPr="00690BB1" w:rsidRDefault="00330690" w:rsidP="00690BB1">
            <w:pPr>
              <w:spacing w:before="0" w:after="0" w:line="240" w:lineRule="auto"/>
              <w:jc w:val="right"/>
              <w:rPr>
                <w:rFonts w:ascii="Arial" w:eastAsia="Times New Roman" w:hAnsi="Arial" w:cs="Arial"/>
                <w:color w:val="000000"/>
                <w:sz w:val="20"/>
                <w:szCs w:val="20"/>
              </w:rPr>
            </w:pPr>
            <w:r w:rsidRPr="00690BB1">
              <w:rPr>
                <w:rFonts w:ascii="Arial" w:eastAsia="Times New Roman" w:hAnsi="Arial" w:cs="Arial"/>
                <w:color w:val="000000"/>
                <w:sz w:val="20"/>
                <w:szCs w:val="20"/>
              </w:rPr>
              <w:t>5.7%</w:t>
            </w:r>
          </w:p>
        </w:tc>
        <w:tc>
          <w:tcPr>
            <w:tcW w:w="2070" w:type="dxa"/>
            <w:noWrap/>
            <w:vAlign w:val="center"/>
            <w:hideMark/>
          </w:tcPr>
          <w:p w14:paraId="68CA8B80" w14:textId="77777777" w:rsidR="00330690" w:rsidRPr="00690BB1" w:rsidRDefault="00330690" w:rsidP="00690BB1">
            <w:pPr>
              <w:spacing w:before="0" w:after="0" w:line="240" w:lineRule="auto"/>
              <w:jc w:val="right"/>
              <w:rPr>
                <w:rFonts w:ascii="Arial" w:eastAsia="Times New Roman" w:hAnsi="Arial" w:cs="Arial"/>
                <w:color w:val="000000"/>
                <w:sz w:val="20"/>
                <w:szCs w:val="20"/>
              </w:rPr>
            </w:pPr>
            <w:r w:rsidRPr="00690BB1">
              <w:rPr>
                <w:rFonts w:ascii="Arial" w:eastAsia="Times New Roman" w:hAnsi="Arial" w:cs="Arial"/>
                <w:color w:val="000000"/>
                <w:sz w:val="20"/>
                <w:szCs w:val="20"/>
              </w:rPr>
              <w:t>4,588,174</w:t>
            </w:r>
          </w:p>
        </w:tc>
        <w:tc>
          <w:tcPr>
            <w:tcW w:w="1530" w:type="dxa"/>
            <w:noWrap/>
            <w:hideMark/>
          </w:tcPr>
          <w:p w14:paraId="3D56AB61" w14:textId="623608D1" w:rsidR="00330690" w:rsidRPr="00690BB1" w:rsidRDefault="00330690" w:rsidP="00690BB1">
            <w:pPr>
              <w:spacing w:before="0" w:after="0" w:line="240" w:lineRule="auto"/>
              <w:jc w:val="right"/>
              <w:rPr>
                <w:rFonts w:ascii="Arial" w:eastAsia="Times New Roman" w:hAnsi="Arial" w:cs="Arial"/>
                <w:color w:val="000000"/>
                <w:sz w:val="20"/>
                <w:szCs w:val="20"/>
              </w:rPr>
            </w:pPr>
            <w:r w:rsidRPr="00690BB1">
              <w:rPr>
                <w:rFonts w:ascii="Arial" w:eastAsia="Times New Roman" w:hAnsi="Arial" w:cs="Arial"/>
                <w:color w:val="000000"/>
                <w:sz w:val="20"/>
                <w:szCs w:val="20"/>
              </w:rPr>
              <w:t>720,343</w:t>
            </w:r>
          </w:p>
        </w:tc>
        <w:tc>
          <w:tcPr>
            <w:tcW w:w="1530" w:type="dxa"/>
            <w:tcBorders>
              <w:right w:val="single" w:sz="8" w:space="0" w:color="auto"/>
            </w:tcBorders>
            <w:noWrap/>
            <w:hideMark/>
          </w:tcPr>
          <w:p w14:paraId="40F98812" w14:textId="5206491B" w:rsidR="00330690" w:rsidRPr="00690BB1" w:rsidRDefault="00330690" w:rsidP="00690BB1">
            <w:pPr>
              <w:spacing w:before="0" w:after="0" w:line="240" w:lineRule="auto"/>
              <w:jc w:val="right"/>
              <w:rPr>
                <w:rFonts w:ascii="Arial" w:eastAsia="Times New Roman" w:hAnsi="Arial" w:cs="Arial"/>
                <w:color w:val="000000"/>
                <w:sz w:val="20"/>
                <w:szCs w:val="20"/>
              </w:rPr>
            </w:pPr>
            <w:r w:rsidRPr="00690BB1">
              <w:rPr>
                <w:rFonts w:ascii="Arial" w:eastAsia="Times New Roman" w:hAnsi="Arial" w:cs="Arial"/>
                <w:color w:val="000000"/>
                <w:sz w:val="20"/>
                <w:szCs w:val="20"/>
              </w:rPr>
              <w:t>2,</w:t>
            </w:r>
            <w:r w:rsidRPr="00690BB1">
              <w:rPr>
                <w:rFonts w:ascii="Arial" w:eastAsia="Times New Roman" w:hAnsi="Arial" w:cs="Arial"/>
                <w:color w:val="000000"/>
                <w:sz w:val="20"/>
                <w:szCs w:val="20"/>
              </w:rPr>
              <w:t>619,847</w:t>
            </w:r>
          </w:p>
        </w:tc>
      </w:tr>
      <w:tr w:rsidR="00330690" w:rsidRPr="00690BB1" w14:paraId="665CB0DC" w14:textId="77777777" w:rsidTr="00330690">
        <w:trPr>
          <w:trHeight w:val="234"/>
        </w:trPr>
        <w:tc>
          <w:tcPr>
            <w:tcW w:w="2430" w:type="dxa"/>
            <w:tcBorders>
              <w:left w:val="single" w:sz="8" w:space="0" w:color="auto"/>
              <w:bottom w:val="single" w:sz="8" w:space="0" w:color="auto"/>
            </w:tcBorders>
            <w:noWrap/>
            <w:vAlign w:val="center"/>
            <w:hideMark/>
          </w:tcPr>
          <w:p w14:paraId="072BE5BD" w14:textId="77777777" w:rsidR="00330690" w:rsidRPr="00690BB1" w:rsidRDefault="00330690" w:rsidP="00690BB1">
            <w:pPr>
              <w:spacing w:before="0" w:after="0" w:line="240" w:lineRule="auto"/>
              <w:jc w:val="left"/>
              <w:rPr>
                <w:rFonts w:ascii="Arial" w:eastAsia="Times New Roman" w:hAnsi="Arial" w:cs="Arial"/>
                <w:color w:val="000000"/>
                <w:sz w:val="20"/>
                <w:szCs w:val="20"/>
              </w:rPr>
            </w:pPr>
            <w:r w:rsidRPr="00690BB1">
              <w:rPr>
                <w:rFonts w:ascii="Arial" w:eastAsia="Times New Roman" w:hAnsi="Arial" w:cs="Arial"/>
                <w:color w:val="000000"/>
                <w:sz w:val="20"/>
                <w:szCs w:val="20"/>
              </w:rPr>
              <w:t>Non-advanced Adenoma</w:t>
            </w:r>
          </w:p>
        </w:tc>
        <w:tc>
          <w:tcPr>
            <w:tcW w:w="1260" w:type="dxa"/>
            <w:tcBorders>
              <w:bottom w:val="single" w:sz="8" w:space="0" w:color="auto"/>
            </w:tcBorders>
            <w:noWrap/>
            <w:vAlign w:val="center"/>
            <w:hideMark/>
          </w:tcPr>
          <w:p w14:paraId="3A193138" w14:textId="77777777" w:rsidR="00330690" w:rsidRPr="00690BB1" w:rsidRDefault="00330690" w:rsidP="00690BB1">
            <w:pPr>
              <w:spacing w:before="0" w:after="0" w:line="240" w:lineRule="auto"/>
              <w:jc w:val="right"/>
              <w:rPr>
                <w:rFonts w:ascii="Arial" w:eastAsia="Times New Roman" w:hAnsi="Arial" w:cs="Arial"/>
                <w:color w:val="000000"/>
                <w:sz w:val="20"/>
                <w:szCs w:val="20"/>
              </w:rPr>
            </w:pPr>
            <w:r w:rsidRPr="00690BB1">
              <w:rPr>
                <w:rFonts w:ascii="Arial" w:eastAsia="Times New Roman" w:hAnsi="Arial" w:cs="Arial"/>
                <w:color w:val="000000"/>
                <w:sz w:val="20"/>
                <w:szCs w:val="20"/>
              </w:rPr>
              <w:t>17.7%</w:t>
            </w:r>
          </w:p>
        </w:tc>
        <w:tc>
          <w:tcPr>
            <w:tcW w:w="2070" w:type="dxa"/>
            <w:tcBorders>
              <w:bottom w:val="single" w:sz="8" w:space="0" w:color="auto"/>
            </w:tcBorders>
            <w:noWrap/>
            <w:vAlign w:val="center"/>
            <w:hideMark/>
          </w:tcPr>
          <w:p w14:paraId="7381F59A" w14:textId="77777777" w:rsidR="00330690" w:rsidRPr="00690BB1" w:rsidRDefault="00330690" w:rsidP="00690BB1">
            <w:pPr>
              <w:spacing w:before="0" w:after="0" w:line="240" w:lineRule="auto"/>
              <w:jc w:val="right"/>
              <w:rPr>
                <w:rFonts w:ascii="Arial" w:eastAsia="Times New Roman" w:hAnsi="Arial" w:cs="Arial"/>
                <w:color w:val="000000"/>
                <w:sz w:val="20"/>
                <w:szCs w:val="20"/>
              </w:rPr>
            </w:pPr>
            <w:r w:rsidRPr="00690BB1">
              <w:rPr>
                <w:rFonts w:ascii="Arial" w:eastAsia="Times New Roman" w:hAnsi="Arial" w:cs="Arial"/>
                <w:color w:val="000000"/>
                <w:sz w:val="20"/>
                <w:szCs w:val="20"/>
              </w:rPr>
              <w:t>14,247,488</w:t>
            </w:r>
          </w:p>
        </w:tc>
        <w:tc>
          <w:tcPr>
            <w:tcW w:w="1530" w:type="dxa"/>
            <w:tcBorders>
              <w:bottom w:val="single" w:sz="8" w:space="0" w:color="auto"/>
            </w:tcBorders>
            <w:noWrap/>
            <w:hideMark/>
          </w:tcPr>
          <w:p w14:paraId="5BB800FE" w14:textId="2A009308" w:rsidR="00330690" w:rsidRPr="00690BB1" w:rsidRDefault="00330690" w:rsidP="00690BB1">
            <w:pPr>
              <w:spacing w:before="0" w:after="0" w:line="240" w:lineRule="auto"/>
              <w:jc w:val="right"/>
              <w:rPr>
                <w:rFonts w:ascii="Arial" w:eastAsia="Times New Roman" w:hAnsi="Arial" w:cs="Arial"/>
                <w:color w:val="000000"/>
                <w:sz w:val="20"/>
                <w:szCs w:val="20"/>
              </w:rPr>
            </w:pPr>
            <w:r w:rsidRPr="00690BB1">
              <w:rPr>
                <w:rFonts w:ascii="Arial" w:eastAsia="Times New Roman" w:hAnsi="Arial" w:cs="Arial"/>
                <w:color w:val="000000"/>
                <w:sz w:val="20"/>
                <w:szCs w:val="20"/>
              </w:rPr>
              <w:t>2,236,856</w:t>
            </w:r>
          </w:p>
        </w:tc>
        <w:tc>
          <w:tcPr>
            <w:tcW w:w="1530" w:type="dxa"/>
            <w:tcBorders>
              <w:bottom w:val="single" w:sz="8" w:space="0" w:color="auto"/>
              <w:right w:val="single" w:sz="8" w:space="0" w:color="auto"/>
            </w:tcBorders>
            <w:noWrap/>
            <w:hideMark/>
          </w:tcPr>
          <w:p w14:paraId="3D0AE76A" w14:textId="1DC19E4B" w:rsidR="00330690" w:rsidRPr="00690BB1" w:rsidRDefault="00330690" w:rsidP="00690BB1">
            <w:pPr>
              <w:spacing w:before="0" w:after="0" w:line="240" w:lineRule="auto"/>
              <w:jc w:val="right"/>
              <w:rPr>
                <w:rFonts w:ascii="Arial" w:eastAsia="Times New Roman" w:hAnsi="Arial" w:cs="Arial"/>
                <w:color w:val="000000"/>
                <w:sz w:val="20"/>
                <w:szCs w:val="20"/>
              </w:rPr>
            </w:pPr>
            <w:r w:rsidRPr="00690BB1">
              <w:rPr>
                <w:rFonts w:ascii="Arial" w:eastAsia="Times New Roman" w:hAnsi="Arial" w:cs="Arial"/>
                <w:color w:val="000000"/>
                <w:sz w:val="20"/>
                <w:szCs w:val="20"/>
              </w:rPr>
              <w:t>8,135,316</w:t>
            </w:r>
          </w:p>
        </w:tc>
      </w:tr>
      <w:tr w:rsidR="00690BB1" w:rsidRPr="00690BB1" w14:paraId="763BF769" w14:textId="77777777" w:rsidTr="00330690">
        <w:trPr>
          <w:trHeight w:val="300"/>
        </w:trPr>
        <w:tc>
          <w:tcPr>
            <w:tcW w:w="8820" w:type="dxa"/>
            <w:gridSpan w:val="5"/>
            <w:vMerge w:val="restart"/>
            <w:tcBorders>
              <w:top w:val="single" w:sz="8" w:space="0" w:color="auto"/>
            </w:tcBorders>
            <w:vAlign w:val="center"/>
            <w:hideMark/>
          </w:tcPr>
          <w:p w14:paraId="35617115" w14:textId="01F11FCD" w:rsidR="00690BB1" w:rsidRPr="00690BB1" w:rsidRDefault="00690BB1" w:rsidP="00690BB1">
            <w:pPr>
              <w:spacing w:before="0" w:after="0" w:line="240" w:lineRule="auto"/>
              <w:jc w:val="center"/>
              <w:rPr>
                <w:rFonts w:ascii="Arial" w:eastAsia="Times New Roman" w:hAnsi="Arial" w:cs="Arial"/>
                <w:color w:val="000000"/>
                <w:sz w:val="20"/>
                <w:szCs w:val="20"/>
              </w:rPr>
            </w:pPr>
            <w:r w:rsidRPr="00690BB1">
              <w:rPr>
                <w:rFonts w:ascii="Arial" w:eastAsia="Times New Roman" w:hAnsi="Arial" w:cs="Arial"/>
                <w:color w:val="000000"/>
                <w:sz w:val="20"/>
                <w:szCs w:val="20"/>
              </w:rPr>
              <w:t xml:space="preserve">      *Number of persons in the United States in 2010, 50-75 years of age, was 80,494,283.</w:t>
            </w:r>
          </w:p>
        </w:tc>
      </w:tr>
      <w:tr w:rsidR="00690BB1" w:rsidRPr="00690BB1" w14:paraId="1A6CB3E5" w14:textId="77777777" w:rsidTr="00330690">
        <w:trPr>
          <w:trHeight w:val="300"/>
        </w:trPr>
        <w:tc>
          <w:tcPr>
            <w:tcW w:w="8820" w:type="dxa"/>
            <w:gridSpan w:val="5"/>
            <w:vMerge/>
            <w:hideMark/>
          </w:tcPr>
          <w:p w14:paraId="758F6D9A" w14:textId="77777777" w:rsidR="00690BB1" w:rsidRPr="00690BB1" w:rsidRDefault="00690BB1" w:rsidP="00690BB1">
            <w:pPr>
              <w:spacing w:before="0" w:after="0" w:line="240" w:lineRule="auto"/>
              <w:jc w:val="left"/>
              <w:rPr>
                <w:rFonts w:ascii="Arial" w:eastAsia="Times New Roman" w:hAnsi="Arial" w:cs="Arial"/>
                <w:color w:val="000000"/>
                <w:sz w:val="20"/>
                <w:szCs w:val="20"/>
              </w:rPr>
            </w:pPr>
          </w:p>
        </w:tc>
      </w:tr>
    </w:tbl>
    <w:p w14:paraId="0C28C5C4" w14:textId="4C4FBF5A" w:rsidR="00057D1D" w:rsidRDefault="003143A2" w:rsidP="00330690">
      <w:pPr>
        <w:spacing w:after="240"/>
      </w:pPr>
      <w:r>
        <w:rPr>
          <w:b/>
        </w:rPr>
        <w:t>Table 2.</w:t>
      </w:r>
      <w:r w:rsidRPr="00330690">
        <w:rPr>
          <w:b/>
        </w:rPr>
        <w:t xml:space="preserve"> </w:t>
      </w:r>
      <w:r>
        <w:rPr>
          <w:b/>
        </w:rPr>
        <w:t>Estimated performance on average risk population.</w:t>
      </w:r>
      <w:r w:rsidRPr="00330690">
        <w:t xml:space="preserve"> </w:t>
      </w:r>
      <w:r>
        <w:t>Number of true positives identified through FIT and MMT in the United States in adults 50-75 years of age, based on published estimates o</w:t>
      </w:r>
      <w:r w:rsidR="00057D1D">
        <w:t>f CRC prevalence.</w:t>
      </w:r>
      <w:del w:id="69" w:author="NTB" w:date="2016-01-20T20:28:00Z">
        <w:r w:rsidR="006C5A11">
          <w:delText xml:space="preserve"> Far right column shows percentage of true positives identified among individuals with a negative FIT result.</w:delText>
        </w:r>
      </w:del>
      <w:ins w:id="70" w:author="NTB" w:date="2016-01-20T20:28:00Z">
        <w:r w:rsidR="00057D1D">
          <w:br w:type="page"/>
        </w:r>
      </w:ins>
    </w:p>
    <w:p w14:paraId="0EE0C9EF" w14:textId="77777777" w:rsidR="002D1C67" w:rsidRDefault="003143A2" w:rsidP="00330690">
      <w:pPr>
        <w:pStyle w:val="Heading3"/>
        <w:spacing w:before="180" w:after="240"/>
      </w:pPr>
      <w:bookmarkStart w:id="71" w:name="additional-files"/>
      <w:bookmarkEnd w:id="71"/>
      <w:r>
        <w:lastRenderedPageBreak/>
        <w:t>Additional Files</w:t>
      </w:r>
    </w:p>
    <w:p w14:paraId="60AF7F42" w14:textId="10FFE034" w:rsidR="002D1C67" w:rsidRDefault="003143A2" w:rsidP="00330690">
      <w:pPr>
        <w:spacing w:after="240"/>
      </w:pPr>
      <w:r>
        <w:rPr>
          <w:b/>
        </w:rPr>
        <w:t>Additional file 1: Figure S1. Random forest feature selection for detecting adenomas.</w:t>
      </w:r>
      <w:r>
        <w:t xml:space="preserve"> (A) Change in AUC with varying number of variables in the random forest model. The model with the highest AUC contained 22 OTUs. (B) Importance of each OTU in the model as measured by mean decrease accuracy when the OTU is removed from the model. (C) Relative abundance of the most </w:t>
      </w:r>
      <w:r>
        <w:t>discriminatory</w:t>
      </w:r>
      <w:r>
        <w:t xml:space="preserve"> OTUs in </w:t>
      </w:r>
      <w:del w:id="72" w:author="NTB" w:date="2016-01-20T20:28:00Z">
        <w:r w:rsidR="006C5A11">
          <w:delText>cancer</w:delText>
        </w:r>
      </w:del>
      <w:ins w:id="73" w:author="NTB" w:date="2016-01-20T20:28:00Z">
        <w:r>
          <w:t>adenoma</w:t>
        </w:r>
      </w:ins>
      <w:r>
        <w:t xml:space="preserve"> and normal samples.</w:t>
      </w:r>
    </w:p>
    <w:p w14:paraId="47B1F1F9" w14:textId="5D2A9CA5" w:rsidR="002D1C67" w:rsidRDefault="003143A2" w:rsidP="00330690">
      <w:pPr>
        <w:spacing w:after="240"/>
      </w:pPr>
      <w:r>
        <w:rPr>
          <w:b/>
        </w:rPr>
        <w:t>Additional file 2: Figure S2. Random forest feature selection for detecting cancers.</w:t>
      </w:r>
      <w:r>
        <w:t xml:space="preserve"> (A) Change in AUC with varying number of variables in the random forest model. The model with the highest AUC contained 34 OTUs. (B) Importance of each OTU in the model as measured by mean decrease accuracy when the OTU is removed from the model. (C) Relative abundance of the most </w:t>
      </w:r>
      <w:r>
        <w:t>discriminatory</w:t>
      </w:r>
      <w:r>
        <w:t xml:space="preserve"> OTUs in cancer and normal samples.</w:t>
      </w:r>
    </w:p>
    <w:p w14:paraId="109CC5FC" w14:textId="77777777" w:rsidR="002D1C67" w:rsidRDefault="003143A2" w:rsidP="00330690">
      <w:pPr>
        <w:spacing w:after="240"/>
      </w:pPr>
      <w:r>
        <w:rPr>
          <w:b/>
        </w:rPr>
        <w:t>Additional file 3: Figure S3. Bacterial OTUs in MMT.</w:t>
      </w:r>
      <w:r>
        <w:t xml:space="preserve"> (left) Importance of each OTU used in the MMT as measured by the mean decrease in the Gini index when the OTU is removed from the model. (right) Stripchart of the relative abundances of each OTU in the MMT with black lines at the medians.</w:t>
      </w:r>
    </w:p>
    <w:p w14:paraId="696416EE" w14:textId="77777777" w:rsidR="002D1C67" w:rsidRDefault="003143A2" w:rsidP="00690BB1">
      <w:pPr>
        <w:spacing w:after="240"/>
      </w:pPr>
      <w:r>
        <w:rPr>
          <w:b/>
        </w:rPr>
        <w:t>Additional file 4: Figure S4. MMT performance by sex.</w:t>
      </w:r>
      <w:r>
        <w:t xml:space="preserve"> ROC curves (left) and stripchart (right) of MMT results separated by sex.</w:t>
      </w:r>
    </w:p>
    <w:sectPr w:rsidR="002D1C67" w:rsidSect="003143A2">
      <w:footerReference w:type="even" r:id="rId14"/>
      <w:footerReference w:type="default" r:id="rId15"/>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A113AE" w14:textId="77777777" w:rsidR="00330690" w:rsidRDefault="00330690">
      <w:pPr>
        <w:spacing w:before="0" w:after="0" w:line="240" w:lineRule="auto"/>
      </w:pPr>
      <w:r>
        <w:separator/>
      </w:r>
    </w:p>
  </w:endnote>
  <w:endnote w:type="continuationSeparator" w:id="0">
    <w:p w14:paraId="118E9E0E" w14:textId="77777777" w:rsidR="00330690" w:rsidRDefault="00330690">
      <w:pPr>
        <w:spacing w:before="0" w:after="0" w:line="240" w:lineRule="auto"/>
      </w:pPr>
      <w:r>
        <w:continuationSeparator/>
      </w:r>
    </w:p>
  </w:endnote>
  <w:endnote w:type="continuationNotice" w:id="1">
    <w:p w14:paraId="2139E7DB" w14:textId="77777777" w:rsidR="00330690" w:rsidRDefault="0033069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B4945" w14:textId="77777777" w:rsidR="003143A2" w:rsidRDefault="003143A2" w:rsidP="003143A2">
    <w:pPr>
      <w:pStyle w:val="Footer"/>
      <w:framePr w:wrap="around" w:vAnchor="text" w:hAnchor="margin" w:xAlign="center" w:y="1"/>
      <w:rPr>
        <w:ins w:id="74" w:author="NTB" w:date="2016-01-20T20:28:00Z"/>
        <w:rStyle w:val="PageNumber"/>
      </w:rPr>
    </w:pPr>
    <w:ins w:id="75" w:author="NTB" w:date="2016-01-20T20:28:00Z">
      <w:r>
        <w:rPr>
          <w:rStyle w:val="PageNumber"/>
        </w:rPr>
        <w:fldChar w:fldCharType="begin"/>
      </w:r>
      <w:r>
        <w:rPr>
          <w:rStyle w:val="PageNumber"/>
        </w:rPr>
        <w:instrText xml:space="preserve">PAGE  </w:instrText>
      </w:r>
      <w:r>
        <w:rPr>
          <w:rStyle w:val="PageNumber"/>
        </w:rPr>
        <w:fldChar w:fldCharType="end"/>
      </w:r>
    </w:ins>
  </w:p>
  <w:p w14:paraId="4156CF9B" w14:textId="77777777" w:rsidR="003143A2" w:rsidRDefault="003143A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A58888" w14:textId="77777777" w:rsidR="003143A2" w:rsidRDefault="003143A2" w:rsidP="003143A2">
    <w:pPr>
      <w:pStyle w:val="Footer"/>
      <w:framePr w:wrap="around" w:vAnchor="text" w:hAnchor="margin" w:xAlign="center" w:y="1"/>
      <w:rPr>
        <w:ins w:id="76" w:author="NTB" w:date="2016-01-20T20:28:00Z"/>
        <w:rStyle w:val="PageNumber"/>
      </w:rPr>
    </w:pPr>
    <w:ins w:id="77" w:author="NTB" w:date="2016-01-20T20:28:00Z">
      <w:r>
        <w:rPr>
          <w:rStyle w:val="PageNumber"/>
        </w:rPr>
        <w:fldChar w:fldCharType="begin"/>
      </w:r>
      <w:r>
        <w:rPr>
          <w:rStyle w:val="PageNumber"/>
        </w:rPr>
        <w:instrText xml:space="preserve">PAGE  </w:instrText>
      </w:r>
      <w:r>
        <w:rPr>
          <w:rStyle w:val="PageNumber"/>
        </w:rPr>
        <w:fldChar w:fldCharType="separate"/>
      </w:r>
    </w:ins>
    <w:r w:rsidR="00330690">
      <w:rPr>
        <w:rStyle w:val="PageNumber"/>
        <w:noProof/>
      </w:rPr>
      <w:t>2</w:t>
    </w:r>
    <w:ins w:id="78" w:author="NTB" w:date="2016-01-20T20:28:00Z">
      <w:r>
        <w:rPr>
          <w:rStyle w:val="PageNumber"/>
        </w:rPr>
        <w:fldChar w:fldCharType="end"/>
      </w:r>
    </w:ins>
  </w:p>
  <w:p w14:paraId="14737EAF" w14:textId="77777777" w:rsidR="003143A2" w:rsidRDefault="003143A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79F1E4" w14:textId="77777777" w:rsidR="00330690" w:rsidRDefault="00330690">
      <w:pPr>
        <w:spacing w:before="0" w:after="0" w:line="240" w:lineRule="auto"/>
      </w:pPr>
      <w:r>
        <w:separator/>
      </w:r>
    </w:p>
  </w:footnote>
  <w:footnote w:type="continuationSeparator" w:id="0">
    <w:p w14:paraId="55B18572" w14:textId="77777777" w:rsidR="00330690" w:rsidRDefault="00330690">
      <w:pPr>
        <w:spacing w:before="0" w:after="0" w:line="240" w:lineRule="auto"/>
      </w:pPr>
      <w:r>
        <w:continuationSeparator/>
      </w:r>
    </w:p>
  </w:footnote>
  <w:footnote w:type="continuationNotice" w:id="1">
    <w:p w14:paraId="7D21BA7C" w14:textId="77777777" w:rsidR="00330690" w:rsidRDefault="00330690">
      <w:pPr>
        <w:spacing w:before="0"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3A1DF02"/>
    <w:multiLevelType w:val="multilevel"/>
    <w:tmpl w:val="442837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11C073F"/>
    <w:multiLevelType w:val="multilevel"/>
    <w:tmpl w:val="469E80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57D1D"/>
    <w:rsid w:val="000B3A47"/>
    <w:rsid w:val="000D3CD9"/>
    <w:rsid w:val="002033FD"/>
    <w:rsid w:val="002D1C67"/>
    <w:rsid w:val="003143A2"/>
    <w:rsid w:val="00330690"/>
    <w:rsid w:val="00343AFC"/>
    <w:rsid w:val="003B6BD3"/>
    <w:rsid w:val="00492795"/>
    <w:rsid w:val="004E29B3"/>
    <w:rsid w:val="00553507"/>
    <w:rsid w:val="00590D07"/>
    <w:rsid w:val="005D7571"/>
    <w:rsid w:val="00690BB1"/>
    <w:rsid w:val="006A4D51"/>
    <w:rsid w:val="006C5A11"/>
    <w:rsid w:val="00784D58"/>
    <w:rsid w:val="008D6863"/>
    <w:rsid w:val="00A17132"/>
    <w:rsid w:val="00B86B75"/>
    <w:rsid w:val="00BC48D5"/>
    <w:rsid w:val="00C36279"/>
    <w:rsid w:val="00CD1017"/>
    <w:rsid w:val="00D75A4C"/>
    <w:rsid w:val="00DD4ED2"/>
    <w:rsid w:val="00E315A3"/>
    <w:rsid w:val="00FA077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306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Subtitle" w:qFormat="1"/>
    <w:lsdException w:name="Date" w:qFormat="1"/>
    <w:lsdException w:name="No List" w:uiPriority="99"/>
    <w:lsdException w:name="Bibliography" w:qFormat="1"/>
  </w:latentStyles>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rsid w:val="00330690"/>
    <w:pPr>
      <w:shd w:val="clear" w:color="auto" w:fill="F8F8F8"/>
      <w:wordWrap w:val="0"/>
    </w:pPr>
  </w:style>
  <w:style w:type="character" w:customStyle="1" w:styleId="KeywordTok2">
    <w:name w:val="KeywordTok"/>
    <w:basedOn w:val="VerbatimChar"/>
    <w:rsid w:val="00330690"/>
    <w:rPr>
      <w:rFonts w:ascii="Consolas" w:hAnsi="Consolas"/>
      <w:b/>
      <w:color w:val="204A87"/>
      <w:sz w:val="22"/>
      <w:shd w:val="clear" w:color="auto" w:fill="F8F8F8"/>
    </w:rPr>
  </w:style>
  <w:style w:type="character" w:customStyle="1" w:styleId="DataTypeTok2">
    <w:name w:val="DataTypeTok"/>
    <w:basedOn w:val="VerbatimChar"/>
    <w:rsid w:val="00330690"/>
    <w:rPr>
      <w:rFonts w:ascii="Consolas" w:hAnsi="Consolas"/>
      <w:color w:val="204A87"/>
      <w:sz w:val="22"/>
      <w:shd w:val="clear" w:color="auto" w:fill="F8F8F8"/>
    </w:rPr>
  </w:style>
  <w:style w:type="character" w:customStyle="1" w:styleId="DecValTok2">
    <w:name w:val="DecValTok"/>
    <w:basedOn w:val="VerbatimChar"/>
    <w:rsid w:val="00330690"/>
    <w:rPr>
      <w:rFonts w:ascii="Consolas" w:hAnsi="Consolas"/>
      <w:color w:val="0000CF"/>
      <w:sz w:val="22"/>
      <w:shd w:val="clear" w:color="auto" w:fill="F8F8F8"/>
    </w:rPr>
  </w:style>
  <w:style w:type="character" w:customStyle="1" w:styleId="BaseNTok2">
    <w:name w:val="BaseNTok"/>
    <w:basedOn w:val="VerbatimChar"/>
    <w:rsid w:val="00330690"/>
    <w:rPr>
      <w:rFonts w:ascii="Consolas" w:hAnsi="Consolas"/>
      <w:color w:val="0000CF"/>
      <w:sz w:val="22"/>
      <w:shd w:val="clear" w:color="auto" w:fill="F8F8F8"/>
    </w:rPr>
  </w:style>
  <w:style w:type="character" w:customStyle="1" w:styleId="FloatTok2">
    <w:name w:val="FloatTok"/>
    <w:basedOn w:val="VerbatimChar"/>
    <w:rsid w:val="00330690"/>
    <w:rPr>
      <w:rFonts w:ascii="Consolas" w:hAnsi="Consolas"/>
      <w:color w:val="0000CF"/>
      <w:sz w:val="22"/>
      <w:shd w:val="clear" w:color="auto" w:fill="F8F8F8"/>
    </w:rPr>
  </w:style>
  <w:style w:type="character" w:customStyle="1" w:styleId="CharTok2">
    <w:name w:val="CharTok"/>
    <w:basedOn w:val="VerbatimChar"/>
    <w:rsid w:val="00330690"/>
    <w:rPr>
      <w:rFonts w:ascii="Consolas" w:hAnsi="Consolas"/>
      <w:color w:val="4E9A06"/>
      <w:sz w:val="22"/>
      <w:shd w:val="clear" w:color="auto" w:fill="F8F8F8"/>
    </w:rPr>
  </w:style>
  <w:style w:type="character" w:customStyle="1" w:styleId="StringTok2">
    <w:name w:val="StringTok"/>
    <w:basedOn w:val="VerbatimChar"/>
    <w:rsid w:val="00330690"/>
    <w:rPr>
      <w:rFonts w:ascii="Consolas" w:hAnsi="Consolas"/>
      <w:color w:val="4E9A06"/>
      <w:sz w:val="22"/>
      <w:shd w:val="clear" w:color="auto" w:fill="F8F8F8"/>
    </w:rPr>
  </w:style>
  <w:style w:type="character" w:customStyle="1" w:styleId="CommentTok2">
    <w:name w:val="CommentTok"/>
    <w:basedOn w:val="VerbatimChar"/>
    <w:rsid w:val="00330690"/>
    <w:rPr>
      <w:rFonts w:ascii="Consolas" w:hAnsi="Consolas"/>
      <w:i/>
      <w:color w:val="8F5902"/>
      <w:sz w:val="22"/>
      <w:shd w:val="clear" w:color="auto" w:fill="F8F8F8"/>
    </w:rPr>
  </w:style>
  <w:style w:type="character" w:customStyle="1" w:styleId="OtherTok2">
    <w:name w:val="OtherTok"/>
    <w:basedOn w:val="VerbatimChar"/>
    <w:rsid w:val="00330690"/>
    <w:rPr>
      <w:rFonts w:ascii="Consolas" w:hAnsi="Consolas"/>
      <w:color w:val="8F5902"/>
      <w:sz w:val="22"/>
      <w:shd w:val="clear" w:color="auto" w:fill="F8F8F8"/>
    </w:rPr>
  </w:style>
  <w:style w:type="character" w:customStyle="1" w:styleId="AlertTok2">
    <w:name w:val="AlertTok"/>
    <w:basedOn w:val="VerbatimChar"/>
    <w:rsid w:val="00330690"/>
    <w:rPr>
      <w:rFonts w:ascii="Consolas" w:hAnsi="Consolas"/>
      <w:color w:val="EF2929"/>
      <w:sz w:val="22"/>
      <w:shd w:val="clear" w:color="auto" w:fill="F8F8F8"/>
    </w:rPr>
  </w:style>
  <w:style w:type="character" w:customStyle="1" w:styleId="FunctionTok2">
    <w:name w:val="FunctionTok"/>
    <w:basedOn w:val="VerbatimChar"/>
    <w:rsid w:val="00330690"/>
    <w:rPr>
      <w:rFonts w:ascii="Consolas" w:hAnsi="Consolas"/>
      <w:color w:val="000000"/>
      <w:sz w:val="22"/>
      <w:shd w:val="clear" w:color="auto" w:fill="F8F8F8"/>
    </w:rPr>
  </w:style>
  <w:style w:type="character" w:customStyle="1" w:styleId="RegionMarkerTok2">
    <w:name w:val="RegionMarkerTok"/>
    <w:basedOn w:val="VerbatimChar"/>
    <w:rsid w:val="00330690"/>
    <w:rPr>
      <w:rFonts w:ascii="Consolas" w:hAnsi="Consolas"/>
      <w:sz w:val="22"/>
      <w:shd w:val="clear" w:color="auto" w:fill="F8F8F8"/>
    </w:rPr>
  </w:style>
  <w:style w:type="character" w:customStyle="1" w:styleId="ErrorTok2">
    <w:name w:val="ErrorTok"/>
    <w:basedOn w:val="VerbatimChar"/>
    <w:rsid w:val="00330690"/>
    <w:rPr>
      <w:rFonts w:ascii="Consolas" w:hAnsi="Consolas"/>
      <w:b/>
      <w:sz w:val="22"/>
      <w:shd w:val="clear" w:color="auto" w:fill="F8F8F8"/>
    </w:rPr>
  </w:style>
  <w:style w:type="character" w:customStyle="1" w:styleId="NormalTok2">
    <w:name w:val="NormalTok"/>
    <w:basedOn w:val="VerbatimChar"/>
    <w:rsid w:val="00330690"/>
    <w:rPr>
      <w:rFonts w:ascii="Consolas" w:hAnsi="Consolas"/>
      <w:sz w:val="22"/>
      <w:shd w:val="clear" w:color="auto" w:fill="F8F8F8"/>
    </w:rPr>
  </w:style>
  <w:style w:type="paragraph" w:styleId="BalloonText">
    <w:name w:val="Balloon Text"/>
    <w:basedOn w:val="Normal"/>
    <w:link w:val="BalloonTextChar"/>
    <w:rsid w:val="003143A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3143A2"/>
    <w:rPr>
      <w:rFonts w:ascii="Lucida Grande" w:hAnsi="Lucida Grande" w:cs="Lucida Grande"/>
      <w:sz w:val="18"/>
      <w:szCs w:val="18"/>
    </w:rPr>
  </w:style>
  <w:style w:type="character" w:styleId="Hyperlink">
    <w:name w:val="Hyperlink"/>
    <w:basedOn w:val="DefaultParagraphFont"/>
    <w:rsid w:val="00CD1017"/>
    <w:rPr>
      <w:color w:val="0000FF" w:themeColor="hyperlink"/>
      <w:u w:val="single"/>
    </w:rPr>
  </w:style>
  <w:style w:type="table" w:styleId="TableGrid">
    <w:name w:val="Table Grid"/>
    <w:basedOn w:val="TableNormal"/>
    <w:rsid w:val="0033069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330690"/>
    <w:rPr>
      <w:color w:val="800080" w:themeColor="followedHyperlink"/>
      <w:u w:val="single"/>
    </w:rPr>
  </w:style>
  <w:style w:type="paragraph" w:styleId="Header">
    <w:name w:val="header"/>
    <w:basedOn w:val="Normal"/>
    <w:link w:val="HeaderChar"/>
    <w:rsid w:val="00330690"/>
    <w:pPr>
      <w:tabs>
        <w:tab w:val="center" w:pos="4320"/>
        <w:tab w:val="right" w:pos="8640"/>
      </w:tabs>
      <w:spacing w:before="0" w:after="0" w:line="240" w:lineRule="auto"/>
    </w:pPr>
  </w:style>
  <w:style w:type="character" w:customStyle="1" w:styleId="HeaderChar">
    <w:name w:val="Header Char"/>
    <w:basedOn w:val="DefaultParagraphFont"/>
    <w:link w:val="Header"/>
    <w:rsid w:val="0033069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Subtitle" w:qFormat="1"/>
    <w:lsdException w:name="Date" w:qFormat="1"/>
    <w:lsdException w:name="No List" w:uiPriority="99"/>
    <w:lsdException w:name="Bibliography" w:qFormat="1"/>
  </w:latentStyles>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rsid w:val="00330690"/>
    <w:pPr>
      <w:shd w:val="clear" w:color="auto" w:fill="F8F8F8"/>
      <w:wordWrap w:val="0"/>
    </w:pPr>
  </w:style>
  <w:style w:type="character" w:customStyle="1" w:styleId="KeywordTok2">
    <w:name w:val="KeywordTok"/>
    <w:basedOn w:val="VerbatimChar"/>
    <w:rsid w:val="00330690"/>
    <w:rPr>
      <w:rFonts w:ascii="Consolas" w:hAnsi="Consolas"/>
      <w:b/>
      <w:color w:val="204A87"/>
      <w:sz w:val="22"/>
      <w:shd w:val="clear" w:color="auto" w:fill="F8F8F8"/>
    </w:rPr>
  </w:style>
  <w:style w:type="character" w:customStyle="1" w:styleId="DataTypeTok2">
    <w:name w:val="DataTypeTok"/>
    <w:basedOn w:val="VerbatimChar"/>
    <w:rsid w:val="00330690"/>
    <w:rPr>
      <w:rFonts w:ascii="Consolas" w:hAnsi="Consolas"/>
      <w:color w:val="204A87"/>
      <w:sz w:val="22"/>
      <w:shd w:val="clear" w:color="auto" w:fill="F8F8F8"/>
    </w:rPr>
  </w:style>
  <w:style w:type="character" w:customStyle="1" w:styleId="DecValTok2">
    <w:name w:val="DecValTok"/>
    <w:basedOn w:val="VerbatimChar"/>
    <w:rsid w:val="00330690"/>
    <w:rPr>
      <w:rFonts w:ascii="Consolas" w:hAnsi="Consolas"/>
      <w:color w:val="0000CF"/>
      <w:sz w:val="22"/>
      <w:shd w:val="clear" w:color="auto" w:fill="F8F8F8"/>
    </w:rPr>
  </w:style>
  <w:style w:type="character" w:customStyle="1" w:styleId="BaseNTok2">
    <w:name w:val="BaseNTok"/>
    <w:basedOn w:val="VerbatimChar"/>
    <w:rsid w:val="00330690"/>
    <w:rPr>
      <w:rFonts w:ascii="Consolas" w:hAnsi="Consolas"/>
      <w:color w:val="0000CF"/>
      <w:sz w:val="22"/>
      <w:shd w:val="clear" w:color="auto" w:fill="F8F8F8"/>
    </w:rPr>
  </w:style>
  <w:style w:type="character" w:customStyle="1" w:styleId="FloatTok2">
    <w:name w:val="FloatTok"/>
    <w:basedOn w:val="VerbatimChar"/>
    <w:rsid w:val="00330690"/>
    <w:rPr>
      <w:rFonts w:ascii="Consolas" w:hAnsi="Consolas"/>
      <w:color w:val="0000CF"/>
      <w:sz w:val="22"/>
      <w:shd w:val="clear" w:color="auto" w:fill="F8F8F8"/>
    </w:rPr>
  </w:style>
  <w:style w:type="character" w:customStyle="1" w:styleId="CharTok2">
    <w:name w:val="CharTok"/>
    <w:basedOn w:val="VerbatimChar"/>
    <w:rsid w:val="00330690"/>
    <w:rPr>
      <w:rFonts w:ascii="Consolas" w:hAnsi="Consolas"/>
      <w:color w:val="4E9A06"/>
      <w:sz w:val="22"/>
      <w:shd w:val="clear" w:color="auto" w:fill="F8F8F8"/>
    </w:rPr>
  </w:style>
  <w:style w:type="character" w:customStyle="1" w:styleId="StringTok2">
    <w:name w:val="StringTok"/>
    <w:basedOn w:val="VerbatimChar"/>
    <w:rsid w:val="00330690"/>
    <w:rPr>
      <w:rFonts w:ascii="Consolas" w:hAnsi="Consolas"/>
      <w:color w:val="4E9A06"/>
      <w:sz w:val="22"/>
      <w:shd w:val="clear" w:color="auto" w:fill="F8F8F8"/>
    </w:rPr>
  </w:style>
  <w:style w:type="character" w:customStyle="1" w:styleId="CommentTok2">
    <w:name w:val="CommentTok"/>
    <w:basedOn w:val="VerbatimChar"/>
    <w:rsid w:val="00330690"/>
    <w:rPr>
      <w:rFonts w:ascii="Consolas" w:hAnsi="Consolas"/>
      <w:i/>
      <w:color w:val="8F5902"/>
      <w:sz w:val="22"/>
      <w:shd w:val="clear" w:color="auto" w:fill="F8F8F8"/>
    </w:rPr>
  </w:style>
  <w:style w:type="character" w:customStyle="1" w:styleId="OtherTok2">
    <w:name w:val="OtherTok"/>
    <w:basedOn w:val="VerbatimChar"/>
    <w:rsid w:val="00330690"/>
    <w:rPr>
      <w:rFonts w:ascii="Consolas" w:hAnsi="Consolas"/>
      <w:color w:val="8F5902"/>
      <w:sz w:val="22"/>
      <w:shd w:val="clear" w:color="auto" w:fill="F8F8F8"/>
    </w:rPr>
  </w:style>
  <w:style w:type="character" w:customStyle="1" w:styleId="AlertTok2">
    <w:name w:val="AlertTok"/>
    <w:basedOn w:val="VerbatimChar"/>
    <w:rsid w:val="00330690"/>
    <w:rPr>
      <w:rFonts w:ascii="Consolas" w:hAnsi="Consolas"/>
      <w:color w:val="EF2929"/>
      <w:sz w:val="22"/>
      <w:shd w:val="clear" w:color="auto" w:fill="F8F8F8"/>
    </w:rPr>
  </w:style>
  <w:style w:type="character" w:customStyle="1" w:styleId="FunctionTok2">
    <w:name w:val="FunctionTok"/>
    <w:basedOn w:val="VerbatimChar"/>
    <w:rsid w:val="00330690"/>
    <w:rPr>
      <w:rFonts w:ascii="Consolas" w:hAnsi="Consolas"/>
      <w:color w:val="000000"/>
      <w:sz w:val="22"/>
      <w:shd w:val="clear" w:color="auto" w:fill="F8F8F8"/>
    </w:rPr>
  </w:style>
  <w:style w:type="character" w:customStyle="1" w:styleId="RegionMarkerTok2">
    <w:name w:val="RegionMarkerTok"/>
    <w:basedOn w:val="VerbatimChar"/>
    <w:rsid w:val="00330690"/>
    <w:rPr>
      <w:rFonts w:ascii="Consolas" w:hAnsi="Consolas"/>
      <w:sz w:val="22"/>
      <w:shd w:val="clear" w:color="auto" w:fill="F8F8F8"/>
    </w:rPr>
  </w:style>
  <w:style w:type="character" w:customStyle="1" w:styleId="ErrorTok2">
    <w:name w:val="ErrorTok"/>
    <w:basedOn w:val="VerbatimChar"/>
    <w:rsid w:val="00330690"/>
    <w:rPr>
      <w:rFonts w:ascii="Consolas" w:hAnsi="Consolas"/>
      <w:b/>
      <w:sz w:val="22"/>
      <w:shd w:val="clear" w:color="auto" w:fill="F8F8F8"/>
    </w:rPr>
  </w:style>
  <w:style w:type="character" w:customStyle="1" w:styleId="NormalTok2">
    <w:name w:val="NormalTok"/>
    <w:basedOn w:val="VerbatimChar"/>
    <w:rsid w:val="00330690"/>
    <w:rPr>
      <w:rFonts w:ascii="Consolas" w:hAnsi="Consolas"/>
      <w:sz w:val="22"/>
      <w:shd w:val="clear" w:color="auto" w:fill="F8F8F8"/>
    </w:rPr>
  </w:style>
  <w:style w:type="paragraph" w:styleId="BalloonText">
    <w:name w:val="Balloon Text"/>
    <w:basedOn w:val="Normal"/>
    <w:link w:val="BalloonTextChar"/>
    <w:rsid w:val="003143A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3143A2"/>
    <w:rPr>
      <w:rFonts w:ascii="Lucida Grande" w:hAnsi="Lucida Grande" w:cs="Lucida Grande"/>
      <w:sz w:val="18"/>
      <w:szCs w:val="18"/>
    </w:rPr>
  </w:style>
  <w:style w:type="character" w:styleId="Hyperlink">
    <w:name w:val="Hyperlink"/>
    <w:basedOn w:val="DefaultParagraphFont"/>
    <w:rsid w:val="00CD1017"/>
    <w:rPr>
      <w:color w:val="0000FF" w:themeColor="hyperlink"/>
      <w:u w:val="single"/>
    </w:rPr>
  </w:style>
  <w:style w:type="table" w:styleId="TableGrid">
    <w:name w:val="Table Grid"/>
    <w:basedOn w:val="TableNormal"/>
    <w:rsid w:val="0033069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330690"/>
    <w:rPr>
      <w:color w:val="800080" w:themeColor="followedHyperlink"/>
      <w:u w:val="single"/>
    </w:rPr>
  </w:style>
  <w:style w:type="paragraph" w:styleId="Header">
    <w:name w:val="header"/>
    <w:basedOn w:val="Normal"/>
    <w:link w:val="HeaderChar"/>
    <w:rsid w:val="00330690"/>
    <w:pPr>
      <w:tabs>
        <w:tab w:val="center" w:pos="4320"/>
        <w:tab w:val="right" w:pos="8640"/>
      </w:tabs>
      <w:spacing w:before="0" w:after="0" w:line="240" w:lineRule="auto"/>
    </w:pPr>
  </w:style>
  <w:style w:type="character" w:customStyle="1" w:styleId="HeaderChar">
    <w:name w:val="Header Char"/>
    <w:basedOn w:val="DefaultParagraphFont"/>
    <w:link w:val="Header"/>
    <w:rsid w:val="00330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37025">
      <w:bodyDiv w:val="1"/>
      <w:marLeft w:val="0"/>
      <w:marRight w:val="0"/>
      <w:marTop w:val="0"/>
      <w:marBottom w:val="0"/>
      <w:divBdr>
        <w:top w:val="none" w:sz="0" w:space="0" w:color="auto"/>
        <w:left w:val="none" w:sz="0" w:space="0" w:color="auto"/>
        <w:bottom w:val="none" w:sz="0" w:space="0" w:color="auto"/>
        <w:right w:val="none" w:sz="0" w:space="0" w:color="auto"/>
      </w:divBdr>
    </w:div>
    <w:div w:id="537088842">
      <w:bodyDiv w:val="1"/>
      <w:marLeft w:val="0"/>
      <w:marRight w:val="0"/>
      <w:marTop w:val="0"/>
      <w:marBottom w:val="0"/>
      <w:divBdr>
        <w:top w:val="none" w:sz="0" w:space="0" w:color="auto"/>
        <w:left w:val="none" w:sz="0" w:space="0" w:color="auto"/>
        <w:bottom w:val="none" w:sz="0" w:space="0" w:color="auto"/>
        <w:right w:val="none" w:sz="0" w:space="0" w:color="auto"/>
      </w:divBdr>
    </w:div>
    <w:div w:id="638605929">
      <w:bodyDiv w:val="1"/>
      <w:marLeft w:val="0"/>
      <w:marRight w:val="0"/>
      <w:marTop w:val="0"/>
      <w:marBottom w:val="0"/>
      <w:divBdr>
        <w:top w:val="none" w:sz="0" w:space="0" w:color="auto"/>
        <w:left w:val="none" w:sz="0" w:space="0" w:color="auto"/>
        <w:bottom w:val="none" w:sz="0" w:space="0" w:color="auto"/>
        <w:right w:val="none" w:sz="0" w:space="0" w:color="auto"/>
      </w:divBdr>
    </w:div>
    <w:div w:id="698705006">
      <w:bodyDiv w:val="1"/>
      <w:marLeft w:val="0"/>
      <w:marRight w:val="0"/>
      <w:marTop w:val="0"/>
      <w:marBottom w:val="0"/>
      <w:divBdr>
        <w:top w:val="none" w:sz="0" w:space="0" w:color="auto"/>
        <w:left w:val="none" w:sz="0" w:space="0" w:color="auto"/>
        <w:bottom w:val="none" w:sz="0" w:space="0" w:color="auto"/>
        <w:right w:val="none" w:sz="0" w:space="0" w:color="auto"/>
      </w:divBdr>
    </w:div>
    <w:div w:id="756753292">
      <w:bodyDiv w:val="1"/>
      <w:marLeft w:val="0"/>
      <w:marRight w:val="0"/>
      <w:marTop w:val="0"/>
      <w:marBottom w:val="0"/>
      <w:divBdr>
        <w:top w:val="none" w:sz="0" w:space="0" w:color="auto"/>
        <w:left w:val="none" w:sz="0" w:space="0" w:color="auto"/>
        <w:bottom w:val="none" w:sz="0" w:space="0" w:color="auto"/>
        <w:right w:val="none" w:sz="0" w:space="0" w:color="auto"/>
      </w:divBdr>
    </w:div>
    <w:div w:id="1262374884">
      <w:bodyDiv w:val="1"/>
      <w:marLeft w:val="0"/>
      <w:marRight w:val="0"/>
      <w:marTop w:val="0"/>
      <w:marBottom w:val="0"/>
      <w:divBdr>
        <w:top w:val="none" w:sz="0" w:space="0" w:color="auto"/>
        <w:left w:val="none" w:sz="0" w:space="0" w:color="auto"/>
        <w:bottom w:val="none" w:sz="0" w:space="0" w:color="auto"/>
        <w:right w:val="none" w:sz="0" w:space="0" w:color="auto"/>
      </w:divBdr>
    </w:div>
    <w:div w:id="1282569176">
      <w:bodyDiv w:val="1"/>
      <w:marLeft w:val="0"/>
      <w:marRight w:val="0"/>
      <w:marTop w:val="0"/>
      <w:marBottom w:val="0"/>
      <w:divBdr>
        <w:top w:val="none" w:sz="0" w:space="0" w:color="auto"/>
        <w:left w:val="none" w:sz="0" w:space="0" w:color="auto"/>
        <w:bottom w:val="none" w:sz="0" w:space="0" w:color="auto"/>
        <w:right w:val="none" w:sz="0" w:space="0" w:color="auto"/>
      </w:divBdr>
    </w:div>
    <w:div w:id="1605452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aryroge@med.umich.edu" TargetMode="External"/><Relationship Id="rId12" Type="http://schemas.openxmlformats.org/officeDocument/2006/relationships/hyperlink" Target="mailto:pschloss@umich.edu" TargetMode="External"/><Relationship Id="rId13" Type="http://schemas.openxmlformats.org/officeDocument/2006/relationships/hyperlink" Target="http://www.github.com/SchlossLab/Baxter_glne007Modeling_2015"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ntbaxter@umich.edu" TargetMode="External"/><Relationship Id="rId10" Type="http://schemas.openxmlformats.org/officeDocument/2006/relationships/hyperlink" Target="mailto:mruffin@me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EE8AB-3767-0649-8261-E9C024B6B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27</Pages>
  <Words>6377</Words>
  <Characters>36351</Characters>
  <Application>Microsoft Macintosh Word</Application>
  <DocSecurity>0</DocSecurity>
  <Lines>302</Lines>
  <Paragraphs>85</Paragraphs>
  <ScaleCrop>false</ScaleCrop>
  <Company>University of Michigan Medical School</Company>
  <LinksUpToDate>false</LinksUpToDate>
  <CharactersWithSpaces>42643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Niel Baxter</dc:creator>
  <cp:lastModifiedBy>Niel Baxter</cp:lastModifiedBy>
  <cp:revision>1</cp:revision>
  <dcterms:created xsi:type="dcterms:W3CDTF">2016-01-21T01:09:00Z</dcterms:created>
  <dcterms:modified xsi:type="dcterms:W3CDTF">2016-01-21T01:40:00Z</dcterms:modified>
</cp:coreProperties>
</file>