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288C18" w14:textId="77777777" w:rsidR="00C5081C" w:rsidRPr="008E186F" w:rsidRDefault="00B30EE6">
      <w:pPr>
        <w:pStyle w:val="Title"/>
        <w:rPr>
          <w:rFonts w:ascii="Times" w:hAnsi="Times"/>
          <w:sz w:val="28"/>
          <w:szCs w:val="28"/>
        </w:rPr>
      </w:pPr>
      <w:r w:rsidRPr="008E186F">
        <w:rPr>
          <w:rFonts w:ascii="Times" w:hAnsi="Times"/>
          <w:sz w:val="28"/>
          <w:szCs w:val="28"/>
        </w:rPr>
        <w:t>Microbiota-based model improves the sensitivity for detecting colonic lesions</w:t>
      </w:r>
    </w:p>
    <w:p w14:paraId="36932F2A" w14:textId="77777777" w:rsidR="00C5081C" w:rsidRPr="008E186F" w:rsidRDefault="00923E31">
      <w:pPr>
        <w:rPr>
          <w:rFonts w:ascii="Times" w:hAnsi="Times"/>
        </w:rPr>
      </w:pPr>
      <w:r w:rsidRPr="008E186F">
        <w:rPr>
          <w:rFonts w:ascii="Times" w:hAnsi="Times"/>
          <w:b/>
        </w:rPr>
        <w:t xml:space="preserve">Authors: </w:t>
      </w:r>
      <w:r w:rsidR="00B30EE6" w:rsidRPr="008E186F">
        <w:rPr>
          <w:rFonts w:ascii="Times" w:hAnsi="Times"/>
        </w:rPr>
        <w:t>Nielson T. Baxter</w:t>
      </w:r>
      <w:r w:rsidR="00B30EE6" w:rsidRPr="008E186F">
        <w:rPr>
          <w:rFonts w:ascii="Times" w:hAnsi="Times"/>
          <w:vertAlign w:val="superscript"/>
        </w:rPr>
        <w:t>1</w:t>
      </w:r>
      <w:r w:rsidR="00B30EE6" w:rsidRPr="008E186F">
        <w:rPr>
          <w:rFonts w:ascii="Times" w:hAnsi="Times"/>
        </w:rPr>
        <w:t>, Mack T. Ruffin IV</w:t>
      </w:r>
      <w:r w:rsidR="00B30EE6" w:rsidRPr="008E186F">
        <w:rPr>
          <w:rFonts w:ascii="Times" w:hAnsi="Times"/>
          <w:vertAlign w:val="superscript"/>
        </w:rPr>
        <w:t>2</w:t>
      </w:r>
      <w:r w:rsidR="00B30EE6" w:rsidRPr="008E186F">
        <w:rPr>
          <w:rFonts w:ascii="Times" w:hAnsi="Times"/>
        </w:rPr>
        <w:t>, Mary A.M. Rogers</w:t>
      </w:r>
      <w:r w:rsidR="00B30EE6" w:rsidRPr="008E186F">
        <w:rPr>
          <w:rFonts w:ascii="Times" w:hAnsi="Times"/>
          <w:vertAlign w:val="superscript"/>
        </w:rPr>
        <w:t>3</w:t>
      </w:r>
      <w:r w:rsidR="00B30EE6" w:rsidRPr="008E186F">
        <w:rPr>
          <w:rFonts w:ascii="Times" w:hAnsi="Times"/>
        </w:rPr>
        <w:t>, and Patrick D. Schloss</w:t>
      </w:r>
      <w:r w:rsidR="00B30EE6" w:rsidRPr="008E186F">
        <w:rPr>
          <w:rFonts w:ascii="Times" w:hAnsi="Times"/>
          <w:vertAlign w:val="superscript"/>
        </w:rPr>
        <w:t>1*</w:t>
      </w:r>
    </w:p>
    <w:p w14:paraId="47852BCF" w14:textId="77777777" w:rsidR="00C5081C" w:rsidRPr="008E186F" w:rsidRDefault="00B30EE6" w:rsidP="00923E31">
      <w:pPr>
        <w:jc w:val="left"/>
        <w:rPr>
          <w:rFonts w:ascii="Times" w:hAnsi="Times"/>
        </w:rPr>
      </w:pPr>
      <w:r w:rsidRPr="008E186F">
        <w:rPr>
          <w:rFonts w:ascii="Times" w:hAnsi="Times"/>
          <w:b/>
        </w:rPr>
        <w:t>Affiliations:</w:t>
      </w:r>
      <w:r w:rsidRPr="008E186F">
        <w:rPr>
          <w:rFonts w:ascii="Times" w:hAnsi="Times"/>
        </w:rPr>
        <w:br/>
      </w:r>
      <w:r w:rsidRPr="008E186F">
        <w:rPr>
          <w:rFonts w:ascii="Times" w:hAnsi="Times"/>
          <w:vertAlign w:val="superscript"/>
        </w:rPr>
        <w:t>1</w:t>
      </w:r>
      <w:r w:rsidRPr="008E186F">
        <w:rPr>
          <w:rFonts w:ascii="Times" w:hAnsi="Times"/>
        </w:rPr>
        <w:t>Department of Microbiology and Immunology, University of Michigan, Ann Arbor, Michigan.</w:t>
      </w:r>
      <w:r w:rsidRPr="008E186F">
        <w:rPr>
          <w:rFonts w:ascii="Times" w:hAnsi="Times"/>
        </w:rPr>
        <w:br/>
      </w:r>
      <w:r w:rsidRPr="008E186F">
        <w:rPr>
          <w:rFonts w:ascii="Times" w:hAnsi="Times"/>
          <w:vertAlign w:val="superscript"/>
        </w:rPr>
        <w:t>2</w:t>
      </w:r>
      <w:r w:rsidRPr="008E186F">
        <w:rPr>
          <w:rFonts w:ascii="Times" w:hAnsi="Times"/>
        </w:rPr>
        <w:t>Department of Family Medicine, University of Michigan, Ann Arbor, Michigan.</w:t>
      </w:r>
      <w:r w:rsidRPr="008E186F">
        <w:rPr>
          <w:rFonts w:ascii="Times" w:hAnsi="Times"/>
        </w:rPr>
        <w:br/>
      </w:r>
      <w:r w:rsidRPr="008E186F">
        <w:rPr>
          <w:rFonts w:ascii="Times" w:hAnsi="Times"/>
          <w:vertAlign w:val="superscript"/>
        </w:rPr>
        <w:t>3</w:t>
      </w:r>
      <w:r w:rsidRPr="008E186F">
        <w:rPr>
          <w:rFonts w:ascii="Times" w:hAnsi="Times"/>
        </w:rPr>
        <w:t>Department of Internal Medicine, University of Michigan, Ann Arbor, Michigan.</w:t>
      </w:r>
      <w:r w:rsidRPr="008E186F">
        <w:rPr>
          <w:rFonts w:ascii="Times" w:hAnsi="Times"/>
        </w:rPr>
        <w:br/>
      </w:r>
      <w:r w:rsidRPr="008E186F">
        <w:rPr>
          <w:rFonts w:ascii="Times" w:hAnsi="Times"/>
          <w:vertAlign w:val="superscript"/>
        </w:rPr>
        <w:t>*</w:t>
      </w:r>
      <w:r w:rsidRPr="008E186F">
        <w:rPr>
          <w:rFonts w:ascii="Times" w:hAnsi="Times"/>
        </w:rPr>
        <w:t xml:space="preserve">To whom correspondence should be addressed: </w:t>
      </w:r>
      <w:hyperlink r:id="rId8">
        <w:r w:rsidRPr="008E186F">
          <w:rPr>
            <w:rStyle w:val="Link"/>
            <w:rFonts w:ascii="Times" w:hAnsi="Times"/>
          </w:rPr>
          <w:t>pschloss@umich.edu</w:t>
        </w:r>
      </w:hyperlink>
    </w:p>
    <w:p w14:paraId="5AEE7DF6" w14:textId="77777777" w:rsidR="00C5081C" w:rsidRPr="008E186F" w:rsidRDefault="00B30EE6">
      <w:pPr>
        <w:rPr>
          <w:rFonts w:ascii="Times" w:hAnsi="Times"/>
        </w:rPr>
      </w:pPr>
      <w:r w:rsidRPr="008E186F">
        <w:rPr>
          <w:rFonts w:ascii="Times" w:hAnsi="Times"/>
          <w:b/>
        </w:rPr>
        <w:t>One Sentence Summary:</w:t>
      </w:r>
      <w:r w:rsidRPr="008E186F">
        <w:rPr>
          <w:rFonts w:ascii="Times" w:hAnsi="Times"/>
        </w:rPr>
        <w:t xml:space="preserve"> A microbiota-based model complements the fecal immunochemcial test to improve the sensitivity for detecting colonic lesions.</w:t>
      </w:r>
    </w:p>
    <w:p w14:paraId="0A633770" w14:textId="77777777" w:rsidR="00C5081C" w:rsidRPr="008E186F" w:rsidRDefault="00B30EE6">
      <w:pPr>
        <w:rPr>
          <w:rFonts w:ascii="Times" w:hAnsi="Times"/>
        </w:rPr>
      </w:pPr>
      <w:r w:rsidRPr="008E186F">
        <w:rPr>
          <w:rFonts w:ascii="Times" w:hAnsi="Times"/>
          <w:b/>
        </w:rPr>
        <w:t>Abstract:</w:t>
      </w:r>
      <w:r w:rsidRPr="008E186F">
        <w:rPr>
          <w:rFonts w:ascii="Times" w:hAnsi="Times"/>
        </w:rPr>
        <w:t xml:space="preserve"> 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 These findings have been complemented by studies in human populations identifying shifts in the composition of the gut microbiota associated with the progression of colorectal cancer.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detected 75.0% and 15.7%, respectively. Of the colonic </w:t>
      </w:r>
      <w:r w:rsidRPr="008E186F">
        <w:rPr>
          <w:rFonts w:ascii="Times" w:hAnsi="Times"/>
        </w:rPr>
        <w:lastRenderedPageBreak/>
        <w:t>lesions missed by FIT, the model detected 80.0% of cancers and 49.1% of adenomas. These findings demonstrate the potential for microbiota analysis to complement existing screening methods to improve detection of colonic lesions.</w:t>
      </w:r>
    </w:p>
    <w:p w14:paraId="1B527AD6" w14:textId="77777777" w:rsidR="00C5081C" w:rsidRPr="008E186F" w:rsidRDefault="00B30EE6">
      <w:pPr>
        <w:pStyle w:val="Heading3"/>
        <w:rPr>
          <w:rFonts w:ascii="Times" w:hAnsi="Times"/>
        </w:rPr>
      </w:pPr>
      <w:bookmarkStart w:id="0" w:name="introduction"/>
      <w:bookmarkEnd w:id="0"/>
      <w:r w:rsidRPr="008E186F">
        <w:rPr>
          <w:rFonts w:ascii="Times" w:hAnsi="Times"/>
        </w:rPr>
        <w:t>Introduction</w:t>
      </w:r>
    </w:p>
    <w:p w14:paraId="463F3198" w14:textId="77777777" w:rsidR="00C5081C" w:rsidRPr="008E186F" w:rsidRDefault="00B30EE6">
      <w:pPr>
        <w:rPr>
          <w:rFonts w:ascii="Times" w:hAnsi="Times"/>
        </w:rPr>
      </w:pPr>
      <w:r w:rsidRPr="008E186F">
        <w:rPr>
          <w:rFonts w:ascii="Times" w:hAnsi="Times"/>
        </w:rPr>
        <w:t xml:space="preserve">Colorectal cancer mortality has steadily declined in recent decades, due in large part to increased screening </w:t>
      </w:r>
      <w:r w:rsidRPr="008E186F">
        <w:rPr>
          <w:rFonts w:ascii="Times" w:hAnsi="Times"/>
          <w:i/>
        </w:rPr>
        <w:t>(1)</w:t>
      </w:r>
      <w:r w:rsidRPr="008E186F">
        <w:rPr>
          <w:rFonts w:ascii="Times" w:hAnsi="Times"/>
        </w:rPr>
        <w:t xml:space="preserve">. Yet current screening tests, the fecal immunochemical test (FIT) and the multitarget DNA test, have a sensitivity of 7.6% and 17.2%, respectively, for detecting non-advanced adenoma – just the type of early lesion that screening is meant to identify </w:t>
      </w:r>
      <w:r w:rsidRPr="008E186F">
        <w:rPr>
          <w:rFonts w:ascii="Times" w:hAnsi="Times"/>
          <w:i/>
        </w:rPr>
        <w:t>(2)</w:t>
      </w:r>
      <w:r w:rsidRPr="008E186F">
        <w:rPr>
          <w:rFonts w:ascii="Times" w:hAnsi="Times"/>
        </w:rPr>
        <w:t xml:space="preserve">.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 </w:t>
      </w:r>
      <w:r w:rsidRPr="008E186F">
        <w:rPr>
          <w:rFonts w:ascii="Times" w:hAnsi="Times"/>
          <w:i/>
        </w:rPr>
        <w:t>(3)</w:t>
      </w:r>
      <w:r w:rsidRPr="008E186F">
        <w:rPr>
          <w:rFonts w:ascii="Times" w:hAnsi="Times"/>
        </w:rPr>
        <w:t xml:space="preserve">. Likewise the large disparity in screening rates between those with and without health insurance highlights the need for inexpensive screening methods </w:t>
      </w:r>
      <w:r w:rsidRPr="008E186F">
        <w:rPr>
          <w:rFonts w:ascii="Times" w:hAnsi="Times"/>
          <w:i/>
        </w:rPr>
        <w:t>(1, 4, 5)</w:t>
      </w:r>
      <w:r w:rsidRPr="008E186F">
        <w:rPr>
          <w:rFonts w:ascii="Times" w:hAnsi="Times"/>
        </w:rPr>
        <w:t xml:space="preserve">. Unfortunately cheaper, less invasive stool-based tests like guaic fecal occult blood test and FIT are unable to reliably detect adenomas </w:t>
      </w:r>
      <w:r w:rsidRPr="008E186F">
        <w:rPr>
          <w:rFonts w:ascii="Times" w:hAnsi="Times"/>
          <w:i/>
        </w:rPr>
        <w:t>(6)</w:t>
      </w:r>
      <w:r w:rsidRPr="008E186F">
        <w:rPr>
          <w:rFonts w:ascii="Times" w:hAnsi="Times"/>
        </w:rPr>
        <w:t xml:space="preserve">. The newly introduced stool DNA panel has improved accuracy compared to FIT, but is still limited in its ability to accurately detect adenomas </w:t>
      </w:r>
      <w:r w:rsidRPr="008E186F">
        <w:rPr>
          <w:rFonts w:ascii="Times" w:hAnsi="Times"/>
          <w:i/>
        </w:rPr>
        <w:t>(2)</w:t>
      </w:r>
      <w:r w:rsidRPr="008E186F">
        <w:rPr>
          <w:rFonts w:ascii="Times" w:hAnsi="Times"/>
        </w:rPr>
        <w:t>. Thus there is need for novel screening methods that are inexpensive and capable of detecting both cancer and adenomas.</w:t>
      </w:r>
    </w:p>
    <w:p w14:paraId="015E637F" w14:textId="77777777" w:rsidR="00C5081C" w:rsidRPr="008E186F" w:rsidRDefault="00B30EE6">
      <w:pPr>
        <w:rPr>
          <w:rFonts w:ascii="Times" w:hAnsi="Times"/>
        </w:rPr>
      </w:pPr>
      <w:r w:rsidRPr="008E186F">
        <w:rPr>
          <w:rFonts w:ascii="Times" w:hAnsi="Times"/>
        </w:rPr>
        <w:t xml:space="preserve">The gut microbiota, the collection of microorganisms that inhabit the gastrointestinal tract, are one potential source of biomarkers for detecting colonic lesions. Numerous studies have observed alterations in the gut bacterial communities of patients with CRC </w:t>
      </w:r>
      <w:r w:rsidRPr="008E186F">
        <w:rPr>
          <w:rFonts w:ascii="Times" w:hAnsi="Times"/>
          <w:i/>
        </w:rPr>
        <w:t>(7–11)</w:t>
      </w:r>
      <w:r w:rsidRPr="008E186F">
        <w:rPr>
          <w:rFonts w:ascii="Times" w:hAnsi="Times"/>
        </w:rPr>
        <w:t xml:space="preserve">. Experiments in animal models have demonstrated that such alterations have the potential to accelerate tumorigenesis </w:t>
      </w:r>
      <w:r w:rsidRPr="008E186F">
        <w:rPr>
          <w:rFonts w:ascii="Times" w:hAnsi="Times"/>
          <w:i/>
        </w:rPr>
        <w:t>(12)</w:t>
      </w:r>
      <w:r w:rsidRPr="008E186F">
        <w:rPr>
          <w:rFonts w:ascii="Times" w:hAnsi="Times"/>
        </w:rPr>
        <w:t xml:space="preserve">. Furthermore, several members of the gut microbiota have been shown to potentiate both the development and progression of CRC by a variety of mechanisms </w:t>
      </w:r>
      <w:r w:rsidRPr="008E186F">
        <w:rPr>
          <w:rFonts w:ascii="Times" w:hAnsi="Times"/>
          <w:i/>
        </w:rPr>
        <w:t>(13–15)</w:t>
      </w:r>
      <w:r w:rsidRPr="008E186F">
        <w:rPr>
          <w:rFonts w:ascii="Times" w:hAnsi="Times"/>
        </w:rPr>
        <w:t>.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14:paraId="1D1BB95C" w14:textId="77777777" w:rsidR="00C5081C" w:rsidRPr="008E186F" w:rsidRDefault="00B30EE6">
      <w:pPr>
        <w:rPr>
          <w:rFonts w:ascii="Times" w:hAnsi="Times"/>
        </w:rPr>
      </w:pPr>
      <w:r w:rsidRPr="008E186F">
        <w:rPr>
          <w:rFonts w:ascii="Times" w:hAnsi="Times"/>
        </w:rPr>
        <w:lastRenderedPageBreak/>
        <w:t xml:space="preserve">We and others have shown that statistical models that take into account the abundances of multiple bacterial species can be used to distinguish healthy individuals from those with CRC </w:t>
      </w:r>
      <w:r w:rsidRPr="008E186F">
        <w:rPr>
          <w:rFonts w:ascii="Times" w:hAnsi="Times"/>
          <w:i/>
        </w:rPr>
        <w:t>(16, 17)</w:t>
      </w:r>
      <w:r w:rsidRPr="008E186F">
        <w:rPr>
          <w:rFonts w:ascii="Times" w:hAnsi="Times"/>
        </w:rP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 </w:t>
      </w:r>
      <w:r w:rsidRPr="008E186F">
        <w:rPr>
          <w:rFonts w:ascii="Times" w:hAnsi="Times"/>
          <w:i/>
        </w:rPr>
        <w:t>(18)</w:t>
      </w:r>
      <w:r w:rsidRPr="008E186F">
        <w:rPr>
          <w:rFonts w:ascii="Times" w:hAnsi="Times"/>
        </w:rPr>
        <w:t>. By incorporating data on hemoglobin and bacterial abundances into a single model (labeled the Multitarget Microbiota Test or MMT), we were able to improve the sensitivity for adenomas and cancer compared to FIT alone.</w:t>
      </w:r>
    </w:p>
    <w:p w14:paraId="4BA2B712" w14:textId="77777777" w:rsidR="00C5081C" w:rsidRPr="008E186F" w:rsidRDefault="00B30EE6">
      <w:pPr>
        <w:pStyle w:val="Heading3"/>
        <w:rPr>
          <w:rFonts w:ascii="Times" w:hAnsi="Times"/>
        </w:rPr>
      </w:pPr>
      <w:bookmarkStart w:id="1" w:name="results"/>
      <w:bookmarkEnd w:id="1"/>
      <w:r w:rsidRPr="008E186F">
        <w:rPr>
          <w:rFonts w:ascii="Times" w:hAnsi="Times"/>
        </w:rPr>
        <w:t>Results</w:t>
      </w:r>
    </w:p>
    <w:p w14:paraId="4BCEA5FF" w14:textId="5CCDB5D6" w:rsidR="00DF31B2" w:rsidRDefault="00B30EE6" w:rsidP="00DF31B2">
      <w:pPr>
        <w:rPr>
          <w:rFonts w:ascii="Times" w:hAnsi="Times"/>
          <w:i/>
        </w:rPr>
      </w:pPr>
      <w:r w:rsidRPr="008E186F">
        <w:rPr>
          <w:rFonts w:ascii="Times" w:hAnsi="Times"/>
          <w:i/>
        </w:rPr>
        <w:t xml:space="preserve">Generating </w:t>
      </w:r>
      <w:r w:rsidR="00DF31B2">
        <w:rPr>
          <w:rFonts w:ascii="Times" w:hAnsi="Times"/>
          <w:i/>
        </w:rPr>
        <w:t>a microbiota-based model</w:t>
      </w:r>
      <w:r w:rsidRPr="008E186F">
        <w:rPr>
          <w:rFonts w:ascii="Times" w:hAnsi="Times"/>
          <w:i/>
        </w:rPr>
        <w:t>.</w:t>
      </w:r>
    </w:p>
    <w:p w14:paraId="69B6FEEF" w14:textId="670FFE3E" w:rsidR="00DF31B2" w:rsidRDefault="00B30EE6" w:rsidP="00DF31B2">
      <w:pPr>
        <w:rPr>
          <w:rFonts w:ascii="Times" w:hAnsi="Times"/>
        </w:rPr>
        <w:sectPr w:rsidR="00DF31B2" w:rsidSect="00B30EE6">
          <w:footerReference w:type="even" r:id="rId9"/>
          <w:footerReference w:type="default" r:id="rId10"/>
          <w:pgSz w:w="12240" w:h="15840"/>
          <w:pgMar w:top="864" w:right="864" w:bottom="864" w:left="1152" w:header="720" w:footer="720" w:gutter="0"/>
          <w:lnNumType w:countBy="1" w:restart="continuous"/>
          <w:cols w:space="720"/>
        </w:sectPr>
      </w:pPr>
      <w:r w:rsidRPr="008E186F">
        <w:rPr>
          <w:rFonts w:ascii="Times" w:hAnsi="Times"/>
        </w:rP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hemoglobin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MMT </w:t>
      </w:r>
      <w:r w:rsidRPr="008E186F">
        <w:rPr>
          <w:rFonts w:ascii="Times" w:hAnsi="Times"/>
          <w:i/>
        </w:rPr>
        <w:t>(19)</w:t>
      </w:r>
      <w:r w:rsidRPr="008E186F">
        <w:rPr>
          <w:rFonts w:ascii="Times" w:hAnsi="Times"/>
        </w:rPr>
        <w:t xml:space="preserve">. The optimal model combining hemoglobin results and the microbiota used 23 bacterial populations, or operational taxonomic units (OTUs) (Fig. S1). Of those OTUs, 16 were members of the Firmicutes phylum, including 3 from the Ruminococcaceae family and 10 from the Lachnospiraceae family, the predominant producers of butyrate in the gut </w:t>
      </w:r>
      <w:r w:rsidRPr="008E186F">
        <w:rPr>
          <w:rFonts w:ascii="Times" w:hAnsi="Times"/>
          <w:i/>
        </w:rPr>
        <w:t>(20)</w:t>
      </w:r>
      <w:r w:rsidRPr="008E186F">
        <w:rPr>
          <w:rFonts w:ascii="Times" w:hAnsi="Times"/>
        </w:rPr>
        <w:t xml:space="preserve"> (Fig. S2). Three OTUs were associated with the genus </w:t>
      </w:r>
      <w:r w:rsidRPr="008E186F">
        <w:rPr>
          <w:rFonts w:ascii="Times" w:hAnsi="Times"/>
          <w:i/>
        </w:rPr>
        <w:t>Bacteroides</w:t>
      </w:r>
      <w:r w:rsidRPr="008E186F">
        <w:rPr>
          <w:rFonts w:ascii="Times" w:hAnsi="Times"/>
        </w:rPr>
        <w:t xml:space="preserve">. The remaining OTUs were associated with </w:t>
      </w:r>
      <w:r w:rsidRPr="008E186F">
        <w:rPr>
          <w:rFonts w:ascii="Times" w:hAnsi="Times"/>
          <w:i/>
        </w:rPr>
        <w:t>Porphyromonas</w:t>
      </w:r>
      <w:r w:rsidRPr="008E186F">
        <w:rPr>
          <w:rFonts w:ascii="Times" w:hAnsi="Times"/>
        </w:rPr>
        <w:t xml:space="preserve">, </w:t>
      </w:r>
      <w:r w:rsidRPr="008E186F">
        <w:rPr>
          <w:rFonts w:ascii="Times" w:hAnsi="Times"/>
          <w:i/>
        </w:rPr>
        <w:t>Parabacteroides</w:t>
      </w:r>
      <w:r w:rsidRPr="008E186F">
        <w:rPr>
          <w:rFonts w:ascii="Times" w:hAnsi="Times"/>
        </w:rPr>
        <w:t xml:space="preserve">, </w:t>
      </w:r>
      <w:r w:rsidRPr="008E186F">
        <w:rPr>
          <w:rFonts w:ascii="Times" w:hAnsi="Times"/>
          <w:i/>
        </w:rPr>
        <w:t>Collinsella</w:t>
      </w:r>
      <w:r w:rsidRPr="008E186F">
        <w:rPr>
          <w:rFonts w:ascii="Times" w:hAnsi="Times"/>
        </w:rPr>
        <w:t xml:space="preserve">, and Enterobacteriaceae. The OTU associated with </w:t>
      </w:r>
      <w:r w:rsidRPr="008E186F">
        <w:rPr>
          <w:rFonts w:ascii="Times" w:hAnsi="Times"/>
          <w:i/>
        </w:rPr>
        <w:t>Porphyromonas</w:t>
      </w:r>
      <w:r w:rsidRPr="008E186F">
        <w:rPr>
          <w:rFonts w:ascii="Times" w:hAnsi="Times"/>
        </w:rPr>
        <w:t xml:space="preserve"> was most closely related to </w:t>
      </w:r>
      <w:r w:rsidRPr="008E186F">
        <w:rPr>
          <w:rFonts w:ascii="Times" w:hAnsi="Times"/>
          <w:i/>
        </w:rPr>
        <w:t>Porphyromonas asaccharolytica</w:t>
      </w:r>
      <w:r w:rsidRPr="008E186F">
        <w:rPr>
          <w:rFonts w:ascii="Times" w:hAnsi="Times"/>
        </w:rPr>
        <w:t xml:space="preserve">, which has been previously shown to be predictive of CRC </w:t>
      </w:r>
      <w:r w:rsidRPr="008E186F">
        <w:rPr>
          <w:rFonts w:ascii="Times" w:hAnsi="Times"/>
          <w:i/>
        </w:rPr>
        <w:t>(16, 21)</w:t>
      </w:r>
      <w:r w:rsidRPr="008E186F">
        <w:rPr>
          <w:rFonts w:ascii="Times" w:hAnsi="Times"/>
        </w:rPr>
        <w:t xml:space="preserve">. </w:t>
      </w:r>
      <w:r w:rsidRPr="008E186F">
        <w:rPr>
          <w:rFonts w:ascii="Times" w:hAnsi="Times"/>
        </w:rPr>
        <w:lastRenderedPageBreak/>
        <w:t>Like other studies</w:t>
      </w:r>
      <w:r w:rsidRPr="008E186F">
        <w:rPr>
          <w:rFonts w:ascii="Times" w:hAnsi="Times"/>
          <w:i/>
        </w:rPr>
        <w:t>(11, 16)</w:t>
      </w:r>
      <w:r w:rsidRPr="008E186F">
        <w:rPr>
          <w:rFonts w:ascii="Times" w:hAnsi="Times"/>
        </w:rPr>
        <w:t xml:space="preserve"> we also observed an OTU associated with </w:t>
      </w:r>
      <w:r w:rsidRPr="008E186F">
        <w:rPr>
          <w:rFonts w:ascii="Times" w:hAnsi="Times"/>
          <w:i/>
        </w:rPr>
        <w:t>Fusobacterium nucleatum</w:t>
      </w:r>
      <w:r w:rsidRPr="008E186F">
        <w:rPr>
          <w:rFonts w:ascii="Times" w:hAnsi="Times"/>
        </w:rPr>
        <w:t xml:space="preserve"> 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w:t>
      </w:r>
      <w:r w:rsidR="00DF31B2">
        <w:rPr>
          <w:rFonts w:ascii="Times" w:hAnsi="Times"/>
        </w:rPr>
        <w:t>e indicative of CRC development.</w:t>
      </w:r>
    </w:p>
    <w:p w14:paraId="45A690FB" w14:textId="77777777" w:rsidR="00DF31B2" w:rsidRDefault="00B30EE6">
      <w:pPr>
        <w:rPr>
          <w:rFonts w:ascii="Times" w:hAnsi="Times"/>
          <w:i/>
        </w:rPr>
      </w:pPr>
      <w:r w:rsidRPr="008E186F">
        <w:rPr>
          <w:rFonts w:ascii="Times" w:hAnsi="Times"/>
          <w:i/>
        </w:rPr>
        <w:lastRenderedPageBreak/>
        <w:t>Comparison to FIT.</w:t>
      </w:r>
    </w:p>
    <w:p w14:paraId="4936CF1A" w14:textId="63663222" w:rsidR="00C5081C" w:rsidRPr="008E186F" w:rsidRDefault="00B30EE6">
      <w:pPr>
        <w:rPr>
          <w:rFonts w:ascii="Times" w:hAnsi="Times"/>
        </w:rPr>
      </w:pPr>
      <w:r w:rsidRPr="008E186F">
        <w:rPr>
          <w:rFonts w:ascii="Times" w:hAnsi="Times"/>
        </w:rP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1A). To generate a categorical prediction from the MMT, we determined that the optimal threshold for the models's probability was 0.622 using Youden's J statisitc </w:t>
      </w:r>
      <w:r w:rsidRPr="008E186F">
        <w:rPr>
          <w:rFonts w:ascii="Times" w:hAnsi="Times"/>
          <w:i/>
        </w:rPr>
        <w:t>(22)</w:t>
      </w:r>
      <w:r w:rsidRPr="008E186F">
        <w:rPr>
          <w:rFonts w:ascii="Times" w:hAnsi="Times"/>
        </w:rPr>
        <w:t>.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1B). When adenomas and cancers were pooled together, the MMT detected 71.4% of lesions, while FIT only detected 38.1%. The MMT significantly improved sensitivity for both advanced and non-advanced adenomas as well as multiple stages of cancer (Fig. 2). The increased sensitivity of the MMT was accompanied by a decrease in specificity (83.7%) compared to FIT (97.1%).</w:t>
      </w:r>
    </w:p>
    <w:p w14:paraId="56B3F13C" w14:textId="77777777" w:rsidR="00C5081C" w:rsidRPr="008E186F" w:rsidRDefault="00B30EE6">
      <w:pPr>
        <w:rPr>
          <w:rFonts w:ascii="Times" w:hAnsi="Times"/>
        </w:rPr>
      </w:pPr>
      <w:r w:rsidRPr="008E186F">
        <w:rPr>
          <w:rFonts w:ascii="Times" w:hAnsi="Times"/>
        </w:rPr>
        <w:t xml:space="preserve">To better understand the relationship between the MMT and FIT, we compared the results of the two tests for each sample (Fig. 3). All samples that tested positive by FIT also tested positive by the MMT, indicating that the MMT did not miss any of the lesions that FIT was able to detect. However the MMT was able to detect 80% of cancers and 49.1% of adenomas that FIT had failed to detect, while maintaining </w:t>
      </w:r>
      <w:r w:rsidRPr="008E186F">
        <w:rPr>
          <w:rFonts w:ascii="Times" w:hAnsi="Times"/>
        </w:rPr>
        <w:lastRenderedPageBreak/>
        <w:t>a specificity of 86.2% (Fig. S3). This result demonstrated that incorporation of data from a subject's microbiota complemented FIT to improve its sensitivity.</w:t>
      </w:r>
    </w:p>
    <w:p w14:paraId="503A6E00" w14:textId="77777777" w:rsidR="00C5081C" w:rsidRPr="008E186F" w:rsidRDefault="00B30EE6">
      <w:pPr>
        <w:rPr>
          <w:rFonts w:ascii="Times" w:hAnsi="Times"/>
        </w:rPr>
      </w:pPr>
      <w:r w:rsidRPr="008E186F">
        <w:rPr>
          <w:rFonts w:ascii="Times" w:hAnsi="Times"/>
        </w:rPr>
        <w:t xml:space="preserve">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 </w:t>
      </w:r>
      <w:r w:rsidRPr="008E186F">
        <w:rPr>
          <w:rFonts w:ascii="Times" w:hAnsi="Times"/>
          <w:i/>
        </w:rPr>
        <w:t>(23)</w:t>
      </w:r>
      <w:r w:rsidRPr="008E186F">
        <w:rPr>
          <w:rFonts w:ascii="Times" w:hAnsi="Times"/>
        </w:rPr>
        <w:t>.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14:paraId="4457D9A2" w14:textId="77777777" w:rsidR="00DF31B2" w:rsidRDefault="00B30EE6">
      <w:pPr>
        <w:rPr>
          <w:rFonts w:ascii="Times" w:hAnsi="Times"/>
          <w:i/>
        </w:rPr>
      </w:pPr>
      <w:r w:rsidRPr="008E186F">
        <w:rPr>
          <w:rFonts w:ascii="Times" w:hAnsi="Times"/>
          <w:i/>
        </w:rPr>
        <w:t>Effect of sex on model performance.</w:t>
      </w:r>
    </w:p>
    <w:p w14:paraId="6C9AE2B8" w14:textId="1DD787F6" w:rsidR="00C5081C" w:rsidRPr="008E186F" w:rsidRDefault="00B30EE6">
      <w:pPr>
        <w:rPr>
          <w:rFonts w:ascii="Times" w:hAnsi="Times"/>
        </w:rPr>
      </w:pPr>
      <w:r w:rsidRPr="008E186F">
        <w:rPr>
          <w:rFonts w:ascii="Times" w:hAnsi="Times"/>
        </w:rPr>
        <w:t xml:space="preserve">Previous studies have identified differences in diagnostic test performance for certain demographic groups or for people taking certain medications </w:t>
      </w:r>
      <w:r w:rsidRPr="008E186F">
        <w:rPr>
          <w:rFonts w:ascii="Times" w:hAnsi="Times"/>
          <w:i/>
        </w:rPr>
        <w:t>(24–26)</w:t>
      </w:r>
      <w:r w:rsidRPr="008E186F">
        <w:rPr>
          <w:rFonts w:ascii="Times" w:hAnsi="Times"/>
        </w:rPr>
        <w:t xml:space="preserve">.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Fig. S4).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t>
      </w:r>
      <w:r w:rsidRPr="008E186F">
        <w:rPr>
          <w:rFonts w:ascii="Times" w:hAnsi="Times"/>
        </w:rPr>
        <w:lastRenderedPageBreak/>
        <w:t>was a significant effect of sex on FIT result (p=0.0057, two-way ANOVA), but not on the overall structure of the microbiome(p=0.063, PERMANOVA).</w:t>
      </w:r>
    </w:p>
    <w:p w14:paraId="0CF89C31" w14:textId="77777777" w:rsidR="00C5081C" w:rsidRPr="008E186F" w:rsidRDefault="00B30EE6">
      <w:pPr>
        <w:pStyle w:val="Heading3"/>
        <w:rPr>
          <w:rFonts w:ascii="Times" w:hAnsi="Times"/>
        </w:rPr>
      </w:pPr>
      <w:bookmarkStart w:id="2" w:name="discussion"/>
      <w:bookmarkEnd w:id="2"/>
      <w:r w:rsidRPr="008E186F">
        <w:rPr>
          <w:rFonts w:ascii="Times" w:hAnsi="Times"/>
        </w:rPr>
        <w:t>Discussion</w:t>
      </w:r>
    </w:p>
    <w:p w14:paraId="388CB448" w14:textId="77777777" w:rsidR="00C5081C" w:rsidRPr="008E186F" w:rsidRDefault="00B30EE6">
      <w:pPr>
        <w:rPr>
          <w:rFonts w:ascii="Times" w:hAnsi="Times"/>
        </w:rPr>
      </w:pPr>
      <w:r w:rsidRPr="008E186F">
        <w:rPr>
          <w:rFonts w:ascii="Times" w:hAnsi="Times"/>
        </w:rPr>
        <w:t xml:space="preserve">It was recently shown that when FIT was combined with host-associated DNA biomarkers the ability to detect adenomas and carcinomas was significantly improved over FIT alone </w:t>
      </w:r>
      <w:r w:rsidRPr="008E186F">
        <w:rPr>
          <w:rFonts w:ascii="Times" w:hAnsi="Times"/>
          <w:i/>
        </w:rPr>
        <w:t>(2)</w:t>
      </w:r>
      <w:r w:rsidRPr="008E186F">
        <w:rPr>
          <w:rFonts w:ascii="Times" w:hAnsi="Times"/>
        </w:rPr>
        <w:t xml:space="preserve">.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 </w:t>
      </w:r>
      <w:r w:rsidRPr="008E186F">
        <w:rPr>
          <w:rFonts w:ascii="Times" w:hAnsi="Times"/>
          <w:i/>
        </w:rPr>
        <w:t>(14, 15, 17)</w:t>
      </w:r>
      <w:r w:rsidRPr="008E186F">
        <w:rPr>
          <w:rFonts w:ascii="Times" w:hAnsi="Times"/>
        </w:rPr>
        <w:t xml:space="preserve">. More generally, predictive and diagnostic models for other diseases with a microbial etiology may benefit from a similar approach. For example, we recently demonstrated the ability to detect </w:t>
      </w:r>
      <w:r w:rsidRPr="008E186F">
        <w:rPr>
          <w:rFonts w:ascii="Times" w:hAnsi="Times"/>
          <w:i/>
        </w:rPr>
        <w:t>Clostridium difficile</w:t>
      </w:r>
      <w:r w:rsidRPr="008E186F">
        <w:rPr>
          <w:rFonts w:ascii="Times" w:hAnsi="Times"/>
        </w:rPr>
        <w:t xml:space="preserve"> infection based on the composition of the microbiota </w:t>
      </w:r>
      <w:r w:rsidRPr="008E186F">
        <w:rPr>
          <w:rFonts w:ascii="Times" w:hAnsi="Times"/>
          <w:i/>
        </w:rPr>
        <w:t>(27)</w:t>
      </w:r>
      <w:r w:rsidRPr="008E186F">
        <w:rPr>
          <w:rFonts w:ascii="Times" w:hAnsi="Times"/>
        </w:rPr>
        <w:t>. Such models are likely to be useful as microbiota sequencing gains traction as a tool for characterizing health.</w:t>
      </w:r>
    </w:p>
    <w:p w14:paraId="08ECF5A4" w14:textId="77777777" w:rsidR="00C5081C" w:rsidRPr="008E186F" w:rsidRDefault="00B30EE6">
      <w:pPr>
        <w:rPr>
          <w:rFonts w:ascii="Times" w:hAnsi="Times"/>
        </w:rPr>
      </w:pPr>
      <w:r w:rsidRPr="008E186F">
        <w:rPr>
          <w:rFonts w:ascii="Times" w:hAnsi="Times"/>
        </w:rPr>
        <w:t>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14:paraId="059852FF" w14:textId="77777777" w:rsidR="00C5081C" w:rsidRPr="008E186F" w:rsidRDefault="00B30EE6">
      <w:pPr>
        <w:pStyle w:val="Heading3"/>
        <w:rPr>
          <w:rFonts w:ascii="Times" w:hAnsi="Times"/>
        </w:rPr>
      </w:pPr>
      <w:bookmarkStart w:id="3" w:name="materials-and-methods"/>
      <w:bookmarkEnd w:id="3"/>
      <w:r w:rsidRPr="008E186F">
        <w:rPr>
          <w:rFonts w:ascii="Times" w:hAnsi="Times"/>
        </w:rPr>
        <w:lastRenderedPageBreak/>
        <w:t>Materials and Methods</w:t>
      </w:r>
    </w:p>
    <w:p w14:paraId="3FB4BFE0" w14:textId="77777777" w:rsidR="00C5081C" w:rsidRPr="008E186F" w:rsidRDefault="00B30EE6">
      <w:pPr>
        <w:rPr>
          <w:rFonts w:ascii="Times" w:hAnsi="Times"/>
        </w:rPr>
      </w:pPr>
      <w:r w:rsidRPr="008E186F">
        <w:rPr>
          <w:rFonts w:ascii="Times" w:hAnsi="Times"/>
          <w:b/>
        </w:rPr>
        <w:t>Study Design/Patient sampling.</w:t>
      </w:r>
      <w:r w:rsidRPr="008E186F">
        <w:rPr>
          <w:rFonts w:ascii="Times" w:hAnsi="Times"/>
        </w:rPr>
        <w:t xml:space="preserve"> 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sidRPr="008E186F">
        <w:rPr>
          <w:rFonts w:ascii="Times" w:hAnsi="Times"/>
          <w:i/>
        </w:rPr>
        <w:t>(28)</w:t>
      </w:r>
      <w:r w:rsidRPr="008E186F">
        <w:rPr>
          <w:rFonts w:ascii="Times" w:hAnsi="Times"/>
        </w:rPr>
        <w:t>. Stool samples were packed in ice, shipped to a processing center via next day delivery and stored at -80˚C. This study was approved by the University of Michigan Institutional Review Board and all subjects provided informed consent.</w:t>
      </w:r>
    </w:p>
    <w:p w14:paraId="1431D9E8" w14:textId="77777777" w:rsidR="00C5081C" w:rsidRPr="008E186F" w:rsidRDefault="00B30EE6">
      <w:pPr>
        <w:rPr>
          <w:rFonts w:ascii="Times" w:hAnsi="Times"/>
        </w:rPr>
      </w:pPr>
      <w:r w:rsidRPr="008E186F">
        <w:rPr>
          <w:rFonts w:ascii="Times" w:hAnsi="Times"/>
          <w:b/>
        </w:rPr>
        <w:t>Fecal Immunochemical Tests.</w:t>
      </w:r>
      <w:r w:rsidRPr="008E186F">
        <w:rPr>
          <w:rFonts w:ascii="Times" w:hAnsi="Times"/>
        </w:rPr>
        <w:t xml:space="preserve"> 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14:paraId="5781517A" w14:textId="77777777" w:rsidR="00C5081C" w:rsidRPr="008E186F" w:rsidRDefault="00B30EE6">
      <w:pPr>
        <w:rPr>
          <w:rFonts w:ascii="Times" w:hAnsi="Times"/>
        </w:rPr>
      </w:pPr>
      <w:r w:rsidRPr="008E186F">
        <w:rPr>
          <w:rFonts w:ascii="Times" w:hAnsi="Times"/>
          <w:b/>
        </w:rPr>
        <w:t>16S rRNA Sequencing.</w:t>
      </w:r>
      <w:r w:rsidRPr="008E186F">
        <w:rPr>
          <w:rFonts w:ascii="Times" w:hAnsi="Times"/>
        </w:rP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 </w:t>
      </w:r>
      <w:r w:rsidRPr="008E186F">
        <w:rPr>
          <w:rFonts w:ascii="Times" w:hAnsi="Times"/>
          <w:i/>
        </w:rPr>
        <w:t>(29)</w:t>
      </w:r>
      <w:r w:rsidRPr="008E186F">
        <w:rPr>
          <w:rFonts w:ascii="Times" w:hAnsi="Times"/>
        </w:rPr>
        <w:t xml:space="preserve">. The 490 samples were divided into three sequencing runs to increase the per sample </w:t>
      </w:r>
      <w:r w:rsidRPr="008E186F">
        <w:rPr>
          <w:rFonts w:ascii="Times" w:hAnsi="Times"/>
        </w:rPr>
        <w:lastRenderedPageBreak/>
        <w:t>sequencing depth. Although the same percentage of samples from the three groups were represented on each sequencing run, samples were randomly assigned to the sequencing runs to avoid confounding our analysis based on diagnosis or demographics.</w:t>
      </w:r>
    </w:p>
    <w:p w14:paraId="171F9801" w14:textId="77777777" w:rsidR="00C5081C" w:rsidRPr="008E186F" w:rsidRDefault="00B30EE6">
      <w:pPr>
        <w:rPr>
          <w:rFonts w:ascii="Times" w:hAnsi="Times"/>
        </w:rPr>
      </w:pPr>
      <w:r w:rsidRPr="008E186F">
        <w:rPr>
          <w:rFonts w:ascii="Times" w:hAnsi="Times"/>
          <w:b/>
        </w:rPr>
        <w:t>Sequence Curation.</w:t>
      </w:r>
      <w:r w:rsidRPr="008E186F">
        <w:rPr>
          <w:rFonts w:ascii="Times" w:hAnsi="Times"/>
        </w:rPr>
        <w:t xml:space="preserve"> The 16S rRNA gene sequences were curated using the mothur software package, as described previously </w:t>
      </w:r>
      <w:r w:rsidRPr="008E186F">
        <w:rPr>
          <w:rFonts w:ascii="Times" w:hAnsi="Times"/>
          <w:i/>
        </w:rPr>
        <w:t>(29)</w:t>
      </w:r>
      <w:r w:rsidRPr="008E186F">
        <w:rPr>
          <w:rFonts w:ascii="Times" w:hAnsi="Times"/>
        </w:rPr>
        <w:t>.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14:paraId="32171A4F" w14:textId="77777777" w:rsidR="00C5081C" w:rsidRPr="008E186F" w:rsidRDefault="00B30EE6">
      <w:pPr>
        <w:rPr>
          <w:rFonts w:ascii="Times" w:hAnsi="Times"/>
        </w:rPr>
      </w:pPr>
      <w:r w:rsidRPr="008E186F">
        <w:rPr>
          <w:rFonts w:ascii="Times" w:hAnsi="Times"/>
          <w:b/>
        </w:rPr>
        <w:t>Statistical Methods.</w:t>
      </w:r>
      <w:r w:rsidRPr="008E186F">
        <w:rPr>
          <w:rFonts w:ascii="Times" w:hAnsi="Times"/>
        </w:rPr>
        <w:t xml:space="preserve"> All statistical analyses were performed using R. Random Forest models were generated using the AUCRF package </w:t>
      </w:r>
      <w:r w:rsidRPr="008E186F">
        <w:rPr>
          <w:rFonts w:ascii="Times" w:hAnsi="Times"/>
          <w:i/>
        </w:rPr>
        <w:t>(19)</w:t>
      </w:r>
      <w:r w:rsidRPr="008E186F">
        <w:rPr>
          <w:rFonts w:ascii="Times" w:hAnsi="Times"/>
        </w:rPr>
        <w:t xml:space="preserve">. The AUC of ROC curves was compared using the method described by DeLong et al. </w:t>
      </w:r>
      <w:r w:rsidRPr="008E186F">
        <w:rPr>
          <w:rFonts w:ascii="Times" w:hAnsi="Times"/>
          <w:i/>
        </w:rPr>
        <w:t>(30)</w:t>
      </w:r>
      <w:r w:rsidRPr="008E186F">
        <w:rPr>
          <w:rFonts w:ascii="Times" w:hAnsi="Times"/>
        </w:rPr>
        <w:t xml:space="preserve">. The optimal cutoff for the MMT was determined using Youden's </w:t>
      </w:r>
      <w:r w:rsidRPr="008E186F">
        <w:rPr>
          <w:rFonts w:ascii="Times" w:hAnsi="Times"/>
          <w:i/>
        </w:rPr>
        <w:t>J</w:t>
      </w:r>
      <w:r w:rsidRPr="008E186F">
        <w:rPr>
          <w:rFonts w:ascii="Times" w:hAnsi="Times"/>
        </w:rPr>
        <w:t xml:space="preserve"> statistic as implemented in the pROC package in R </w:t>
      </w:r>
      <w:r w:rsidRPr="008E186F">
        <w:rPr>
          <w:rFonts w:ascii="Times" w:hAnsi="Times"/>
          <w:i/>
        </w:rPr>
        <w:t>(22)</w:t>
      </w:r>
      <w:r w:rsidRPr="008E186F">
        <w:rPr>
          <w:rFonts w:ascii="Times" w:hAnsi="Times"/>
        </w:rPr>
        <w:t>. The sensitivities of FIT and the MMT were compared using McNemar's chi-squared test. To control for diagnosis while testing the effects of sex on the microbiome we used PERMANOVA as implemented in the adonis funciton in the vegan package.</w:t>
      </w:r>
    </w:p>
    <w:p w14:paraId="478BE83E" w14:textId="41BB05D4" w:rsidR="00DF31B2" w:rsidRPr="00DF31B2" w:rsidRDefault="00B30EE6" w:rsidP="00DF31B2">
      <w:pPr>
        <w:jc w:val="left"/>
        <w:rPr>
          <w:rFonts w:ascii="Times" w:hAnsi="Times"/>
          <w:b/>
        </w:rPr>
      </w:pPr>
      <w:r w:rsidRPr="008E186F">
        <w:rPr>
          <w:rFonts w:ascii="Times" w:hAnsi="Times"/>
          <w:b/>
        </w:rPr>
        <w:t>Supplementary Materials:</w:t>
      </w:r>
      <w:r w:rsidRPr="008E186F">
        <w:rPr>
          <w:rFonts w:ascii="Times" w:hAnsi="Times"/>
        </w:rPr>
        <w:br/>
        <w:t xml:space="preserve">Fig. S1. Variable selection for MMT. </w:t>
      </w:r>
    </w:p>
    <w:p w14:paraId="7B7DCC1E" w14:textId="77777777" w:rsidR="00DF31B2" w:rsidRDefault="00B30EE6" w:rsidP="00DF31B2">
      <w:pPr>
        <w:rPr>
          <w:rFonts w:ascii="Times" w:hAnsi="Times"/>
        </w:rPr>
      </w:pPr>
      <w:r w:rsidRPr="008E186F">
        <w:rPr>
          <w:rFonts w:ascii="Times" w:hAnsi="Times"/>
        </w:rPr>
        <w:t xml:space="preserve">Fig. S2. Bacterial OTUs in MMT. </w:t>
      </w:r>
    </w:p>
    <w:p w14:paraId="5EB60D9C" w14:textId="77777777" w:rsidR="00DF31B2" w:rsidRDefault="00B30EE6" w:rsidP="00DF31B2">
      <w:pPr>
        <w:rPr>
          <w:rFonts w:ascii="Times" w:hAnsi="Times"/>
        </w:rPr>
      </w:pPr>
      <w:r w:rsidRPr="008E186F">
        <w:rPr>
          <w:rFonts w:ascii="Times" w:hAnsi="Times"/>
        </w:rPr>
        <w:t xml:space="preserve">Fig. S3. MMT Probabilities based on FIT results </w:t>
      </w:r>
    </w:p>
    <w:p w14:paraId="2F3CB04F" w14:textId="77777777" w:rsidR="00DF31B2" w:rsidRDefault="00B30EE6" w:rsidP="00DF31B2">
      <w:pPr>
        <w:rPr>
          <w:rFonts w:ascii="Times" w:hAnsi="Times"/>
        </w:rPr>
      </w:pPr>
      <w:r w:rsidRPr="008E186F">
        <w:rPr>
          <w:rFonts w:ascii="Times" w:hAnsi="Times"/>
        </w:rPr>
        <w:t xml:space="preserve">Fig. S4. Effect of sex on MMT performance. </w:t>
      </w:r>
    </w:p>
    <w:p w14:paraId="3B59082A" w14:textId="0DFB2B32" w:rsidR="00B14A0F" w:rsidRDefault="00B30EE6" w:rsidP="00DF31B2">
      <w:pPr>
        <w:rPr>
          <w:rFonts w:ascii="Times" w:hAnsi="Times"/>
        </w:rPr>
      </w:pPr>
      <w:r w:rsidRPr="008E186F">
        <w:rPr>
          <w:rFonts w:ascii="Times" w:hAnsi="Times"/>
        </w:rPr>
        <w:t>Table S1. Estimated MMT performance on average risk population.</w:t>
      </w:r>
      <w:bookmarkStart w:id="4" w:name="_GoBack"/>
      <w:bookmarkEnd w:id="4"/>
    </w:p>
    <w:p w14:paraId="77B4D5F5" w14:textId="77777777" w:rsidR="00B14A0F" w:rsidRDefault="00B14A0F">
      <w:pPr>
        <w:spacing w:before="0" w:after="200" w:line="240" w:lineRule="auto"/>
        <w:jc w:val="left"/>
        <w:rPr>
          <w:rFonts w:ascii="Times" w:hAnsi="Times"/>
        </w:rPr>
      </w:pPr>
      <w:r>
        <w:rPr>
          <w:rFonts w:ascii="Times" w:hAnsi="Times"/>
        </w:rPr>
        <w:br w:type="page"/>
      </w:r>
    </w:p>
    <w:p w14:paraId="2BEF1BCA" w14:textId="77777777" w:rsidR="004B2953" w:rsidRPr="008E186F" w:rsidRDefault="004B2953" w:rsidP="004B2953">
      <w:pPr>
        <w:rPr>
          <w:rFonts w:ascii="Times" w:hAnsi="Times"/>
        </w:rPr>
      </w:pPr>
      <w:r w:rsidRPr="008E186F">
        <w:rPr>
          <w:rFonts w:ascii="Times" w:hAnsi="Times"/>
          <w:b/>
        </w:rPr>
        <w:lastRenderedPageBreak/>
        <w:t>References and Notes:</w:t>
      </w:r>
    </w:p>
    <w:p w14:paraId="0F09EA1B" w14:textId="77777777" w:rsidR="004B2953" w:rsidRPr="008E186F" w:rsidRDefault="004B2953" w:rsidP="004B2953">
      <w:pPr>
        <w:pStyle w:val="Bibliography"/>
        <w:rPr>
          <w:rFonts w:ascii="Times" w:hAnsi="Times"/>
        </w:rPr>
      </w:pPr>
      <w:r w:rsidRPr="008E186F">
        <w:rPr>
          <w:rFonts w:ascii="Times" w:hAnsi="Times"/>
        </w:rPr>
        <w:t xml:space="preserve">1. R. Siegel, C. </w:t>
      </w:r>
      <w:proofErr w:type="spellStart"/>
      <w:r w:rsidRPr="008E186F">
        <w:rPr>
          <w:rFonts w:ascii="Times" w:hAnsi="Times"/>
        </w:rPr>
        <w:t>DeSantis</w:t>
      </w:r>
      <w:proofErr w:type="spellEnd"/>
      <w:r w:rsidRPr="008E186F">
        <w:rPr>
          <w:rFonts w:ascii="Times" w:hAnsi="Times"/>
        </w:rPr>
        <w:t xml:space="preserve">, A. </w:t>
      </w:r>
      <w:proofErr w:type="spellStart"/>
      <w:r w:rsidRPr="008E186F">
        <w:rPr>
          <w:rFonts w:ascii="Times" w:hAnsi="Times"/>
        </w:rPr>
        <w:t>Jemal</w:t>
      </w:r>
      <w:proofErr w:type="spellEnd"/>
      <w:r w:rsidRPr="008E186F">
        <w:rPr>
          <w:rFonts w:ascii="Times" w:hAnsi="Times"/>
        </w:rPr>
        <w:t xml:space="preserve">, Colorectal cancer statistics, 2014. </w:t>
      </w:r>
      <w:r w:rsidRPr="008E186F">
        <w:rPr>
          <w:rFonts w:ascii="Times" w:hAnsi="Times"/>
          <w:i/>
        </w:rPr>
        <w:t>CA: A Cancer Journal for Clinicians</w:t>
      </w:r>
      <w:r w:rsidRPr="008E186F">
        <w:rPr>
          <w:rFonts w:ascii="Times" w:hAnsi="Times"/>
        </w:rPr>
        <w:t xml:space="preserve"> </w:t>
      </w:r>
      <w:r w:rsidRPr="008E186F">
        <w:rPr>
          <w:rFonts w:ascii="Times" w:hAnsi="Times"/>
          <w:b/>
        </w:rPr>
        <w:t>64</w:t>
      </w:r>
      <w:r w:rsidRPr="008E186F">
        <w:rPr>
          <w:rFonts w:ascii="Times" w:hAnsi="Times"/>
        </w:rPr>
        <w:t>, 104–117 (2014).</w:t>
      </w:r>
    </w:p>
    <w:p w14:paraId="0A66B97F" w14:textId="77777777" w:rsidR="004B2953" w:rsidRPr="008E186F" w:rsidRDefault="004B2953" w:rsidP="004B2953">
      <w:pPr>
        <w:pStyle w:val="Bibliography"/>
        <w:rPr>
          <w:rFonts w:ascii="Times" w:hAnsi="Times"/>
        </w:rPr>
      </w:pPr>
      <w:r w:rsidRPr="008E186F">
        <w:rPr>
          <w:rFonts w:ascii="Times" w:hAnsi="Times"/>
        </w:rPr>
        <w:t xml:space="preserve">2. T. F. </w:t>
      </w:r>
      <w:proofErr w:type="spellStart"/>
      <w:r w:rsidRPr="008E186F">
        <w:rPr>
          <w:rFonts w:ascii="Times" w:hAnsi="Times"/>
        </w:rPr>
        <w:t>Imperiale</w:t>
      </w:r>
      <w:proofErr w:type="spellEnd"/>
      <w:r w:rsidRPr="008E186F">
        <w:rPr>
          <w:rFonts w:ascii="Times" w:hAnsi="Times"/>
        </w:rPr>
        <w:t xml:space="preserve">, D. F. </w:t>
      </w:r>
      <w:proofErr w:type="spellStart"/>
      <w:r w:rsidRPr="008E186F">
        <w:rPr>
          <w:rFonts w:ascii="Times" w:hAnsi="Times"/>
        </w:rPr>
        <w:t>Ransohoff</w:t>
      </w:r>
      <w:proofErr w:type="spellEnd"/>
      <w:r w:rsidRPr="008E186F">
        <w:rPr>
          <w:rFonts w:ascii="Times" w:hAnsi="Times"/>
        </w:rPr>
        <w:t xml:space="preserve">, S. H. </w:t>
      </w:r>
      <w:proofErr w:type="spellStart"/>
      <w:r w:rsidRPr="008E186F">
        <w:rPr>
          <w:rFonts w:ascii="Times" w:hAnsi="Times"/>
        </w:rPr>
        <w:t>Itzkowitz</w:t>
      </w:r>
      <w:proofErr w:type="spellEnd"/>
      <w:r w:rsidRPr="008E186F">
        <w:rPr>
          <w:rFonts w:ascii="Times" w:hAnsi="Times"/>
        </w:rPr>
        <w:t xml:space="preserve">, T. R. Levin, P. Lavin, G. P. </w:t>
      </w:r>
      <w:proofErr w:type="spellStart"/>
      <w:r w:rsidRPr="008E186F">
        <w:rPr>
          <w:rFonts w:ascii="Times" w:hAnsi="Times"/>
        </w:rPr>
        <w:t>Lidgard</w:t>
      </w:r>
      <w:proofErr w:type="spellEnd"/>
      <w:r w:rsidRPr="008E186F">
        <w:rPr>
          <w:rFonts w:ascii="Times" w:hAnsi="Times"/>
        </w:rPr>
        <w:t xml:space="preserve">, D. A. </w:t>
      </w:r>
      <w:proofErr w:type="spellStart"/>
      <w:r w:rsidRPr="008E186F">
        <w:rPr>
          <w:rFonts w:ascii="Times" w:hAnsi="Times"/>
        </w:rPr>
        <w:t>Ahlquist</w:t>
      </w:r>
      <w:proofErr w:type="spellEnd"/>
      <w:r w:rsidRPr="008E186F">
        <w:rPr>
          <w:rFonts w:ascii="Times" w:hAnsi="Times"/>
        </w:rPr>
        <w:t xml:space="preserve">, B. M. Berger, </w:t>
      </w:r>
      <w:proofErr w:type="spellStart"/>
      <w:r w:rsidRPr="008E186F">
        <w:rPr>
          <w:rFonts w:ascii="Times" w:hAnsi="Times"/>
        </w:rPr>
        <w:t>Multitarget</w:t>
      </w:r>
      <w:proofErr w:type="spellEnd"/>
      <w:r w:rsidRPr="008E186F">
        <w:rPr>
          <w:rFonts w:ascii="Times" w:hAnsi="Times"/>
        </w:rPr>
        <w:t xml:space="preserve"> stool DNA testing for colorectal-cancer screening. </w:t>
      </w:r>
      <w:r w:rsidRPr="008E186F">
        <w:rPr>
          <w:rFonts w:ascii="Times" w:hAnsi="Times"/>
          <w:i/>
        </w:rPr>
        <w:t>New England Journal of Medicine</w:t>
      </w:r>
      <w:r w:rsidRPr="008E186F">
        <w:rPr>
          <w:rFonts w:ascii="Times" w:hAnsi="Times"/>
        </w:rPr>
        <w:t xml:space="preserve"> </w:t>
      </w:r>
      <w:r w:rsidRPr="008E186F">
        <w:rPr>
          <w:rFonts w:ascii="Times" w:hAnsi="Times"/>
          <w:b/>
        </w:rPr>
        <w:t>370</w:t>
      </w:r>
      <w:r w:rsidRPr="008E186F">
        <w:rPr>
          <w:rFonts w:ascii="Times" w:hAnsi="Times"/>
        </w:rPr>
        <w:t>, 1287–1297 (2014).</w:t>
      </w:r>
    </w:p>
    <w:p w14:paraId="21E6ECA5" w14:textId="77777777" w:rsidR="004B2953" w:rsidRPr="008E186F" w:rsidRDefault="004B2953" w:rsidP="004B2953">
      <w:pPr>
        <w:pStyle w:val="Bibliography"/>
        <w:rPr>
          <w:rFonts w:ascii="Times" w:hAnsi="Times"/>
        </w:rPr>
      </w:pPr>
      <w:r w:rsidRPr="008E186F">
        <w:rPr>
          <w:rFonts w:ascii="Times" w:hAnsi="Times"/>
        </w:rPr>
        <w:t xml:space="preserve">3. R. M. Jones, K. J. Devers, A. J. </w:t>
      </w:r>
      <w:proofErr w:type="spellStart"/>
      <w:r w:rsidRPr="008E186F">
        <w:rPr>
          <w:rFonts w:ascii="Times" w:hAnsi="Times"/>
        </w:rPr>
        <w:t>Kuzel</w:t>
      </w:r>
      <w:proofErr w:type="spellEnd"/>
      <w:r w:rsidRPr="008E186F">
        <w:rPr>
          <w:rFonts w:ascii="Times" w:hAnsi="Times"/>
        </w:rPr>
        <w:t xml:space="preserve">, S. H. Woolf, Patient-reported barriers to colorectal cancer screening: a mixed-methods analysis. </w:t>
      </w:r>
      <w:r w:rsidRPr="008E186F">
        <w:rPr>
          <w:rFonts w:ascii="Times" w:hAnsi="Times"/>
          <w:i/>
        </w:rPr>
        <w:t>American Journal of Preventive Medicine</w:t>
      </w:r>
      <w:r w:rsidRPr="008E186F">
        <w:rPr>
          <w:rFonts w:ascii="Times" w:hAnsi="Times"/>
        </w:rPr>
        <w:t xml:space="preserve"> </w:t>
      </w:r>
      <w:r w:rsidRPr="008E186F">
        <w:rPr>
          <w:rFonts w:ascii="Times" w:hAnsi="Times"/>
          <w:b/>
        </w:rPr>
        <w:t>38</w:t>
      </w:r>
      <w:r w:rsidRPr="008E186F">
        <w:rPr>
          <w:rFonts w:ascii="Times" w:hAnsi="Times"/>
        </w:rPr>
        <w:t>, 508–516 (2010).</w:t>
      </w:r>
    </w:p>
    <w:p w14:paraId="33112F90" w14:textId="77777777" w:rsidR="004B2953" w:rsidRPr="008E186F" w:rsidRDefault="004B2953" w:rsidP="004B2953">
      <w:pPr>
        <w:pStyle w:val="Bibliography"/>
        <w:rPr>
          <w:rFonts w:ascii="Times" w:hAnsi="Times"/>
        </w:rPr>
      </w:pPr>
      <w:r w:rsidRPr="008E186F">
        <w:rPr>
          <w:rFonts w:ascii="Times" w:hAnsi="Times"/>
        </w:rPr>
        <w:t xml:space="preserve">4. J. Hsia, E. Kemper, C. </w:t>
      </w:r>
      <w:proofErr w:type="spellStart"/>
      <w:r w:rsidRPr="008E186F">
        <w:rPr>
          <w:rFonts w:ascii="Times" w:hAnsi="Times"/>
        </w:rPr>
        <w:t>Kiefe</w:t>
      </w:r>
      <w:proofErr w:type="spellEnd"/>
      <w:r w:rsidRPr="008E186F">
        <w:rPr>
          <w:rFonts w:ascii="Times" w:hAnsi="Times"/>
        </w:rPr>
        <w:t xml:space="preserve">, J. </w:t>
      </w:r>
      <w:proofErr w:type="spellStart"/>
      <w:r w:rsidRPr="008E186F">
        <w:rPr>
          <w:rFonts w:ascii="Times" w:hAnsi="Times"/>
        </w:rPr>
        <w:t>Zapka</w:t>
      </w:r>
      <w:proofErr w:type="spellEnd"/>
      <w:r w:rsidRPr="008E186F">
        <w:rPr>
          <w:rFonts w:ascii="Times" w:hAnsi="Times"/>
        </w:rPr>
        <w:t xml:space="preserve">, S. </w:t>
      </w:r>
      <w:proofErr w:type="spellStart"/>
      <w:r w:rsidRPr="008E186F">
        <w:rPr>
          <w:rFonts w:ascii="Times" w:hAnsi="Times"/>
        </w:rPr>
        <w:t>Sofaer</w:t>
      </w:r>
      <w:proofErr w:type="spellEnd"/>
      <w:r w:rsidRPr="008E186F">
        <w:rPr>
          <w:rFonts w:ascii="Times" w:hAnsi="Times"/>
        </w:rPr>
        <w:t xml:space="preserve">, M. </w:t>
      </w:r>
      <w:proofErr w:type="spellStart"/>
      <w:r w:rsidRPr="008E186F">
        <w:rPr>
          <w:rFonts w:ascii="Times" w:hAnsi="Times"/>
        </w:rPr>
        <w:t>Pettinger</w:t>
      </w:r>
      <w:proofErr w:type="spellEnd"/>
      <w:r w:rsidRPr="008E186F">
        <w:rPr>
          <w:rFonts w:ascii="Times" w:hAnsi="Times"/>
        </w:rPr>
        <w:t xml:space="preserve">, D. Bowen, M. </w:t>
      </w:r>
      <w:proofErr w:type="spellStart"/>
      <w:r w:rsidRPr="008E186F">
        <w:rPr>
          <w:rFonts w:ascii="Times" w:hAnsi="Times"/>
        </w:rPr>
        <w:t>Limacher</w:t>
      </w:r>
      <w:proofErr w:type="spellEnd"/>
      <w:r w:rsidRPr="008E186F">
        <w:rPr>
          <w:rFonts w:ascii="Times" w:hAnsi="Times"/>
        </w:rPr>
        <w:t xml:space="preserve">, L. Lillington, E. Mason, others, The importance of health insurance as a determinant of cancer screening: evidence from the Women’s Health Initiative. </w:t>
      </w:r>
      <w:r w:rsidRPr="008E186F">
        <w:rPr>
          <w:rFonts w:ascii="Times" w:hAnsi="Times"/>
          <w:i/>
        </w:rPr>
        <w:t>Preventive Medicine</w:t>
      </w:r>
      <w:r w:rsidRPr="008E186F">
        <w:rPr>
          <w:rFonts w:ascii="Times" w:hAnsi="Times"/>
        </w:rPr>
        <w:t xml:space="preserve"> </w:t>
      </w:r>
      <w:r w:rsidRPr="008E186F">
        <w:rPr>
          <w:rFonts w:ascii="Times" w:hAnsi="Times"/>
          <w:b/>
        </w:rPr>
        <w:t>31</w:t>
      </w:r>
      <w:r w:rsidRPr="008E186F">
        <w:rPr>
          <w:rFonts w:ascii="Times" w:hAnsi="Times"/>
        </w:rPr>
        <w:t>, 261–270 (2000).</w:t>
      </w:r>
    </w:p>
    <w:p w14:paraId="355A74F0" w14:textId="77777777" w:rsidR="004B2953" w:rsidRPr="008E186F" w:rsidRDefault="004B2953" w:rsidP="004B2953">
      <w:pPr>
        <w:pStyle w:val="Bibliography"/>
        <w:rPr>
          <w:rFonts w:ascii="Times" w:hAnsi="Times"/>
        </w:rPr>
      </w:pPr>
      <w:r w:rsidRPr="008E186F">
        <w:rPr>
          <w:rFonts w:ascii="Times" w:hAnsi="Times"/>
        </w:rPr>
        <w:t xml:space="preserve">5. Centers for Disease Control and Prevention, Vital signs: Colorectal cancer screening test use–United states, 2012. </w:t>
      </w:r>
      <w:r w:rsidRPr="008E186F">
        <w:rPr>
          <w:rFonts w:ascii="Times" w:hAnsi="Times"/>
          <w:i/>
        </w:rPr>
        <w:t>MMWR. Morbidity and Mortality Weekly Report</w:t>
      </w:r>
      <w:r w:rsidRPr="008E186F">
        <w:rPr>
          <w:rFonts w:ascii="Times" w:hAnsi="Times"/>
        </w:rPr>
        <w:t xml:space="preserve"> </w:t>
      </w:r>
      <w:r w:rsidRPr="008E186F">
        <w:rPr>
          <w:rFonts w:ascii="Times" w:hAnsi="Times"/>
          <w:b/>
        </w:rPr>
        <w:t>62</w:t>
      </w:r>
      <w:r w:rsidRPr="008E186F">
        <w:rPr>
          <w:rFonts w:ascii="Times" w:hAnsi="Times"/>
        </w:rPr>
        <w:t>, 881 (2013).</w:t>
      </w:r>
    </w:p>
    <w:p w14:paraId="6A44FBEB" w14:textId="77777777" w:rsidR="004B2953" w:rsidRPr="008E186F" w:rsidRDefault="004B2953" w:rsidP="004B2953">
      <w:pPr>
        <w:pStyle w:val="Bibliography"/>
        <w:rPr>
          <w:rFonts w:ascii="Times" w:hAnsi="Times"/>
        </w:rPr>
      </w:pPr>
      <w:r w:rsidRPr="008E186F">
        <w:rPr>
          <w:rFonts w:ascii="Times" w:hAnsi="Times"/>
        </w:rPr>
        <w:t xml:space="preserve">6. S. </w:t>
      </w:r>
      <w:proofErr w:type="spellStart"/>
      <w:r w:rsidRPr="008E186F">
        <w:rPr>
          <w:rFonts w:ascii="Times" w:hAnsi="Times"/>
        </w:rPr>
        <w:t>Hundt</w:t>
      </w:r>
      <w:proofErr w:type="spellEnd"/>
      <w:r w:rsidRPr="008E186F">
        <w:rPr>
          <w:rFonts w:ascii="Times" w:hAnsi="Times"/>
        </w:rPr>
        <w:t xml:space="preserve">, U. </w:t>
      </w:r>
      <w:proofErr w:type="spellStart"/>
      <w:r w:rsidRPr="008E186F">
        <w:rPr>
          <w:rFonts w:ascii="Times" w:hAnsi="Times"/>
        </w:rPr>
        <w:t>Haug</w:t>
      </w:r>
      <w:proofErr w:type="spellEnd"/>
      <w:r w:rsidRPr="008E186F">
        <w:rPr>
          <w:rFonts w:ascii="Times" w:hAnsi="Times"/>
        </w:rPr>
        <w:t xml:space="preserve">, H. Brenner, Comparative evaluation of immunochemical fecal occult blood tests for colorectal adenoma detection. </w:t>
      </w:r>
      <w:r w:rsidRPr="008E186F">
        <w:rPr>
          <w:rFonts w:ascii="Times" w:hAnsi="Times"/>
          <w:i/>
        </w:rPr>
        <w:t>Annals of Internal Medicine</w:t>
      </w:r>
      <w:r w:rsidRPr="008E186F">
        <w:rPr>
          <w:rFonts w:ascii="Times" w:hAnsi="Times"/>
        </w:rPr>
        <w:t xml:space="preserve"> </w:t>
      </w:r>
      <w:r w:rsidRPr="008E186F">
        <w:rPr>
          <w:rFonts w:ascii="Times" w:hAnsi="Times"/>
          <w:b/>
        </w:rPr>
        <w:t>150</w:t>
      </w:r>
      <w:r w:rsidRPr="008E186F">
        <w:rPr>
          <w:rFonts w:ascii="Times" w:hAnsi="Times"/>
        </w:rPr>
        <w:t>, 162–169 (2009).</w:t>
      </w:r>
    </w:p>
    <w:p w14:paraId="73815350" w14:textId="77777777" w:rsidR="004B2953" w:rsidRPr="008E186F" w:rsidRDefault="004B2953" w:rsidP="004B2953">
      <w:pPr>
        <w:pStyle w:val="Bibliography"/>
        <w:rPr>
          <w:rFonts w:ascii="Times" w:hAnsi="Times"/>
        </w:rPr>
      </w:pPr>
      <w:r w:rsidRPr="008E186F">
        <w:rPr>
          <w:rFonts w:ascii="Times" w:hAnsi="Times"/>
        </w:rPr>
        <w:t xml:space="preserve">7. T. Wang, G. </w:t>
      </w:r>
      <w:proofErr w:type="spellStart"/>
      <w:r w:rsidRPr="008E186F">
        <w:rPr>
          <w:rFonts w:ascii="Times" w:hAnsi="Times"/>
        </w:rPr>
        <w:t>Cai</w:t>
      </w:r>
      <w:proofErr w:type="spellEnd"/>
      <w:r w:rsidRPr="008E186F">
        <w:rPr>
          <w:rFonts w:ascii="Times" w:hAnsi="Times"/>
        </w:rPr>
        <w:t xml:space="preserve">, Y. </w:t>
      </w:r>
      <w:proofErr w:type="spellStart"/>
      <w:r w:rsidRPr="008E186F">
        <w:rPr>
          <w:rFonts w:ascii="Times" w:hAnsi="Times"/>
        </w:rPr>
        <w:t>Qiu</w:t>
      </w:r>
      <w:proofErr w:type="spellEnd"/>
      <w:r w:rsidRPr="008E186F">
        <w:rPr>
          <w:rFonts w:ascii="Times" w:hAnsi="Times"/>
        </w:rPr>
        <w:t xml:space="preserve">, N. </w:t>
      </w:r>
      <w:proofErr w:type="spellStart"/>
      <w:r w:rsidRPr="008E186F">
        <w:rPr>
          <w:rFonts w:ascii="Times" w:hAnsi="Times"/>
        </w:rPr>
        <w:t>Fei</w:t>
      </w:r>
      <w:proofErr w:type="spellEnd"/>
      <w:r w:rsidRPr="008E186F">
        <w:rPr>
          <w:rFonts w:ascii="Times" w:hAnsi="Times"/>
        </w:rPr>
        <w:t xml:space="preserve">, M. Zhang, X. Pang, W. </w:t>
      </w:r>
      <w:proofErr w:type="spellStart"/>
      <w:r w:rsidRPr="008E186F">
        <w:rPr>
          <w:rFonts w:ascii="Times" w:hAnsi="Times"/>
        </w:rPr>
        <w:t>Jia</w:t>
      </w:r>
      <w:proofErr w:type="spellEnd"/>
      <w:r w:rsidRPr="008E186F">
        <w:rPr>
          <w:rFonts w:ascii="Times" w:hAnsi="Times"/>
        </w:rPr>
        <w:t xml:space="preserve">, S. </w:t>
      </w:r>
      <w:proofErr w:type="spellStart"/>
      <w:r w:rsidRPr="008E186F">
        <w:rPr>
          <w:rFonts w:ascii="Times" w:hAnsi="Times"/>
        </w:rPr>
        <w:t>Cai</w:t>
      </w:r>
      <w:proofErr w:type="spellEnd"/>
      <w:r w:rsidRPr="008E186F">
        <w:rPr>
          <w:rFonts w:ascii="Times" w:hAnsi="Times"/>
        </w:rPr>
        <w:t xml:space="preserve">, L. Zhao, Structural segregation of gut microbiota between colorectal cancer patients and healthy volunteers. </w:t>
      </w:r>
      <w:r w:rsidRPr="008E186F">
        <w:rPr>
          <w:rFonts w:ascii="Times" w:hAnsi="Times"/>
          <w:i/>
        </w:rPr>
        <w:t>The ISME Journal</w:t>
      </w:r>
      <w:r w:rsidRPr="008E186F">
        <w:rPr>
          <w:rFonts w:ascii="Times" w:hAnsi="Times"/>
        </w:rPr>
        <w:t xml:space="preserve"> </w:t>
      </w:r>
      <w:r w:rsidRPr="008E186F">
        <w:rPr>
          <w:rFonts w:ascii="Times" w:hAnsi="Times"/>
          <w:b/>
        </w:rPr>
        <w:t>6</w:t>
      </w:r>
      <w:r w:rsidRPr="008E186F">
        <w:rPr>
          <w:rFonts w:ascii="Times" w:hAnsi="Times"/>
        </w:rPr>
        <w:t>, 320–329 (2012).</w:t>
      </w:r>
    </w:p>
    <w:p w14:paraId="43662850" w14:textId="77777777" w:rsidR="004B2953" w:rsidRPr="008E186F" w:rsidRDefault="004B2953" w:rsidP="004B2953">
      <w:pPr>
        <w:pStyle w:val="Bibliography"/>
        <w:rPr>
          <w:rFonts w:ascii="Times" w:hAnsi="Times"/>
        </w:rPr>
      </w:pPr>
      <w:r w:rsidRPr="008E186F">
        <w:rPr>
          <w:rFonts w:ascii="Times" w:hAnsi="Times"/>
        </w:rPr>
        <w:t xml:space="preserve">8. H.-M. Chen, Y.-N. Yu, J.-L. Wang, Y.-W. Lin, X. Kong, C.-Q. Yang, L. Yang, Z.-J. Liu, Y.-Z. Yuan, F. Liu, others, Decreased dietary fiber intake and structural alteration of gut microbiota in patients with advanced colorectal adenoma. </w:t>
      </w:r>
      <w:r w:rsidRPr="008E186F">
        <w:rPr>
          <w:rFonts w:ascii="Times" w:hAnsi="Times"/>
          <w:i/>
        </w:rPr>
        <w:t>The American Journal of Clinical Nutrition</w:t>
      </w:r>
      <w:r w:rsidRPr="008E186F">
        <w:rPr>
          <w:rFonts w:ascii="Times" w:hAnsi="Times"/>
        </w:rPr>
        <w:t xml:space="preserve"> </w:t>
      </w:r>
      <w:r w:rsidRPr="008E186F">
        <w:rPr>
          <w:rFonts w:ascii="Times" w:hAnsi="Times"/>
          <w:b/>
        </w:rPr>
        <w:t>97</w:t>
      </w:r>
      <w:r w:rsidRPr="008E186F">
        <w:rPr>
          <w:rFonts w:ascii="Times" w:hAnsi="Times"/>
        </w:rPr>
        <w:t>, 1044–1052 (2013).</w:t>
      </w:r>
    </w:p>
    <w:p w14:paraId="41254F77" w14:textId="77777777" w:rsidR="004B2953" w:rsidRPr="008E186F" w:rsidRDefault="004B2953" w:rsidP="004B2953">
      <w:pPr>
        <w:pStyle w:val="Bibliography"/>
        <w:rPr>
          <w:rFonts w:ascii="Times" w:hAnsi="Times"/>
        </w:rPr>
      </w:pPr>
      <w:r w:rsidRPr="008E186F">
        <w:rPr>
          <w:rFonts w:ascii="Times" w:hAnsi="Times"/>
        </w:rPr>
        <w:lastRenderedPageBreak/>
        <w:t xml:space="preserve">9. W. Chen, F. Liu, Z. Ling, X. Tong, C. Xiang, Human intestinal lumen and mucosa-associated microbiota in patients with colorectal cancer. </w:t>
      </w:r>
      <w:proofErr w:type="spellStart"/>
      <w:r w:rsidRPr="008E186F">
        <w:rPr>
          <w:rFonts w:ascii="Times" w:hAnsi="Times"/>
          <w:i/>
        </w:rPr>
        <w:t>PloS</w:t>
      </w:r>
      <w:proofErr w:type="spellEnd"/>
      <w:r w:rsidRPr="008E186F">
        <w:rPr>
          <w:rFonts w:ascii="Times" w:hAnsi="Times"/>
          <w:i/>
        </w:rPr>
        <w:t xml:space="preserve"> One</w:t>
      </w:r>
      <w:r w:rsidRPr="008E186F">
        <w:rPr>
          <w:rFonts w:ascii="Times" w:hAnsi="Times"/>
        </w:rPr>
        <w:t xml:space="preserve"> </w:t>
      </w:r>
      <w:r w:rsidRPr="008E186F">
        <w:rPr>
          <w:rFonts w:ascii="Times" w:hAnsi="Times"/>
          <w:b/>
        </w:rPr>
        <w:t>7</w:t>
      </w:r>
      <w:r w:rsidRPr="008E186F">
        <w:rPr>
          <w:rFonts w:ascii="Times" w:hAnsi="Times"/>
        </w:rPr>
        <w:t>, e39743 (2012).</w:t>
      </w:r>
    </w:p>
    <w:p w14:paraId="4F66703B" w14:textId="77777777" w:rsidR="004B2953" w:rsidRPr="008E186F" w:rsidRDefault="004B2953" w:rsidP="004B2953">
      <w:pPr>
        <w:pStyle w:val="Bibliography"/>
        <w:rPr>
          <w:rFonts w:ascii="Times" w:hAnsi="Times"/>
        </w:rPr>
      </w:pPr>
      <w:r w:rsidRPr="008E186F">
        <w:rPr>
          <w:rFonts w:ascii="Times" w:hAnsi="Times"/>
        </w:rPr>
        <w:t xml:space="preserve">10. X. J. </w:t>
      </w:r>
      <w:proofErr w:type="spellStart"/>
      <w:r w:rsidRPr="008E186F">
        <w:rPr>
          <w:rFonts w:ascii="Times" w:hAnsi="Times"/>
        </w:rPr>
        <w:t>Shen</w:t>
      </w:r>
      <w:proofErr w:type="spellEnd"/>
      <w:r w:rsidRPr="008E186F">
        <w:rPr>
          <w:rFonts w:ascii="Times" w:hAnsi="Times"/>
        </w:rPr>
        <w:t xml:space="preserve">, J. F. Rawls, T. A. Randall, L. </w:t>
      </w:r>
      <w:proofErr w:type="spellStart"/>
      <w:r w:rsidRPr="008E186F">
        <w:rPr>
          <w:rFonts w:ascii="Times" w:hAnsi="Times"/>
        </w:rPr>
        <w:t>Burcall</w:t>
      </w:r>
      <w:proofErr w:type="spellEnd"/>
      <w:r w:rsidRPr="008E186F">
        <w:rPr>
          <w:rFonts w:ascii="Times" w:hAnsi="Times"/>
        </w:rPr>
        <w:t xml:space="preserve">, C. </w:t>
      </w:r>
      <w:proofErr w:type="spellStart"/>
      <w:r w:rsidRPr="008E186F">
        <w:rPr>
          <w:rFonts w:ascii="Times" w:hAnsi="Times"/>
        </w:rPr>
        <w:t>Mpande</w:t>
      </w:r>
      <w:proofErr w:type="spellEnd"/>
      <w:r w:rsidRPr="008E186F">
        <w:rPr>
          <w:rFonts w:ascii="Times" w:hAnsi="Times"/>
        </w:rPr>
        <w:t xml:space="preserve">, N. Jenkins, B. </w:t>
      </w:r>
      <w:proofErr w:type="spellStart"/>
      <w:r w:rsidRPr="008E186F">
        <w:rPr>
          <w:rFonts w:ascii="Times" w:hAnsi="Times"/>
        </w:rPr>
        <w:t>Jovov</w:t>
      </w:r>
      <w:proofErr w:type="spellEnd"/>
      <w:r w:rsidRPr="008E186F">
        <w:rPr>
          <w:rFonts w:ascii="Times" w:hAnsi="Times"/>
        </w:rPr>
        <w:t xml:space="preserve">, Z. </w:t>
      </w:r>
      <w:proofErr w:type="spellStart"/>
      <w:r w:rsidRPr="008E186F">
        <w:rPr>
          <w:rFonts w:ascii="Times" w:hAnsi="Times"/>
        </w:rPr>
        <w:t>Abdo</w:t>
      </w:r>
      <w:proofErr w:type="spellEnd"/>
      <w:r w:rsidRPr="008E186F">
        <w:rPr>
          <w:rFonts w:ascii="Times" w:hAnsi="Times"/>
        </w:rPr>
        <w:t xml:space="preserve">, R. S. Sandler, T. O. </w:t>
      </w:r>
      <w:proofErr w:type="spellStart"/>
      <w:r w:rsidRPr="008E186F">
        <w:rPr>
          <w:rFonts w:ascii="Times" w:hAnsi="Times"/>
        </w:rPr>
        <w:t>Keku</w:t>
      </w:r>
      <w:proofErr w:type="spellEnd"/>
      <w:r w:rsidRPr="008E186F">
        <w:rPr>
          <w:rFonts w:ascii="Times" w:hAnsi="Times"/>
        </w:rPr>
        <w:t xml:space="preserve">, Molecular characterization of mucosal adherent bacteria and associations with colorectal adenomas. </w:t>
      </w:r>
      <w:r w:rsidRPr="008E186F">
        <w:rPr>
          <w:rFonts w:ascii="Times" w:hAnsi="Times"/>
          <w:i/>
        </w:rPr>
        <w:t>Gut Microbes</w:t>
      </w:r>
      <w:r w:rsidRPr="008E186F">
        <w:rPr>
          <w:rFonts w:ascii="Times" w:hAnsi="Times"/>
        </w:rPr>
        <w:t xml:space="preserve"> </w:t>
      </w:r>
      <w:r w:rsidRPr="008E186F">
        <w:rPr>
          <w:rFonts w:ascii="Times" w:hAnsi="Times"/>
          <w:b/>
        </w:rPr>
        <w:t>1</w:t>
      </w:r>
      <w:r w:rsidRPr="008E186F">
        <w:rPr>
          <w:rFonts w:ascii="Times" w:hAnsi="Times"/>
        </w:rPr>
        <w:t>, 138–147 (2010).</w:t>
      </w:r>
    </w:p>
    <w:p w14:paraId="27EC65C5" w14:textId="77777777" w:rsidR="004B2953" w:rsidRPr="008E186F" w:rsidRDefault="004B2953" w:rsidP="004B2953">
      <w:pPr>
        <w:pStyle w:val="Bibliography"/>
        <w:rPr>
          <w:rFonts w:ascii="Times" w:hAnsi="Times"/>
        </w:rPr>
      </w:pPr>
      <w:r w:rsidRPr="008E186F">
        <w:rPr>
          <w:rFonts w:ascii="Times" w:hAnsi="Times"/>
        </w:rPr>
        <w:t xml:space="preserve">11. A. D. </w:t>
      </w:r>
      <w:proofErr w:type="spellStart"/>
      <w:r w:rsidRPr="008E186F">
        <w:rPr>
          <w:rFonts w:ascii="Times" w:hAnsi="Times"/>
        </w:rPr>
        <w:t>Kostic</w:t>
      </w:r>
      <w:proofErr w:type="spellEnd"/>
      <w:r w:rsidRPr="008E186F">
        <w:rPr>
          <w:rFonts w:ascii="Times" w:hAnsi="Times"/>
        </w:rPr>
        <w:t xml:space="preserve">, D. </w:t>
      </w:r>
      <w:proofErr w:type="spellStart"/>
      <w:r w:rsidRPr="008E186F">
        <w:rPr>
          <w:rFonts w:ascii="Times" w:hAnsi="Times"/>
        </w:rPr>
        <w:t>Gevers</w:t>
      </w:r>
      <w:proofErr w:type="spellEnd"/>
      <w:r w:rsidRPr="008E186F">
        <w:rPr>
          <w:rFonts w:ascii="Times" w:hAnsi="Times"/>
        </w:rPr>
        <w:t xml:space="preserve">, C. S. </w:t>
      </w:r>
      <w:proofErr w:type="spellStart"/>
      <w:r w:rsidRPr="008E186F">
        <w:rPr>
          <w:rFonts w:ascii="Times" w:hAnsi="Times"/>
        </w:rPr>
        <w:t>Pedamallu</w:t>
      </w:r>
      <w:proofErr w:type="spellEnd"/>
      <w:r w:rsidRPr="008E186F">
        <w:rPr>
          <w:rFonts w:ascii="Times" w:hAnsi="Times"/>
        </w:rPr>
        <w:t xml:space="preserve">, M. Michaud, F. Duke, A. M. Earl, A. I. </w:t>
      </w:r>
      <w:proofErr w:type="spellStart"/>
      <w:r w:rsidRPr="008E186F">
        <w:rPr>
          <w:rFonts w:ascii="Times" w:hAnsi="Times"/>
        </w:rPr>
        <w:t>Ojesina</w:t>
      </w:r>
      <w:proofErr w:type="spellEnd"/>
      <w:r w:rsidRPr="008E186F">
        <w:rPr>
          <w:rFonts w:ascii="Times" w:hAnsi="Times"/>
        </w:rPr>
        <w:t xml:space="preserve">, J. Jung, A. J. Bass, J. </w:t>
      </w:r>
      <w:proofErr w:type="spellStart"/>
      <w:r w:rsidRPr="008E186F">
        <w:rPr>
          <w:rFonts w:ascii="Times" w:hAnsi="Times"/>
        </w:rPr>
        <w:t>Tabernero</w:t>
      </w:r>
      <w:proofErr w:type="spellEnd"/>
      <w:r w:rsidRPr="008E186F">
        <w:rPr>
          <w:rFonts w:ascii="Times" w:hAnsi="Times"/>
        </w:rPr>
        <w:t xml:space="preserve">, others, Genomic analysis identifies association of Fusobacterium with colorectal carcinoma. </w:t>
      </w:r>
      <w:r w:rsidRPr="008E186F">
        <w:rPr>
          <w:rFonts w:ascii="Times" w:hAnsi="Times"/>
          <w:i/>
        </w:rPr>
        <w:t>Genome Research</w:t>
      </w:r>
      <w:r w:rsidRPr="008E186F">
        <w:rPr>
          <w:rFonts w:ascii="Times" w:hAnsi="Times"/>
        </w:rPr>
        <w:t xml:space="preserve"> </w:t>
      </w:r>
      <w:r w:rsidRPr="008E186F">
        <w:rPr>
          <w:rFonts w:ascii="Times" w:hAnsi="Times"/>
          <w:b/>
        </w:rPr>
        <w:t>22</w:t>
      </w:r>
      <w:r w:rsidRPr="008E186F">
        <w:rPr>
          <w:rFonts w:ascii="Times" w:hAnsi="Times"/>
        </w:rPr>
        <w:t>, 292–298 (2012).</w:t>
      </w:r>
    </w:p>
    <w:p w14:paraId="33090458" w14:textId="77777777" w:rsidR="004B2953" w:rsidRPr="008E186F" w:rsidRDefault="004B2953" w:rsidP="004B2953">
      <w:pPr>
        <w:pStyle w:val="Bibliography"/>
        <w:rPr>
          <w:rFonts w:ascii="Times" w:hAnsi="Times"/>
        </w:rPr>
      </w:pPr>
      <w:r w:rsidRPr="008E186F">
        <w:rPr>
          <w:rFonts w:ascii="Times" w:hAnsi="Times"/>
        </w:rPr>
        <w:t xml:space="preserve">12. J. P. </w:t>
      </w:r>
      <w:proofErr w:type="spellStart"/>
      <w:r w:rsidRPr="008E186F">
        <w:rPr>
          <w:rFonts w:ascii="Times" w:hAnsi="Times"/>
        </w:rPr>
        <w:t>Zackular</w:t>
      </w:r>
      <w:proofErr w:type="spellEnd"/>
      <w:r w:rsidRPr="008E186F">
        <w:rPr>
          <w:rFonts w:ascii="Times" w:hAnsi="Times"/>
        </w:rPr>
        <w:t xml:space="preserve">, N. T. Baxter, K. D. Iverson, W. D. Sadler, J. F. </w:t>
      </w:r>
      <w:proofErr w:type="spellStart"/>
      <w:r w:rsidRPr="008E186F">
        <w:rPr>
          <w:rFonts w:ascii="Times" w:hAnsi="Times"/>
        </w:rPr>
        <w:t>Petrosino</w:t>
      </w:r>
      <w:proofErr w:type="spellEnd"/>
      <w:r w:rsidRPr="008E186F">
        <w:rPr>
          <w:rFonts w:ascii="Times" w:hAnsi="Times"/>
        </w:rPr>
        <w:t xml:space="preserve">, G. Y. Chen, P. D. </w:t>
      </w:r>
      <w:proofErr w:type="spellStart"/>
      <w:r w:rsidRPr="008E186F">
        <w:rPr>
          <w:rFonts w:ascii="Times" w:hAnsi="Times"/>
        </w:rPr>
        <w:t>Schloss</w:t>
      </w:r>
      <w:proofErr w:type="spellEnd"/>
      <w:r w:rsidRPr="008E186F">
        <w:rPr>
          <w:rFonts w:ascii="Times" w:hAnsi="Times"/>
        </w:rPr>
        <w:t xml:space="preserve">, The gut microbiome modulates colon tumorigenesis. </w:t>
      </w:r>
      <w:proofErr w:type="spellStart"/>
      <w:r w:rsidRPr="008E186F">
        <w:rPr>
          <w:rFonts w:ascii="Times" w:hAnsi="Times"/>
          <w:i/>
        </w:rPr>
        <w:t>MBio</w:t>
      </w:r>
      <w:proofErr w:type="spellEnd"/>
      <w:r w:rsidRPr="008E186F">
        <w:rPr>
          <w:rFonts w:ascii="Times" w:hAnsi="Times"/>
        </w:rPr>
        <w:t xml:space="preserve"> </w:t>
      </w:r>
      <w:r w:rsidRPr="008E186F">
        <w:rPr>
          <w:rFonts w:ascii="Times" w:hAnsi="Times"/>
          <w:b/>
        </w:rPr>
        <w:t>4</w:t>
      </w:r>
      <w:r w:rsidRPr="008E186F">
        <w:rPr>
          <w:rFonts w:ascii="Times" w:hAnsi="Times"/>
        </w:rPr>
        <w:t>, e00692–13 (2013).</w:t>
      </w:r>
    </w:p>
    <w:p w14:paraId="7BF86C45" w14:textId="77777777" w:rsidR="004B2953" w:rsidRPr="008E186F" w:rsidRDefault="004B2953" w:rsidP="004B2953">
      <w:pPr>
        <w:pStyle w:val="Bibliography"/>
        <w:rPr>
          <w:rFonts w:ascii="Times" w:hAnsi="Times"/>
        </w:rPr>
      </w:pPr>
      <w:r w:rsidRPr="008E186F">
        <w:rPr>
          <w:rFonts w:ascii="Times" w:hAnsi="Times"/>
        </w:rPr>
        <w:t xml:space="preserve">13. A. D. </w:t>
      </w:r>
      <w:proofErr w:type="spellStart"/>
      <w:r w:rsidRPr="008E186F">
        <w:rPr>
          <w:rFonts w:ascii="Times" w:hAnsi="Times"/>
        </w:rPr>
        <w:t>Kostic</w:t>
      </w:r>
      <w:proofErr w:type="spellEnd"/>
      <w:r w:rsidRPr="008E186F">
        <w:rPr>
          <w:rFonts w:ascii="Times" w:hAnsi="Times"/>
        </w:rPr>
        <w:t xml:space="preserve">, E. Chun, L. Robertson, J. N. Glickman, C. A. </w:t>
      </w:r>
      <w:proofErr w:type="spellStart"/>
      <w:r w:rsidRPr="008E186F">
        <w:rPr>
          <w:rFonts w:ascii="Times" w:hAnsi="Times"/>
        </w:rPr>
        <w:t>Gallini</w:t>
      </w:r>
      <w:proofErr w:type="spellEnd"/>
      <w:r w:rsidRPr="008E186F">
        <w:rPr>
          <w:rFonts w:ascii="Times" w:hAnsi="Times"/>
        </w:rPr>
        <w:t xml:space="preserve">, M. Michaud, T. E. Clancy, D. C. Chung, P. </w:t>
      </w:r>
      <w:proofErr w:type="spellStart"/>
      <w:r w:rsidRPr="008E186F">
        <w:rPr>
          <w:rFonts w:ascii="Times" w:hAnsi="Times"/>
        </w:rPr>
        <w:t>Lochhead</w:t>
      </w:r>
      <w:proofErr w:type="spellEnd"/>
      <w:r w:rsidRPr="008E186F">
        <w:rPr>
          <w:rFonts w:ascii="Times" w:hAnsi="Times"/>
        </w:rPr>
        <w:t xml:space="preserve">, G. L. Hold, others, Fusobacterium nucleatum potentiates intestinal tumorigenesis and modulates the tumor-immune microenvironment. </w:t>
      </w:r>
      <w:r w:rsidRPr="008E186F">
        <w:rPr>
          <w:rFonts w:ascii="Times" w:hAnsi="Times"/>
          <w:i/>
        </w:rPr>
        <w:t>Cell Host &amp; Microbe</w:t>
      </w:r>
      <w:r w:rsidRPr="008E186F">
        <w:rPr>
          <w:rFonts w:ascii="Times" w:hAnsi="Times"/>
        </w:rPr>
        <w:t xml:space="preserve"> </w:t>
      </w:r>
      <w:r w:rsidRPr="008E186F">
        <w:rPr>
          <w:rFonts w:ascii="Times" w:hAnsi="Times"/>
          <w:b/>
        </w:rPr>
        <w:t>14</w:t>
      </w:r>
      <w:r w:rsidRPr="008E186F">
        <w:rPr>
          <w:rFonts w:ascii="Times" w:hAnsi="Times"/>
        </w:rPr>
        <w:t>, 207–215 (2013).</w:t>
      </w:r>
    </w:p>
    <w:p w14:paraId="045E9E23" w14:textId="77777777" w:rsidR="004B2953" w:rsidRPr="008E186F" w:rsidRDefault="004B2953" w:rsidP="004B2953">
      <w:pPr>
        <w:pStyle w:val="Bibliography"/>
        <w:rPr>
          <w:rFonts w:ascii="Times" w:hAnsi="Times"/>
        </w:rPr>
      </w:pPr>
      <w:r w:rsidRPr="008E186F">
        <w:rPr>
          <w:rFonts w:ascii="Times" w:hAnsi="Times"/>
        </w:rPr>
        <w:t xml:space="preserve">14. S. Wu, K.-J. Rhee, E. </w:t>
      </w:r>
      <w:proofErr w:type="spellStart"/>
      <w:r w:rsidRPr="008E186F">
        <w:rPr>
          <w:rFonts w:ascii="Times" w:hAnsi="Times"/>
        </w:rPr>
        <w:t>Albesiano</w:t>
      </w:r>
      <w:proofErr w:type="spellEnd"/>
      <w:r w:rsidRPr="008E186F">
        <w:rPr>
          <w:rFonts w:ascii="Times" w:hAnsi="Times"/>
        </w:rPr>
        <w:t xml:space="preserve">, S. </w:t>
      </w:r>
      <w:proofErr w:type="spellStart"/>
      <w:r w:rsidRPr="008E186F">
        <w:rPr>
          <w:rFonts w:ascii="Times" w:hAnsi="Times"/>
        </w:rPr>
        <w:t>Rabizadeh</w:t>
      </w:r>
      <w:proofErr w:type="spellEnd"/>
      <w:r w:rsidRPr="008E186F">
        <w:rPr>
          <w:rFonts w:ascii="Times" w:hAnsi="Times"/>
        </w:rPr>
        <w:t xml:space="preserve">, X. Wu, H.-R. Yen, D. L. </w:t>
      </w:r>
      <w:proofErr w:type="spellStart"/>
      <w:r w:rsidRPr="008E186F">
        <w:rPr>
          <w:rFonts w:ascii="Times" w:hAnsi="Times"/>
        </w:rPr>
        <w:t>Huso</w:t>
      </w:r>
      <w:proofErr w:type="spellEnd"/>
      <w:r w:rsidRPr="008E186F">
        <w:rPr>
          <w:rFonts w:ascii="Times" w:hAnsi="Times"/>
        </w:rPr>
        <w:t xml:space="preserve">, F. L. </w:t>
      </w:r>
      <w:proofErr w:type="spellStart"/>
      <w:r w:rsidRPr="008E186F">
        <w:rPr>
          <w:rFonts w:ascii="Times" w:hAnsi="Times"/>
        </w:rPr>
        <w:t>Brancati</w:t>
      </w:r>
      <w:proofErr w:type="spellEnd"/>
      <w:r w:rsidRPr="008E186F">
        <w:rPr>
          <w:rFonts w:ascii="Times" w:hAnsi="Times"/>
        </w:rPr>
        <w:t xml:space="preserve">, E. Wick, F. McAllister, others, A human colonic commensal promotes colon tumorigenesis via activation of T helper type 17 T cell responses. </w:t>
      </w:r>
      <w:r w:rsidRPr="008E186F">
        <w:rPr>
          <w:rFonts w:ascii="Times" w:hAnsi="Times"/>
          <w:i/>
        </w:rPr>
        <w:t>Nature Medicine</w:t>
      </w:r>
      <w:r w:rsidRPr="008E186F">
        <w:rPr>
          <w:rFonts w:ascii="Times" w:hAnsi="Times"/>
        </w:rPr>
        <w:t xml:space="preserve"> </w:t>
      </w:r>
      <w:r w:rsidRPr="008E186F">
        <w:rPr>
          <w:rFonts w:ascii="Times" w:hAnsi="Times"/>
          <w:b/>
        </w:rPr>
        <w:t>15</w:t>
      </w:r>
      <w:r w:rsidRPr="008E186F">
        <w:rPr>
          <w:rFonts w:ascii="Times" w:hAnsi="Times"/>
        </w:rPr>
        <w:t>, 1016–1022 (2009).</w:t>
      </w:r>
    </w:p>
    <w:p w14:paraId="3CE55CFD" w14:textId="77777777" w:rsidR="004B2953" w:rsidRPr="008E186F" w:rsidRDefault="004B2953" w:rsidP="004B2953">
      <w:pPr>
        <w:pStyle w:val="Bibliography"/>
        <w:rPr>
          <w:rFonts w:ascii="Times" w:hAnsi="Times"/>
        </w:rPr>
      </w:pPr>
      <w:r w:rsidRPr="008E186F">
        <w:rPr>
          <w:rFonts w:ascii="Times" w:hAnsi="Times"/>
        </w:rPr>
        <w:t>15. J. C. Arthur, E. Perez-</w:t>
      </w:r>
      <w:proofErr w:type="spellStart"/>
      <w:r w:rsidRPr="008E186F">
        <w:rPr>
          <w:rFonts w:ascii="Times" w:hAnsi="Times"/>
        </w:rPr>
        <w:t>Chanona</w:t>
      </w:r>
      <w:proofErr w:type="spellEnd"/>
      <w:r w:rsidRPr="008E186F">
        <w:rPr>
          <w:rFonts w:ascii="Times" w:hAnsi="Times"/>
        </w:rPr>
        <w:t xml:space="preserve">, M. </w:t>
      </w:r>
      <w:proofErr w:type="spellStart"/>
      <w:r w:rsidRPr="008E186F">
        <w:rPr>
          <w:rFonts w:ascii="Times" w:hAnsi="Times"/>
        </w:rPr>
        <w:t>Mühlbauer</w:t>
      </w:r>
      <w:proofErr w:type="spellEnd"/>
      <w:r w:rsidRPr="008E186F">
        <w:rPr>
          <w:rFonts w:ascii="Times" w:hAnsi="Times"/>
        </w:rPr>
        <w:t xml:space="preserve">, S. </w:t>
      </w:r>
      <w:proofErr w:type="spellStart"/>
      <w:r w:rsidRPr="008E186F">
        <w:rPr>
          <w:rFonts w:ascii="Times" w:hAnsi="Times"/>
        </w:rPr>
        <w:t>Tomkovich</w:t>
      </w:r>
      <w:proofErr w:type="spellEnd"/>
      <w:r w:rsidRPr="008E186F">
        <w:rPr>
          <w:rFonts w:ascii="Times" w:hAnsi="Times"/>
        </w:rPr>
        <w:t xml:space="preserve">, J. M. </w:t>
      </w:r>
      <w:proofErr w:type="spellStart"/>
      <w:r w:rsidRPr="008E186F">
        <w:rPr>
          <w:rFonts w:ascii="Times" w:hAnsi="Times"/>
        </w:rPr>
        <w:t>Uronis</w:t>
      </w:r>
      <w:proofErr w:type="spellEnd"/>
      <w:r w:rsidRPr="008E186F">
        <w:rPr>
          <w:rFonts w:ascii="Times" w:hAnsi="Times"/>
        </w:rPr>
        <w:t xml:space="preserve">, T.-J. Fan, B. J. Campbell, T. </w:t>
      </w:r>
      <w:proofErr w:type="spellStart"/>
      <w:r w:rsidRPr="008E186F">
        <w:rPr>
          <w:rFonts w:ascii="Times" w:hAnsi="Times"/>
        </w:rPr>
        <w:t>Abujamel</w:t>
      </w:r>
      <w:proofErr w:type="spellEnd"/>
      <w:r w:rsidRPr="008E186F">
        <w:rPr>
          <w:rFonts w:ascii="Times" w:hAnsi="Times"/>
        </w:rPr>
        <w:t xml:space="preserve">, B. </w:t>
      </w:r>
      <w:proofErr w:type="spellStart"/>
      <w:r w:rsidRPr="008E186F">
        <w:rPr>
          <w:rFonts w:ascii="Times" w:hAnsi="Times"/>
        </w:rPr>
        <w:t>Dogan</w:t>
      </w:r>
      <w:proofErr w:type="spellEnd"/>
      <w:r w:rsidRPr="008E186F">
        <w:rPr>
          <w:rFonts w:ascii="Times" w:hAnsi="Times"/>
        </w:rPr>
        <w:t xml:space="preserve">, A. B. Rogers, others, Intestinal inflammation targets cancer-inducing activity of the microbiota. </w:t>
      </w:r>
      <w:r w:rsidRPr="008E186F">
        <w:rPr>
          <w:rFonts w:ascii="Times" w:hAnsi="Times"/>
          <w:i/>
        </w:rPr>
        <w:t>Science</w:t>
      </w:r>
      <w:r w:rsidRPr="008E186F">
        <w:rPr>
          <w:rFonts w:ascii="Times" w:hAnsi="Times"/>
        </w:rPr>
        <w:t xml:space="preserve"> </w:t>
      </w:r>
      <w:r w:rsidRPr="008E186F">
        <w:rPr>
          <w:rFonts w:ascii="Times" w:hAnsi="Times"/>
          <w:b/>
        </w:rPr>
        <w:t>338</w:t>
      </w:r>
      <w:r w:rsidRPr="008E186F">
        <w:rPr>
          <w:rFonts w:ascii="Times" w:hAnsi="Times"/>
        </w:rPr>
        <w:t>, 120–123 (2012).</w:t>
      </w:r>
    </w:p>
    <w:p w14:paraId="462D1932" w14:textId="77777777" w:rsidR="004B2953" w:rsidRPr="008E186F" w:rsidRDefault="004B2953" w:rsidP="004B2953">
      <w:pPr>
        <w:pStyle w:val="Bibliography"/>
        <w:rPr>
          <w:rFonts w:ascii="Times" w:hAnsi="Times"/>
        </w:rPr>
      </w:pPr>
      <w:r w:rsidRPr="008E186F">
        <w:rPr>
          <w:rFonts w:ascii="Times" w:hAnsi="Times"/>
        </w:rPr>
        <w:t xml:space="preserve">16. J. P. </w:t>
      </w:r>
      <w:proofErr w:type="spellStart"/>
      <w:r w:rsidRPr="008E186F">
        <w:rPr>
          <w:rFonts w:ascii="Times" w:hAnsi="Times"/>
        </w:rPr>
        <w:t>Zackular</w:t>
      </w:r>
      <w:proofErr w:type="spellEnd"/>
      <w:r w:rsidRPr="008E186F">
        <w:rPr>
          <w:rFonts w:ascii="Times" w:hAnsi="Times"/>
        </w:rPr>
        <w:t xml:space="preserve">, M. A. Rogers, M. T. Ruffin, P. D. </w:t>
      </w:r>
      <w:proofErr w:type="spellStart"/>
      <w:r w:rsidRPr="008E186F">
        <w:rPr>
          <w:rFonts w:ascii="Times" w:hAnsi="Times"/>
        </w:rPr>
        <w:t>Schloss</w:t>
      </w:r>
      <w:proofErr w:type="spellEnd"/>
      <w:r w:rsidRPr="008E186F">
        <w:rPr>
          <w:rFonts w:ascii="Times" w:hAnsi="Times"/>
        </w:rPr>
        <w:t xml:space="preserve">, The human gut microbiome as a screening tool for colorectal cancer. </w:t>
      </w:r>
      <w:r w:rsidRPr="008E186F">
        <w:rPr>
          <w:rFonts w:ascii="Times" w:hAnsi="Times"/>
          <w:i/>
        </w:rPr>
        <w:t>Cancer Prevention Research</w:t>
      </w:r>
      <w:r w:rsidRPr="008E186F">
        <w:rPr>
          <w:rFonts w:ascii="Times" w:hAnsi="Times"/>
        </w:rPr>
        <w:t xml:space="preserve"> </w:t>
      </w:r>
      <w:r w:rsidRPr="008E186F">
        <w:rPr>
          <w:rFonts w:ascii="Times" w:hAnsi="Times"/>
          <w:b/>
        </w:rPr>
        <w:t>7</w:t>
      </w:r>
      <w:r w:rsidRPr="008E186F">
        <w:rPr>
          <w:rFonts w:ascii="Times" w:hAnsi="Times"/>
        </w:rPr>
        <w:t>, 1112–1121 (2014).</w:t>
      </w:r>
    </w:p>
    <w:p w14:paraId="4B2C7159" w14:textId="77777777" w:rsidR="004B2953" w:rsidRPr="008E186F" w:rsidRDefault="004B2953" w:rsidP="004B2953">
      <w:pPr>
        <w:pStyle w:val="Bibliography"/>
        <w:rPr>
          <w:rFonts w:ascii="Times" w:hAnsi="Times"/>
        </w:rPr>
      </w:pPr>
      <w:r w:rsidRPr="008E186F">
        <w:rPr>
          <w:rFonts w:ascii="Times" w:hAnsi="Times"/>
        </w:rPr>
        <w:lastRenderedPageBreak/>
        <w:t xml:space="preserve">17. G. Zeller, J. Tap, A. Y. Voigt, S. </w:t>
      </w:r>
      <w:proofErr w:type="spellStart"/>
      <w:r w:rsidRPr="008E186F">
        <w:rPr>
          <w:rFonts w:ascii="Times" w:hAnsi="Times"/>
        </w:rPr>
        <w:t>Sunagawa</w:t>
      </w:r>
      <w:proofErr w:type="spellEnd"/>
      <w:r w:rsidRPr="008E186F">
        <w:rPr>
          <w:rFonts w:ascii="Times" w:hAnsi="Times"/>
        </w:rPr>
        <w:t xml:space="preserve">, J. R. </w:t>
      </w:r>
      <w:proofErr w:type="spellStart"/>
      <w:r w:rsidRPr="008E186F">
        <w:rPr>
          <w:rFonts w:ascii="Times" w:hAnsi="Times"/>
        </w:rPr>
        <w:t>Kultima</w:t>
      </w:r>
      <w:proofErr w:type="spellEnd"/>
      <w:r w:rsidRPr="008E186F">
        <w:rPr>
          <w:rFonts w:ascii="Times" w:hAnsi="Times"/>
        </w:rPr>
        <w:t xml:space="preserve">, P. I. </w:t>
      </w:r>
      <w:proofErr w:type="spellStart"/>
      <w:r w:rsidRPr="008E186F">
        <w:rPr>
          <w:rFonts w:ascii="Times" w:hAnsi="Times"/>
        </w:rPr>
        <w:t>Costea</w:t>
      </w:r>
      <w:proofErr w:type="spellEnd"/>
      <w:r w:rsidRPr="008E186F">
        <w:rPr>
          <w:rFonts w:ascii="Times" w:hAnsi="Times"/>
        </w:rPr>
        <w:t xml:space="preserve">, A. </w:t>
      </w:r>
      <w:proofErr w:type="spellStart"/>
      <w:r w:rsidRPr="008E186F">
        <w:rPr>
          <w:rFonts w:ascii="Times" w:hAnsi="Times"/>
        </w:rPr>
        <w:t>Amiot</w:t>
      </w:r>
      <w:proofErr w:type="spellEnd"/>
      <w:r w:rsidRPr="008E186F">
        <w:rPr>
          <w:rFonts w:ascii="Times" w:hAnsi="Times"/>
        </w:rPr>
        <w:t xml:space="preserve">, J. </w:t>
      </w:r>
      <w:proofErr w:type="spellStart"/>
      <w:r w:rsidRPr="008E186F">
        <w:rPr>
          <w:rFonts w:ascii="Times" w:hAnsi="Times"/>
        </w:rPr>
        <w:t>Böhm</w:t>
      </w:r>
      <w:proofErr w:type="spellEnd"/>
      <w:r w:rsidRPr="008E186F">
        <w:rPr>
          <w:rFonts w:ascii="Times" w:hAnsi="Times"/>
        </w:rPr>
        <w:t xml:space="preserve">, F. </w:t>
      </w:r>
      <w:proofErr w:type="spellStart"/>
      <w:r w:rsidRPr="008E186F">
        <w:rPr>
          <w:rFonts w:ascii="Times" w:hAnsi="Times"/>
        </w:rPr>
        <w:t>Brunetti</w:t>
      </w:r>
      <w:proofErr w:type="spellEnd"/>
      <w:r w:rsidRPr="008E186F">
        <w:rPr>
          <w:rFonts w:ascii="Times" w:hAnsi="Times"/>
        </w:rPr>
        <w:t xml:space="preserve">, N. </w:t>
      </w:r>
      <w:proofErr w:type="spellStart"/>
      <w:r w:rsidRPr="008E186F">
        <w:rPr>
          <w:rFonts w:ascii="Times" w:hAnsi="Times"/>
        </w:rPr>
        <w:t>Habermann</w:t>
      </w:r>
      <w:proofErr w:type="spellEnd"/>
      <w:r w:rsidRPr="008E186F">
        <w:rPr>
          <w:rFonts w:ascii="Times" w:hAnsi="Times"/>
        </w:rPr>
        <w:t xml:space="preserve">, others, Potential of fecal microbiota for early-stage detection of colorectal cancer. </w:t>
      </w:r>
      <w:r w:rsidRPr="008E186F">
        <w:rPr>
          <w:rFonts w:ascii="Times" w:hAnsi="Times"/>
          <w:i/>
        </w:rPr>
        <w:t>Molecular Systems Biology</w:t>
      </w:r>
      <w:r w:rsidRPr="008E186F">
        <w:rPr>
          <w:rFonts w:ascii="Times" w:hAnsi="Times"/>
        </w:rPr>
        <w:t xml:space="preserve"> </w:t>
      </w:r>
      <w:r w:rsidRPr="008E186F">
        <w:rPr>
          <w:rFonts w:ascii="Times" w:hAnsi="Times"/>
          <w:b/>
        </w:rPr>
        <w:t>10</w:t>
      </w:r>
      <w:r w:rsidRPr="008E186F">
        <w:rPr>
          <w:rFonts w:ascii="Times" w:hAnsi="Times"/>
        </w:rPr>
        <w:t>, 766 (2014).</w:t>
      </w:r>
    </w:p>
    <w:p w14:paraId="0305498A" w14:textId="77777777" w:rsidR="004B2953" w:rsidRPr="008E186F" w:rsidRDefault="004B2953" w:rsidP="004B2953">
      <w:pPr>
        <w:pStyle w:val="Bibliography"/>
        <w:rPr>
          <w:rFonts w:ascii="Times" w:hAnsi="Times"/>
        </w:rPr>
      </w:pPr>
      <w:r w:rsidRPr="008E186F">
        <w:rPr>
          <w:rFonts w:ascii="Times" w:hAnsi="Times"/>
        </w:rPr>
        <w:t xml:space="preserve">18. A. </w:t>
      </w:r>
      <w:proofErr w:type="spellStart"/>
      <w:r w:rsidRPr="008E186F">
        <w:rPr>
          <w:rFonts w:ascii="Times" w:hAnsi="Times"/>
        </w:rPr>
        <w:t>Liaw</w:t>
      </w:r>
      <w:proofErr w:type="spellEnd"/>
      <w:r w:rsidRPr="008E186F">
        <w:rPr>
          <w:rFonts w:ascii="Times" w:hAnsi="Times"/>
        </w:rPr>
        <w:t xml:space="preserve">, M. Wiener, Classification and regression by </w:t>
      </w:r>
      <w:proofErr w:type="spellStart"/>
      <w:r w:rsidRPr="008E186F">
        <w:rPr>
          <w:rFonts w:ascii="Times" w:hAnsi="Times"/>
        </w:rPr>
        <w:t>randomForest</w:t>
      </w:r>
      <w:proofErr w:type="spellEnd"/>
      <w:r w:rsidRPr="008E186F">
        <w:rPr>
          <w:rFonts w:ascii="Times" w:hAnsi="Times"/>
        </w:rPr>
        <w:t xml:space="preserve">. </w:t>
      </w:r>
      <w:r w:rsidRPr="008E186F">
        <w:rPr>
          <w:rFonts w:ascii="Times" w:hAnsi="Times"/>
          <w:i/>
        </w:rPr>
        <w:t>R News</w:t>
      </w:r>
      <w:r w:rsidRPr="008E186F">
        <w:rPr>
          <w:rFonts w:ascii="Times" w:hAnsi="Times"/>
        </w:rPr>
        <w:t xml:space="preserve"> </w:t>
      </w:r>
      <w:r w:rsidRPr="008E186F">
        <w:rPr>
          <w:rFonts w:ascii="Times" w:hAnsi="Times"/>
          <w:b/>
        </w:rPr>
        <w:t>2</w:t>
      </w:r>
      <w:r w:rsidRPr="008E186F">
        <w:rPr>
          <w:rFonts w:ascii="Times" w:hAnsi="Times"/>
        </w:rPr>
        <w:t>, 18–22 (2002).</w:t>
      </w:r>
    </w:p>
    <w:p w14:paraId="7CE2DD50" w14:textId="77777777" w:rsidR="004B2953" w:rsidRPr="008E186F" w:rsidRDefault="004B2953" w:rsidP="004B2953">
      <w:pPr>
        <w:pStyle w:val="Bibliography"/>
        <w:rPr>
          <w:rFonts w:ascii="Times" w:hAnsi="Times"/>
        </w:rPr>
      </w:pPr>
      <w:r w:rsidRPr="008E186F">
        <w:rPr>
          <w:rFonts w:ascii="Times" w:hAnsi="Times"/>
        </w:rPr>
        <w:t xml:space="preserve">19. M. L. </w:t>
      </w:r>
      <w:proofErr w:type="spellStart"/>
      <w:r w:rsidRPr="008E186F">
        <w:rPr>
          <w:rFonts w:ascii="Times" w:hAnsi="Times"/>
        </w:rPr>
        <w:t>Calle</w:t>
      </w:r>
      <w:proofErr w:type="spellEnd"/>
      <w:r w:rsidRPr="008E186F">
        <w:rPr>
          <w:rFonts w:ascii="Times" w:hAnsi="Times"/>
        </w:rPr>
        <w:t xml:space="preserve">, V. </w:t>
      </w:r>
      <w:proofErr w:type="spellStart"/>
      <w:r w:rsidRPr="008E186F">
        <w:rPr>
          <w:rFonts w:ascii="Times" w:hAnsi="Times"/>
        </w:rPr>
        <w:t>Urrea</w:t>
      </w:r>
      <w:proofErr w:type="spellEnd"/>
      <w:r w:rsidRPr="008E186F">
        <w:rPr>
          <w:rFonts w:ascii="Times" w:hAnsi="Times"/>
        </w:rPr>
        <w:t xml:space="preserve">, A.-L. </w:t>
      </w:r>
      <w:proofErr w:type="spellStart"/>
      <w:r w:rsidRPr="008E186F">
        <w:rPr>
          <w:rFonts w:ascii="Times" w:hAnsi="Times"/>
        </w:rPr>
        <w:t>Boulesteix</w:t>
      </w:r>
      <w:proofErr w:type="spellEnd"/>
      <w:r w:rsidRPr="008E186F">
        <w:rPr>
          <w:rFonts w:ascii="Times" w:hAnsi="Times"/>
        </w:rPr>
        <w:t xml:space="preserve">, N. </w:t>
      </w:r>
      <w:proofErr w:type="spellStart"/>
      <w:r w:rsidRPr="008E186F">
        <w:rPr>
          <w:rFonts w:ascii="Times" w:hAnsi="Times"/>
        </w:rPr>
        <w:t>Malats</w:t>
      </w:r>
      <w:proofErr w:type="spellEnd"/>
      <w:r w:rsidRPr="008E186F">
        <w:rPr>
          <w:rFonts w:ascii="Times" w:hAnsi="Times"/>
        </w:rPr>
        <w:t xml:space="preserve">, AUC-RF: A new strategy for genomic profiling with random forest. </w:t>
      </w:r>
      <w:r w:rsidRPr="008E186F">
        <w:rPr>
          <w:rFonts w:ascii="Times" w:hAnsi="Times"/>
          <w:i/>
        </w:rPr>
        <w:t>Human Heredity</w:t>
      </w:r>
      <w:r w:rsidRPr="008E186F">
        <w:rPr>
          <w:rFonts w:ascii="Times" w:hAnsi="Times"/>
        </w:rPr>
        <w:t xml:space="preserve"> </w:t>
      </w:r>
      <w:r w:rsidRPr="008E186F">
        <w:rPr>
          <w:rFonts w:ascii="Times" w:hAnsi="Times"/>
          <w:b/>
        </w:rPr>
        <w:t>72</w:t>
      </w:r>
      <w:r w:rsidRPr="008E186F">
        <w:rPr>
          <w:rFonts w:ascii="Times" w:hAnsi="Times"/>
        </w:rPr>
        <w:t>, 121–132 (2011).</w:t>
      </w:r>
    </w:p>
    <w:p w14:paraId="26515062" w14:textId="77777777" w:rsidR="004B2953" w:rsidRPr="008E186F" w:rsidRDefault="004B2953" w:rsidP="004B2953">
      <w:pPr>
        <w:pStyle w:val="Bibliography"/>
        <w:rPr>
          <w:rFonts w:ascii="Times" w:hAnsi="Times"/>
        </w:rPr>
      </w:pPr>
      <w:r w:rsidRPr="008E186F">
        <w:rPr>
          <w:rFonts w:ascii="Times" w:hAnsi="Times"/>
        </w:rPr>
        <w:t xml:space="preserve">20. S. E. </w:t>
      </w:r>
      <w:proofErr w:type="spellStart"/>
      <w:r w:rsidRPr="008E186F">
        <w:rPr>
          <w:rFonts w:ascii="Times" w:hAnsi="Times"/>
        </w:rPr>
        <w:t>Pryde</w:t>
      </w:r>
      <w:proofErr w:type="spellEnd"/>
      <w:r w:rsidRPr="008E186F">
        <w:rPr>
          <w:rFonts w:ascii="Times" w:hAnsi="Times"/>
        </w:rPr>
        <w:t xml:space="preserve">, S. H. Duncan, G. L. Hold, C. S. Stewart, H. J. Flint, The microbiology of butyrate formation in the human colon. </w:t>
      </w:r>
      <w:r w:rsidRPr="008E186F">
        <w:rPr>
          <w:rFonts w:ascii="Times" w:hAnsi="Times"/>
          <w:i/>
        </w:rPr>
        <w:t>FEMS Microbiology Letters</w:t>
      </w:r>
      <w:r w:rsidRPr="008E186F">
        <w:rPr>
          <w:rFonts w:ascii="Times" w:hAnsi="Times"/>
        </w:rPr>
        <w:t xml:space="preserve"> </w:t>
      </w:r>
      <w:r w:rsidRPr="008E186F">
        <w:rPr>
          <w:rFonts w:ascii="Times" w:hAnsi="Times"/>
          <w:b/>
        </w:rPr>
        <w:t>217</w:t>
      </w:r>
      <w:r w:rsidRPr="008E186F">
        <w:rPr>
          <w:rFonts w:ascii="Times" w:hAnsi="Times"/>
        </w:rPr>
        <w:t>, 133–139 (2002).</w:t>
      </w:r>
    </w:p>
    <w:p w14:paraId="188595FF" w14:textId="77777777" w:rsidR="004B2953" w:rsidRPr="008E186F" w:rsidRDefault="004B2953" w:rsidP="004B2953">
      <w:pPr>
        <w:pStyle w:val="Bibliography"/>
        <w:rPr>
          <w:rFonts w:ascii="Times" w:hAnsi="Times"/>
        </w:rPr>
      </w:pPr>
      <w:r w:rsidRPr="008E186F">
        <w:rPr>
          <w:rFonts w:ascii="Times" w:hAnsi="Times"/>
        </w:rPr>
        <w:t xml:space="preserve">21. D. K. Rex, D. A. Johnson, J. C. Anderson, P. S. </w:t>
      </w:r>
      <w:proofErr w:type="spellStart"/>
      <w:r w:rsidRPr="008E186F">
        <w:rPr>
          <w:rFonts w:ascii="Times" w:hAnsi="Times"/>
        </w:rPr>
        <w:t>Schoenfeld</w:t>
      </w:r>
      <w:proofErr w:type="spellEnd"/>
      <w:r w:rsidRPr="008E186F">
        <w:rPr>
          <w:rFonts w:ascii="Times" w:hAnsi="Times"/>
        </w:rPr>
        <w:t xml:space="preserve">, C. A. Burke, J. M. </w:t>
      </w:r>
      <w:proofErr w:type="spellStart"/>
      <w:r w:rsidRPr="008E186F">
        <w:rPr>
          <w:rFonts w:ascii="Times" w:hAnsi="Times"/>
        </w:rPr>
        <w:t>Inadomi</w:t>
      </w:r>
      <w:proofErr w:type="spellEnd"/>
      <w:r w:rsidRPr="008E186F">
        <w:rPr>
          <w:rFonts w:ascii="Times" w:hAnsi="Times"/>
        </w:rPr>
        <w:t xml:space="preserve">, American College of Gastroenterology guidelines for colorectal cancer screening 2008. </w:t>
      </w:r>
      <w:r w:rsidRPr="008E186F">
        <w:rPr>
          <w:rFonts w:ascii="Times" w:hAnsi="Times"/>
          <w:i/>
        </w:rPr>
        <w:t>The American Journal of Gastroenterology</w:t>
      </w:r>
      <w:r w:rsidRPr="008E186F">
        <w:rPr>
          <w:rFonts w:ascii="Times" w:hAnsi="Times"/>
        </w:rPr>
        <w:t xml:space="preserve"> </w:t>
      </w:r>
      <w:r w:rsidRPr="008E186F">
        <w:rPr>
          <w:rFonts w:ascii="Times" w:hAnsi="Times"/>
          <w:b/>
        </w:rPr>
        <w:t>104</w:t>
      </w:r>
      <w:r w:rsidRPr="008E186F">
        <w:rPr>
          <w:rFonts w:ascii="Times" w:hAnsi="Times"/>
        </w:rPr>
        <w:t>, 739–750 (2009).</w:t>
      </w:r>
    </w:p>
    <w:p w14:paraId="57D81BAC" w14:textId="77777777" w:rsidR="004B2953" w:rsidRPr="008E186F" w:rsidRDefault="004B2953" w:rsidP="004B2953">
      <w:pPr>
        <w:pStyle w:val="Bibliography"/>
        <w:rPr>
          <w:rFonts w:ascii="Times" w:hAnsi="Times"/>
        </w:rPr>
      </w:pPr>
      <w:r w:rsidRPr="008E186F">
        <w:rPr>
          <w:rFonts w:ascii="Times" w:hAnsi="Times"/>
        </w:rPr>
        <w:t xml:space="preserve">22. W. J. </w:t>
      </w:r>
      <w:proofErr w:type="spellStart"/>
      <w:r w:rsidRPr="008E186F">
        <w:rPr>
          <w:rFonts w:ascii="Times" w:hAnsi="Times"/>
        </w:rPr>
        <w:t>Youden</w:t>
      </w:r>
      <w:proofErr w:type="spellEnd"/>
      <w:r w:rsidRPr="008E186F">
        <w:rPr>
          <w:rFonts w:ascii="Times" w:hAnsi="Times"/>
        </w:rPr>
        <w:t xml:space="preserve">, Index for rating diagnostic tests. </w:t>
      </w:r>
      <w:r w:rsidRPr="008E186F">
        <w:rPr>
          <w:rFonts w:ascii="Times" w:hAnsi="Times"/>
          <w:i/>
        </w:rPr>
        <w:t>Cancer</w:t>
      </w:r>
      <w:r w:rsidRPr="008E186F">
        <w:rPr>
          <w:rFonts w:ascii="Times" w:hAnsi="Times"/>
        </w:rPr>
        <w:t xml:space="preserve"> </w:t>
      </w:r>
      <w:r w:rsidRPr="008E186F">
        <w:rPr>
          <w:rFonts w:ascii="Times" w:hAnsi="Times"/>
          <w:b/>
        </w:rPr>
        <w:t>3</w:t>
      </w:r>
      <w:r w:rsidRPr="008E186F">
        <w:rPr>
          <w:rFonts w:ascii="Times" w:hAnsi="Times"/>
        </w:rPr>
        <w:t>, 32–35 (1950).</w:t>
      </w:r>
    </w:p>
    <w:p w14:paraId="18AA6CA1" w14:textId="77777777" w:rsidR="004B2953" w:rsidRPr="008E186F" w:rsidRDefault="004B2953" w:rsidP="004B2953">
      <w:pPr>
        <w:pStyle w:val="Bibliography"/>
        <w:rPr>
          <w:rFonts w:ascii="Times" w:hAnsi="Times"/>
        </w:rPr>
      </w:pPr>
      <w:r w:rsidRPr="008E186F">
        <w:rPr>
          <w:rFonts w:ascii="Times" w:hAnsi="Times"/>
        </w:rPr>
        <w:t xml:space="preserve">23. S. J. </w:t>
      </w:r>
      <w:proofErr w:type="spellStart"/>
      <w:r w:rsidRPr="008E186F">
        <w:rPr>
          <w:rFonts w:ascii="Times" w:hAnsi="Times"/>
        </w:rPr>
        <w:t>Heitman</w:t>
      </w:r>
      <w:proofErr w:type="spellEnd"/>
      <w:r w:rsidRPr="008E186F">
        <w:rPr>
          <w:rFonts w:ascii="Times" w:hAnsi="Times"/>
        </w:rPr>
        <w:t xml:space="preserve">, P. E. </w:t>
      </w:r>
      <w:proofErr w:type="spellStart"/>
      <w:r w:rsidRPr="008E186F">
        <w:rPr>
          <w:rFonts w:ascii="Times" w:hAnsi="Times"/>
        </w:rPr>
        <w:t>Ronksley</w:t>
      </w:r>
      <w:proofErr w:type="spellEnd"/>
      <w:r w:rsidRPr="008E186F">
        <w:rPr>
          <w:rFonts w:ascii="Times" w:hAnsi="Times"/>
        </w:rPr>
        <w:t xml:space="preserve">, R. J. </w:t>
      </w:r>
      <w:proofErr w:type="spellStart"/>
      <w:r w:rsidRPr="008E186F">
        <w:rPr>
          <w:rFonts w:ascii="Times" w:hAnsi="Times"/>
        </w:rPr>
        <w:t>Hilsden</w:t>
      </w:r>
      <w:proofErr w:type="spellEnd"/>
      <w:r w:rsidRPr="008E186F">
        <w:rPr>
          <w:rFonts w:ascii="Times" w:hAnsi="Times"/>
        </w:rPr>
        <w:t xml:space="preserve">, B. J. </w:t>
      </w:r>
      <w:proofErr w:type="spellStart"/>
      <w:r w:rsidRPr="008E186F">
        <w:rPr>
          <w:rFonts w:ascii="Times" w:hAnsi="Times"/>
        </w:rPr>
        <w:t>Manns</w:t>
      </w:r>
      <w:proofErr w:type="spellEnd"/>
      <w:r w:rsidRPr="008E186F">
        <w:rPr>
          <w:rFonts w:ascii="Times" w:hAnsi="Times"/>
        </w:rPr>
        <w:t xml:space="preserve">, A. </w:t>
      </w:r>
      <w:proofErr w:type="spellStart"/>
      <w:r w:rsidRPr="008E186F">
        <w:rPr>
          <w:rFonts w:ascii="Times" w:hAnsi="Times"/>
        </w:rPr>
        <w:t>Rostom</w:t>
      </w:r>
      <w:proofErr w:type="spellEnd"/>
      <w:r w:rsidRPr="008E186F">
        <w:rPr>
          <w:rFonts w:ascii="Times" w:hAnsi="Times"/>
        </w:rPr>
        <w:t xml:space="preserve">, B. R. </w:t>
      </w:r>
      <w:proofErr w:type="spellStart"/>
      <w:r w:rsidRPr="008E186F">
        <w:rPr>
          <w:rFonts w:ascii="Times" w:hAnsi="Times"/>
        </w:rPr>
        <w:t>Hemmelgarn</w:t>
      </w:r>
      <w:proofErr w:type="spellEnd"/>
      <w:r w:rsidRPr="008E186F">
        <w:rPr>
          <w:rFonts w:ascii="Times" w:hAnsi="Times"/>
        </w:rPr>
        <w:t xml:space="preserve">, Prevalence of adenomas and colorectal cancer in average risk individuals: a systematic review and meta-analysis. </w:t>
      </w:r>
      <w:r w:rsidRPr="008E186F">
        <w:rPr>
          <w:rFonts w:ascii="Times" w:hAnsi="Times"/>
          <w:i/>
        </w:rPr>
        <w:t xml:space="preserve">Clinical Gastroenterology and </w:t>
      </w:r>
      <w:proofErr w:type="spellStart"/>
      <w:r w:rsidRPr="008E186F">
        <w:rPr>
          <w:rFonts w:ascii="Times" w:hAnsi="Times"/>
          <w:i/>
        </w:rPr>
        <w:t>Hepatology</w:t>
      </w:r>
      <w:proofErr w:type="spellEnd"/>
      <w:r w:rsidRPr="008E186F">
        <w:rPr>
          <w:rFonts w:ascii="Times" w:hAnsi="Times"/>
        </w:rPr>
        <w:t xml:space="preserve"> </w:t>
      </w:r>
      <w:r w:rsidRPr="008E186F">
        <w:rPr>
          <w:rFonts w:ascii="Times" w:hAnsi="Times"/>
          <w:b/>
        </w:rPr>
        <w:t>7</w:t>
      </w:r>
      <w:r w:rsidRPr="008E186F">
        <w:rPr>
          <w:rFonts w:ascii="Times" w:hAnsi="Times"/>
        </w:rPr>
        <w:t>, 1272–1278 (2009).</w:t>
      </w:r>
    </w:p>
    <w:p w14:paraId="5D16197A" w14:textId="77777777" w:rsidR="004B2953" w:rsidRPr="008E186F" w:rsidRDefault="004B2953" w:rsidP="004B2953">
      <w:pPr>
        <w:pStyle w:val="Bibliography"/>
        <w:rPr>
          <w:rFonts w:ascii="Times" w:hAnsi="Times"/>
        </w:rPr>
      </w:pPr>
      <w:r w:rsidRPr="008E186F">
        <w:rPr>
          <w:rFonts w:ascii="Times" w:hAnsi="Times"/>
        </w:rPr>
        <w:t xml:space="preserve">24. E. L. Symonds, J. M. Osborne, S. R. Cole, P. A. </w:t>
      </w:r>
      <w:proofErr w:type="spellStart"/>
      <w:r w:rsidRPr="008E186F">
        <w:rPr>
          <w:rFonts w:ascii="Times" w:hAnsi="Times"/>
        </w:rPr>
        <w:t>Bampton</w:t>
      </w:r>
      <w:proofErr w:type="spellEnd"/>
      <w:r w:rsidRPr="008E186F">
        <w:rPr>
          <w:rFonts w:ascii="Times" w:hAnsi="Times"/>
        </w:rPr>
        <w:t xml:space="preserve">, R. J. Fraser, G. P. Young, Factors affecting </w:t>
      </w:r>
      <w:proofErr w:type="spellStart"/>
      <w:r w:rsidRPr="008E186F">
        <w:rPr>
          <w:rFonts w:ascii="Times" w:hAnsi="Times"/>
        </w:rPr>
        <w:t>faecal</w:t>
      </w:r>
      <w:proofErr w:type="spellEnd"/>
      <w:r w:rsidRPr="008E186F">
        <w:rPr>
          <w:rFonts w:ascii="Times" w:hAnsi="Times"/>
        </w:rPr>
        <w:t xml:space="preserve"> immunochemical test positive rates: demographic, pathological, </w:t>
      </w:r>
      <w:proofErr w:type="spellStart"/>
      <w:r w:rsidRPr="008E186F">
        <w:rPr>
          <w:rFonts w:ascii="Times" w:hAnsi="Times"/>
        </w:rPr>
        <w:t>behavioural</w:t>
      </w:r>
      <w:proofErr w:type="spellEnd"/>
      <w:r w:rsidRPr="008E186F">
        <w:rPr>
          <w:rFonts w:ascii="Times" w:hAnsi="Times"/>
        </w:rPr>
        <w:t xml:space="preserve"> and environmental variables. </w:t>
      </w:r>
      <w:r w:rsidRPr="008E186F">
        <w:rPr>
          <w:rFonts w:ascii="Times" w:hAnsi="Times"/>
          <w:i/>
        </w:rPr>
        <w:t>Journal of Medical Screening</w:t>
      </w:r>
      <w:r w:rsidRPr="008E186F">
        <w:rPr>
          <w:rFonts w:ascii="Times" w:hAnsi="Times"/>
        </w:rPr>
        <w:t>, 0969141315584783 (2015).</w:t>
      </w:r>
    </w:p>
    <w:p w14:paraId="33DC57FB" w14:textId="77777777" w:rsidR="004B2953" w:rsidRPr="008E186F" w:rsidRDefault="004B2953" w:rsidP="004B2953">
      <w:pPr>
        <w:pStyle w:val="Bibliography"/>
        <w:rPr>
          <w:rFonts w:ascii="Times" w:hAnsi="Times"/>
        </w:rPr>
      </w:pPr>
      <w:r w:rsidRPr="008E186F">
        <w:rPr>
          <w:rFonts w:ascii="Times" w:hAnsi="Times"/>
        </w:rPr>
        <w:t xml:space="preserve">25. A. </w:t>
      </w:r>
      <w:proofErr w:type="spellStart"/>
      <w:r w:rsidRPr="008E186F">
        <w:rPr>
          <w:rFonts w:ascii="Times" w:hAnsi="Times"/>
        </w:rPr>
        <w:t>Kapidzic</w:t>
      </w:r>
      <w:proofErr w:type="spellEnd"/>
      <w:r w:rsidRPr="008E186F">
        <w:rPr>
          <w:rFonts w:ascii="Times" w:hAnsi="Times"/>
        </w:rPr>
        <w:t xml:space="preserve">, M. P. van der </w:t>
      </w:r>
      <w:proofErr w:type="spellStart"/>
      <w:r w:rsidRPr="008E186F">
        <w:rPr>
          <w:rFonts w:ascii="Times" w:hAnsi="Times"/>
        </w:rPr>
        <w:t>Meulen</w:t>
      </w:r>
      <w:proofErr w:type="spellEnd"/>
      <w:r w:rsidRPr="008E186F">
        <w:rPr>
          <w:rFonts w:ascii="Times" w:hAnsi="Times"/>
        </w:rPr>
        <w:t xml:space="preserve">, L. </w:t>
      </w:r>
      <w:proofErr w:type="spellStart"/>
      <w:r w:rsidRPr="008E186F">
        <w:rPr>
          <w:rFonts w:ascii="Times" w:hAnsi="Times"/>
        </w:rPr>
        <w:t>Hol</w:t>
      </w:r>
      <w:proofErr w:type="spellEnd"/>
      <w:r w:rsidRPr="008E186F">
        <w:rPr>
          <w:rFonts w:ascii="Times" w:hAnsi="Times"/>
        </w:rPr>
        <w:t xml:space="preserve">, A. H. van </w:t>
      </w:r>
      <w:proofErr w:type="spellStart"/>
      <w:r w:rsidRPr="008E186F">
        <w:rPr>
          <w:rFonts w:ascii="Times" w:hAnsi="Times"/>
        </w:rPr>
        <w:t>Roon</w:t>
      </w:r>
      <w:proofErr w:type="spellEnd"/>
      <w:r w:rsidRPr="008E186F">
        <w:rPr>
          <w:rFonts w:ascii="Times" w:hAnsi="Times"/>
        </w:rPr>
        <w:t xml:space="preserve">, C. W. </w:t>
      </w:r>
      <w:proofErr w:type="spellStart"/>
      <w:r w:rsidRPr="008E186F">
        <w:rPr>
          <w:rFonts w:ascii="Times" w:hAnsi="Times"/>
        </w:rPr>
        <w:t>Looman</w:t>
      </w:r>
      <w:proofErr w:type="spellEnd"/>
      <w:r w:rsidRPr="008E186F">
        <w:rPr>
          <w:rFonts w:ascii="Times" w:hAnsi="Times"/>
        </w:rPr>
        <w:t xml:space="preserve">, I. </w:t>
      </w:r>
      <w:proofErr w:type="spellStart"/>
      <w:r w:rsidRPr="008E186F">
        <w:rPr>
          <w:rFonts w:ascii="Times" w:hAnsi="Times"/>
        </w:rPr>
        <w:t>Lansdorp-Vogelaar</w:t>
      </w:r>
      <w:proofErr w:type="spellEnd"/>
      <w:r w:rsidRPr="008E186F">
        <w:rPr>
          <w:rFonts w:ascii="Times" w:hAnsi="Times"/>
        </w:rPr>
        <w:t xml:space="preserve">, M. van </w:t>
      </w:r>
      <w:proofErr w:type="spellStart"/>
      <w:r w:rsidRPr="008E186F">
        <w:rPr>
          <w:rFonts w:ascii="Times" w:hAnsi="Times"/>
        </w:rPr>
        <w:t>Ballegooijen</w:t>
      </w:r>
      <w:proofErr w:type="spellEnd"/>
      <w:r w:rsidRPr="008E186F">
        <w:rPr>
          <w:rFonts w:ascii="Times" w:hAnsi="Times"/>
        </w:rPr>
        <w:t xml:space="preserve">, A. J. van </w:t>
      </w:r>
      <w:proofErr w:type="spellStart"/>
      <w:r w:rsidRPr="008E186F">
        <w:rPr>
          <w:rFonts w:ascii="Times" w:hAnsi="Times"/>
        </w:rPr>
        <w:t>Vuuren</w:t>
      </w:r>
      <w:proofErr w:type="spellEnd"/>
      <w:r w:rsidRPr="008E186F">
        <w:rPr>
          <w:rFonts w:ascii="Times" w:hAnsi="Times"/>
        </w:rPr>
        <w:t xml:space="preserve">, J. C. </w:t>
      </w:r>
      <w:proofErr w:type="spellStart"/>
      <w:r w:rsidRPr="008E186F">
        <w:rPr>
          <w:rFonts w:ascii="Times" w:hAnsi="Times"/>
        </w:rPr>
        <w:t>Reijerink</w:t>
      </w:r>
      <w:proofErr w:type="spellEnd"/>
      <w:r w:rsidRPr="008E186F">
        <w:rPr>
          <w:rFonts w:ascii="Times" w:hAnsi="Times"/>
        </w:rPr>
        <w:t xml:space="preserve">, M. E. van </w:t>
      </w:r>
      <w:proofErr w:type="spellStart"/>
      <w:r w:rsidRPr="008E186F">
        <w:rPr>
          <w:rFonts w:ascii="Times" w:hAnsi="Times"/>
        </w:rPr>
        <w:t>Leerdam</w:t>
      </w:r>
      <w:proofErr w:type="spellEnd"/>
      <w:r w:rsidRPr="008E186F">
        <w:rPr>
          <w:rFonts w:ascii="Times" w:hAnsi="Times"/>
        </w:rPr>
        <w:t xml:space="preserve">, others, Gender differences in fecal immunochemical test performance for early detection of colorectal </w:t>
      </w:r>
      <w:proofErr w:type="spellStart"/>
      <w:r w:rsidRPr="008E186F">
        <w:rPr>
          <w:rFonts w:ascii="Times" w:hAnsi="Times"/>
        </w:rPr>
        <w:t>neoplasia</w:t>
      </w:r>
      <w:proofErr w:type="spellEnd"/>
      <w:r w:rsidRPr="008E186F">
        <w:rPr>
          <w:rFonts w:ascii="Times" w:hAnsi="Times"/>
        </w:rPr>
        <w:t xml:space="preserve">. </w:t>
      </w:r>
      <w:r w:rsidRPr="008E186F">
        <w:rPr>
          <w:rFonts w:ascii="Times" w:hAnsi="Times"/>
          <w:i/>
        </w:rPr>
        <w:t xml:space="preserve">Clinical Gastroenterology and </w:t>
      </w:r>
      <w:proofErr w:type="spellStart"/>
      <w:r w:rsidRPr="008E186F">
        <w:rPr>
          <w:rFonts w:ascii="Times" w:hAnsi="Times"/>
          <w:i/>
        </w:rPr>
        <w:t>Hepatology</w:t>
      </w:r>
      <w:proofErr w:type="spellEnd"/>
      <w:r w:rsidRPr="008E186F">
        <w:rPr>
          <w:rFonts w:ascii="Times" w:hAnsi="Times"/>
        </w:rPr>
        <w:t xml:space="preserve"> (2015).</w:t>
      </w:r>
    </w:p>
    <w:p w14:paraId="2727F8EC" w14:textId="77777777" w:rsidR="004B2953" w:rsidRPr="008E186F" w:rsidRDefault="004B2953" w:rsidP="004B2953">
      <w:pPr>
        <w:pStyle w:val="Bibliography"/>
        <w:rPr>
          <w:rFonts w:ascii="Times" w:hAnsi="Times"/>
        </w:rPr>
      </w:pPr>
      <w:r w:rsidRPr="008E186F">
        <w:rPr>
          <w:rFonts w:ascii="Times" w:hAnsi="Times"/>
        </w:rPr>
        <w:lastRenderedPageBreak/>
        <w:t xml:space="preserve">26. Z. Levi, P. </w:t>
      </w:r>
      <w:proofErr w:type="spellStart"/>
      <w:r w:rsidRPr="008E186F">
        <w:rPr>
          <w:rFonts w:ascii="Times" w:hAnsi="Times"/>
        </w:rPr>
        <w:t>Rozen</w:t>
      </w:r>
      <w:proofErr w:type="spellEnd"/>
      <w:r w:rsidRPr="008E186F">
        <w:rPr>
          <w:rFonts w:ascii="Times" w:hAnsi="Times"/>
        </w:rPr>
        <w:t xml:space="preserve">, R. </w:t>
      </w:r>
      <w:proofErr w:type="spellStart"/>
      <w:r w:rsidRPr="008E186F">
        <w:rPr>
          <w:rFonts w:ascii="Times" w:hAnsi="Times"/>
        </w:rPr>
        <w:t>Hazazi</w:t>
      </w:r>
      <w:proofErr w:type="spellEnd"/>
      <w:r w:rsidRPr="008E186F">
        <w:rPr>
          <w:rFonts w:ascii="Times" w:hAnsi="Times"/>
        </w:rPr>
        <w:t xml:space="preserve">, A. </w:t>
      </w:r>
      <w:proofErr w:type="spellStart"/>
      <w:r w:rsidRPr="008E186F">
        <w:rPr>
          <w:rFonts w:ascii="Times" w:hAnsi="Times"/>
        </w:rPr>
        <w:t>Vilkin</w:t>
      </w:r>
      <w:proofErr w:type="spellEnd"/>
      <w:r w:rsidRPr="008E186F">
        <w:rPr>
          <w:rFonts w:ascii="Times" w:hAnsi="Times"/>
        </w:rPr>
        <w:t xml:space="preserve">, A. Waked, E. </w:t>
      </w:r>
      <w:proofErr w:type="spellStart"/>
      <w:r w:rsidRPr="008E186F">
        <w:rPr>
          <w:rFonts w:ascii="Times" w:hAnsi="Times"/>
        </w:rPr>
        <w:t>Maoz</w:t>
      </w:r>
      <w:proofErr w:type="spellEnd"/>
      <w:r w:rsidRPr="008E186F">
        <w:rPr>
          <w:rFonts w:ascii="Times" w:hAnsi="Times"/>
        </w:rPr>
        <w:t xml:space="preserve">, S. </w:t>
      </w:r>
      <w:proofErr w:type="spellStart"/>
      <w:r w:rsidRPr="008E186F">
        <w:rPr>
          <w:rFonts w:ascii="Times" w:hAnsi="Times"/>
        </w:rPr>
        <w:t>Birkenfeld</w:t>
      </w:r>
      <w:proofErr w:type="spellEnd"/>
      <w:r w:rsidRPr="008E186F">
        <w:rPr>
          <w:rFonts w:ascii="Times" w:hAnsi="Times"/>
        </w:rPr>
        <w:t xml:space="preserve">, N. Lieberman, S. </w:t>
      </w:r>
      <w:proofErr w:type="spellStart"/>
      <w:r w:rsidRPr="008E186F">
        <w:rPr>
          <w:rFonts w:ascii="Times" w:hAnsi="Times"/>
        </w:rPr>
        <w:t>Klang</w:t>
      </w:r>
      <w:proofErr w:type="spellEnd"/>
      <w:r w:rsidRPr="008E186F">
        <w:rPr>
          <w:rFonts w:ascii="Times" w:hAnsi="Times"/>
        </w:rPr>
        <w:t xml:space="preserve">, Y. </w:t>
      </w:r>
      <w:proofErr w:type="spellStart"/>
      <w:r w:rsidRPr="008E186F">
        <w:rPr>
          <w:rFonts w:ascii="Times" w:hAnsi="Times"/>
        </w:rPr>
        <w:t>Niv</w:t>
      </w:r>
      <w:proofErr w:type="spellEnd"/>
      <w:r w:rsidRPr="008E186F">
        <w:rPr>
          <w:rFonts w:ascii="Times" w:hAnsi="Times"/>
        </w:rPr>
        <w:t xml:space="preserve">, Sensitivity, but not specificity, of a quantitative immunochemical fecal occult blood test for </w:t>
      </w:r>
      <w:proofErr w:type="spellStart"/>
      <w:r w:rsidRPr="008E186F">
        <w:rPr>
          <w:rFonts w:ascii="Times" w:hAnsi="Times"/>
        </w:rPr>
        <w:t>neoplasia</w:t>
      </w:r>
      <w:proofErr w:type="spellEnd"/>
      <w:r w:rsidRPr="008E186F">
        <w:rPr>
          <w:rFonts w:ascii="Times" w:hAnsi="Times"/>
        </w:rPr>
        <w:t xml:space="preserve"> is slightly increased by the use of low-dose aspirin, NSAIDs, and anticoagulants. </w:t>
      </w:r>
      <w:r w:rsidRPr="008E186F">
        <w:rPr>
          <w:rFonts w:ascii="Times" w:hAnsi="Times"/>
          <w:i/>
        </w:rPr>
        <w:t>The American Journal of Gastroenterology</w:t>
      </w:r>
      <w:r w:rsidRPr="008E186F">
        <w:rPr>
          <w:rFonts w:ascii="Times" w:hAnsi="Times"/>
        </w:rPr>
        <w:t xml:space="preserve"> </w:t>
      </w:r>
      <w:r w:rsidRPr="008E186F">
        <w:rPr>
          <w:rFonts w:ascii="Times" w:hAnsi="Times"/>
          <w:b/>
        </w:rPr>
        <w:t>104</w:t>
      </w:r>
      <w:r w:rsidRPr="008E186F">
        <w:rPr>
          <w:rFonts w:ascii="Times" w:hAnsi="Times"/>
        </w:rPr>
        <w:t>, 933–938 (2009).</w:t>
      </w:r>
    </w:p>
    <w:p w14:paraId="43854D2D" w14:textId="77777777" w:rsidR="004B2953" w:rsidRPr="008E186F" w:rsidRDefault="004B2953" w:rsidP="004B2953">
      <w:pPr>
        <w:pStyle w:val="Bibliography"/>
        <w:rPr>
          <w:rFonts w:ascii="Times" w:hAnsi="Times"/>
        </w:rPr>
      </w:pPr>
      <w:r w:rsidRPr="008E186F">
        <w:rPr>
          <w:rFonts w:ascii="Times" w:hAnsi="Times"/>
        </w:rPr>
        <w:t xml:space="preserve">27. A. M. Schubert, H. </w:t>
      </w:r>
      <w:proofErr w:type="spellStart"/>
      <w:r w:rsidRPr="008E186F">
        <w:rPr>
          <w:rFonts w:ascii="Times" w:hAnsi="Times"/>
        </w:rPr>
        <w:t>Sinani</w:t>
      </w:r>
      <w:proofErr w:type="spellEnd"/>
      <w:r w:rsidRPr="008E186F">
        <w:rPr>
          <w:rFonts w:ascii="Times" w:hAnsi="Times"/>
        </w:rPr>
        <w:t xml:space="preserve">, P. D. </w:t>
      </w:r>
      <w:proofErr w:type="spellStart"/>
      <w:r w:rsidRPr="008E186F">
        <w:rPr>
          <w:rFonts w:ascii="Times" w:hAnsi="Times"/>
        </w:rPr>
        <w:t>Schloss</w:t>
      </w:r>
      <w:proofErr w:type="spellEnd"/>
      <w:r w:rsidRPr="008E186F">
        <w:rPr>
          <w:rFonts w:ascii="Times" w:hAnsi="Times"/>
        </w:rPr>
        <w:t xml:space="preserve">, Antibiotic-Induced Alterations of the Murine Gut Microbiota and Subsequent Effects on Colonization Resistance against Clostridium difficile. </w:t>
      </w:r>
      <w:proofErr w:type="spellStart"/>
      <w:r w:rsidRPr="008E186F">
        <w:rPr>
          <w:rFonts w:ascii="Times" w:hAnsi="Times"/>
          <w:i/>
        </w:rPr>
        <w:t>MBio</w:t>
      </w:r>
      <w:proofErr w:type="spellEnd"/>
      <w:r w:rsidRPr="008E186F">
        <w:rPr>
          <w:rFonts w:ascii="Times" w:hAnsi="Times"/>
        </w:rPr>
        <w:t xml:space="preserve"> </w:t>
      </w:r>
      <w:r w:rsidRPr="008E186F">
        <w:rPr>
          <w:rFonts w:ascii="Times" w:hAnsi="Times"/>
          <w:b/>
        </w:rPr>
        <w:t>6</w:t>
      </w:r>
      <w:r w:rsidRPr="008E186F">
        <w:rPr>
          <w:rFonts w:ascii="Times" w:hAnsi="Times"/>
        </w:rPr>
        <w:t xml:space="preserve"> (2015).</w:t>
      </w:r>
    </w:p>
    <w:p w14:paraId="6BEE9036" w14:textId="77777777" w:rsidR="004B2953" w:rsidRPr="008E186F" w:rsidRDefault="004B2953" w:rsidP="004B2953">
      <w:pPr>
        <w:pStyle w:val="Bibliography"/>
        <w:rPr>
          <w:rFonts w:ascii="Times" w:hAnsi="Times"/>
        </w:rPr>
      </w:pPr>
      <w:r w:rsidRPr="008E186F">
        <w:rPr>
          <w:rFonts w:ascii="Times" w:hAnsi="Times"/>
        </w:rPr>
        <w:t xml:space="preserve">28. C. L. O’Brien, G. E. Allison, F. </w:t>
      </w:r>
      <w:proofErr w:type="spellStart"/>
      <w:r w:rsidRPr="008E186F">
        <w:rPr>
          <w:rFonts w:ascii="Times" w:hAnsi="Times"/>
        </w:rPr>
        <w:t>Grimpen</w:t>
      </w:r>
      <w:proofErr w:type="spellEnd"/>
      <w:r w:rsidRPr="008E186F">
        <w:rPr>
          <w:rFonts w:ascii="Times" w:hAnsi="Times"/>
        </w:rPr>
        <w:t xml:space="preserve">, P. Pavli, Impact of Colonoscopy Bowel Preparation on Intestinal Microbiota. </w:t>
      </w:r>
      <w:proofErr w:type="spellStart"/>
      <w:r w:rsidRPr="008E186F">
        <w:rPr>
          <w:rFonts w:ascii="Times" w:hAnsi="Times"/>
          <w:i/>
        </w:rPr>
        <w:t>PLoS</w:t>
      </w:r>
      <w:proofErr w:type="spellEnd"/>
      <w:r w:rsidRPr="008E186F">
        <w:rPr>
          <w:rFonts w:ascii="Times" w:hAnsi="Times"/>
          <w:i/>
        </w:rPr>
        <w:t xml:space="preserve"> ONE</w:t>
      </w:r>
      <w:r w:rsidRPr="008E186F">
        <w:rPr>
          <w:rFonts w:ascii="Times" w:hAnsi="Times"/>
        </w:rPr>
        <w:t xml:space="preserve"> </w:t>
      </w:r>
      <w:r w:rsidRPr="008E186F">
        <w:rPr>
          <w:rFonts w:ascii="Times" w:hAnsi="Times"/>
          <w:b/>
        </w:rPr>
        <w:t>8</w:t>
      </w:r>
      <w:r w:rsidRPr="008E186F">
        <w:rPr>
          <w:rFonts w:ascii="Times" w:hAnsi="Times"/>
        </w:rPr>
        <w:t>, e62815 (2013).</w:t>
      </w:r>
    </w:p>
    <w:p w14:paraId="3A1F51CB" w14:textId="77777777" w:rsidR="004B2953" w:rsidRPr="008E186F" w:rsidRDefault="004B2953" w:rsidP="004B2953">
      <w:pPr>
        <w:pStyle w:val="Bibliography"/>
        <w:rPr>
          <w:rFonts w:ascii="Times" w:hAnsi="Times"/>
        </w:rPr>
      </w:pPr>
      <w:r w:rsidRPr="008E186F">
        <w:rPr>
          <w:rFonts w:ascii="Times" w:hAnsi="Times"/>
        </w:rPr>
        <w:t xml:space="preserve">29. J. J. </w:t>
      </w:r>
      <w:proofErr w:type="spellStart"/>
      <w:r w:rsidRPr="008E186F">
        <w:rPr>
          <w:rFonts w:ascii="Times" w:hAnsi="Times"/>
        </w:rPr>
        <w:t>Kozich</w:t>
      </w:r>
      <w:proofErr w:type="spellEnd"/>
      <w:r w:rsidRPr="008E186F">
        <w:rPr>
          <w:rFonts w:ascii="Times" w:hAnsi="Times"/>
        </w:rPr>
        <w:t xml:space="preserve">, S. L. Westcott, N. T. Baxter, S. K. Highlander, P. D. </w:t>
      </w:r>
      <w:proofErr w:type="spellStart"/>
      <w:r w:rsidRPr="008E186F">
        <w:rPr>
          <w:rFonts w:ascii="Times" w:hAnsi="Times"/>
        </w:rPr>
        <w:t>Schloss</w:t>
      </w:r>
      <w:proofErr w:type="spellEnd"/>
      <w:r w:rsidRPr="008E186F">
        <w:rPr>
          <w:rFonts w:ascii="Times" w:hAnsi="Times"/>
        </w:rPr>
        <w:t xml:space="preserve">, Development of a dual-index sequencing strategy and </w:t>
      </w:r>
      <w:proofErr w:type="spellStart"/>
      <w:r w:rsidRPr="008E186F">
        <w:rPr>
          <w:rFonts w:ascii="Times" w:hAnsi="Times"/>
        </w:rPr>
        <w:t>curation</w:t>
      </w:r>
      <w:proofErr w:type="spellEnd"/>
      <w:r w:rsidRPr="008E186F">
        <w:rPr>
          <w:rFonts w:ascii="Times" w:hAnsi="Times"/>
        </w:rPr>
        <w:t xml:space="preserve"> pipeline for analyzing </w:t>
      </w:r>
      <w:proofErr w:type="spellStart"/>
      <w:r w:rsidRPr="008E186F">
        <w:rPr>
          <w:rFonts w:ascii="Times" w:hAnsi="Times"/>
        </w:rPr>
        <w:t>amplicon</w:t>
      </w:r>
      <w:proofErr w:type="spellEnd"/>
      <w:r w:rsidRPr="008E186F">
        <w:rPr>
          <w:rFonts w:ascii="Times" w:hAnsi="Times"/>
        </w:rPr>
        <w:t xml:space="preserve"> sequence data on the </w:t>
      </w:r>
      <w:proofErr w:type="spellStart"/>
      <w:r w:rsidRPr="008E186F">
        <w:rPr>
          <w:rFonts w:ascii="Times" w:hAnsi="Times"/>
        </w:rPr>
        <w:t>MiSeq</w:t>
      </w:r>
      <w:proofErr w:type="spellEnd"/>
      <w:r w:rsidRPr="008E186F">
        <w:rPr>
          <w:rFonts w:ascii="Times" w:hAnsi="Times"/>
        </w:rPr>
        <w:t xml:space="preserve"> </w:t>
      </w:r>
      <w:proofErr w:type="spellStart"/>
      <w:r w:rsidRPr="008E186F">
        <w:rPr>
          <w:rFonts w:ascii="Times" w:hAnsi="Times"/>
        </w:rPr>
        <w:t>Illumina</w:t>
      </w:r>
      <w:proofErr w:type="spellEnd"/>
      <w:r w:rsidRPr="008E186F">
        <w:rPr>
          <w:rFonts w:ascii="Times" w:hAnsi="Times"/>
        </w:rPr>
        <w:t xml:space="preserve"> sequencing platform. </w:t>
      </w:r>
      <w:r w:rsidRPr="008E186F">
        <w:rPr>
          <w:rFonts w:ascii="Times" w:hAnsi="Times"/>
          <w:i/>
        </w:rPr>
        <w:t>Applied and Environmental Microbiology</w:t>
      </w:r>
      <w:r w:rsidRPr="008E186F">
        <w:rPr>
          <w:rFonts w:ascii="Times" w:hAnsi="Times"/>
        </w:rPr>
        <w:t xml:space="preserve"> </w:t>
      </w:r>
      <w:r w:rsidRPr="008E186F">
        <w:rPr>
          <w:rFonts w:ascii="Times" w:hAnsi="Times"/>
          <w:b/>
        </w:rPr>
        <w:t>79</w:t>
      </w:r>
      <w:r w:rsidRPr="008E186F">
        <w:rPr>
          <w:rFonts w:ascii="Times" w:hAnsi="Times"/>
        </w:rPr>
        <w:t>, 5112–5120 (2013).</w:t>
      </w:r>
    </w:p>
    <w:p w14:paraId="5E919B0E" w14:textId="77777777" w:rsidR="004B2953" w:rsidRPr="008E186F" w:rsidRDefault="004B2953" w:rsidP="004B2953">
      <w:pPr>
        <w:pStyle w:val="Bibliography"/>
        <w:rPr>
          <w:rFonts w:ascii="Times" w:hAnsi="Times"/>
        </w:rPr>
      </w:pPr>
      <w:r w:rsidRPr="008E186F">
        <w:rPr>
          <w:rFonts w:ascii="Times" w:hAnsi="Times"/>
        </w:rPr>
        <w:t xml:space="preserve">30. E. R. DeLong, D. M. DeLong, D. L. Clarke-Pearson, Comparing the areas under two or more correlated receiver operating characteristic curves: a nonparametric approach. </w:t>
      </w:r>
      <w:r w:rsidRPr="008E186F">
        <w:rPr>
          <w:rFonts w:ascii="Times" w:hAnsi="Times"/>
          <w:i/>
        </w:rPr>
        <w:t>Biometrics</w:t>
      </w:r>
      <w:r w:rsidRPr="008E186F">
        <w:rPr>
          <w:rFonts w:ascii="Times" w:hAnsi="Times"/>
        </w:rPr>
        <w:t>, 837–845 (1988).</w:t>
      </w:r>
    </w:p>
    <w:p w14:paraId="792B86F6" w14:textId="77777777" w:rsidR="004B2953" w:rsidRDefault="004B2953">
      <w:pPr>
        <w:rPr>
          <w:rFonts w:ascii="Times" w:hAnsi="Times"/>
          <w:b/>
        </w:rPr>
      </w:pPr>
    </w:p>
    <w:p w14:paraId="619B0753" w14:textId="77777777" w:rsidR="00C5081C" w:rsidRPr="008E186F" w:rsidRDefault="00B30EE6">
      <w:pPr>
        <w:rPr>
          <w:rFonts w:ascii="Times" w:hAnsi="Times"/>
        </w:rPr>
      </w:pPr>
      <w:r w:rsidRPr="008E186F">
        <w:rPr>
          <w:rFonts w:ascii="Times" w:hAnsi="Times"/>
          <w:b/>
        </w:rPr>
        <w:t>Competing interests:</w:t>
      </w:r>
      <w:r w:rsidRPr="008E186F">
        <w:rPr>
          <w:rFonts w:ascii="Times" w:hAnsi="Times"/>
        </w:rPr>
        <w:t xml:space="preserve"> The authors declare no competing financial interests.</w:t>
      </w:r>
    </w:p>
    <w:p w14:paraId="1374F3B7" w14:textId="77777777" w:rsidR="00C5081C" w:rsidRDefault="00B30EE6">
      <w:pPr>
        <w:rPr>
          <w:rFonts w:ascii="Times" w:hAnsi="Times"/>
        </w:rPr>
      </w:pPr>
      <w:r w:rsidRPr="008E186F">
        <w:rPr>
          <w:rFonts w:ascii="Times" w:hAnsi="Times"/>
          <w:b/>
        </w:rPr>
        <w:t>Author Contributions:</w:t>
      </w:r>
      <w:r w:rsidRPr="008E186F">
        <w:rPr>
          <w:rFonts w:ascii="Times" w:hAnsi="Times"/>
        </w:rPr>
        <w:t>All authors were involved in the conception and design of the study. NTB processed samples and analyzed the data. All authors interpreted the data. NTB and PDS wrote the manuscript. All authors reviewed and revised the manuscript.</w:t>
      </w:r>
    </w:p>
    <w:p w14:paraId="600B6F05" w14:textId="77777777" w:rsidR="00DF31B2" w:rsidRPr="008E186F" w:rsidRDefault="00DF31B2" w:rsidP="00DF31B2">
      <w:pPr>
        <w:rPr>
          <w:rFonts w:ascii="Times" w:hAnsi="Times"/>
        </w:rPr>
      </w:pPr>
      <w:r w:rsidRPr="008E186F">
        <w:rPr>
          <w:rFonts w:ascii="Times" w:hAnsi="Times"/>
          <w:b/>
        </w:rPr>
        <w:t>Data and materials availability:</w:t>
      </w:r>
      <w:r w:rsidRPr="008E186F">
        <w:rPr>
          <w:rFonts w:ascii="Times" w:hAnsi="Times"/>
        </w:rPr>
        <w:t xml:space="preserve"> Raw </w:t>
      </w:r>
      <w:proofErr w:type="spellStart"/>
      <w:r w:rsidRPr="008E186F">
        <w:rPr>
          <w:rFonts w:ascii="Times" w:hAnsi="Times"/>
        </w:rPr>
        <w:t>fastq</w:t>
      </w:r>
      <w:proofErr w:type="spellEnd"/>
      <w:r w:rsidRPr="008E186F">
        <w:rPr>
          <w:rFonts w:ascii="Times" w:hAnsi="Times"/>
        </w:rPr>
        <w:t xml:space="preserve"> files and a MIMARKS file are available through the NCBI Sequence Read Archive [SRP062005]. A data analysis pipeline and all necessary scripts are available at github.com/</w:t>
      </w:r>
      <w:proofErr w:type="spellStart"/>
      <w:r w:rsidRPr="008E186F">
        <w:rPr>
          <w:rFonts w:ascii="Times" w:hAnsi="Times"/>
        </w:rPr>
        <w:t>SchlossLab</w:t>
      </w:r>
      <w:proofErr w:type="spellEnd"/>
      <w:r w:rsidRPr="008E186F">
        <w:rPr>
          <w:rFonts w:ascii="Times" w:hAnsi="Times"/>
        </w:rPr>
        <w:t>/Baxter_glne007Modeling_2015.</w:t>
      </w:r>
    </w:p>
    <w:p w14:paraId="2C6B96FC" w14:textId="77777777" w:rsidR="00DF31B2" w:rsidRPr="008E186F" w:rsidRDefault="00DF31B2">
      <w:pPr>
        <w:rPr>
          <w:rFonts w:ascii="Times" w:hAnsi="Times"/>
        </w:rPr>
      </w:pPr>
    </w:p>
    <w:p w14:paraId="473FA557" w14:textId="60EF9507" w:rsidR="00B30EE6" w:rsidRPr="008E186F" w:rsidRDefault="00B30EE6" w:rsidP="00121121">
      <w:pPr>
        <w:pStyle w:val="Heading3"/>
        <w:rPr>
          <w:rFonts w:ascii="Times" w:hAnsi="Times"/>
        </w:rPr>
      </w:pPr>
      <w:bookmarkStart w:id="5" w:name="figures"/>
      <w:bookmarkEnd w:id="5"/>
      <w:r w:rsidRPr="008E186F">
        <w:rPr>
          <w:rFonts w:ascii="Times" w:hAnsi="Times"/>
        </w:rPr>
        <w:t>Figures</w:t>
      </w:r>
      <w:r w:rsidRPr="008E186F">
        <w:rPr>
          <w:rFonts w:ascii="Times" w:hAnsi="Times"/>
        </w:rPr>
        <w:br/>
      </w:r>
    </w:p>
    <w:tbl>
      <w:tblPr>
        <w:tblW w:w="10347" w:type="dxa"/>
        <w:tblInd w:w="93" w:type="dxa"/>
        <w:tblLayout w:type="fixed"/>
        <w:tblLook w:val="04A0" w:firstRow="1" w:lastRow="0" w:firstColumn="1" w:lastColumn="0" w:noHBand="0" w:noVBand="1"/>
      </w:tblPr>
      <w:tblGrid>
        <w:gridCol w:w="2715"/>
        <w:gridCol w:w="949"/>
        <w:gridCol w:w="1138"/>
        <w:gridCol w:w="2166"/>
        <w:gridCol w:w="1213"/>
        <w:gridCol w:w="2166"/>
      </w:tblGrid>
      <w:tr w:rsidR="00B30EE6" w:rsidRPr="00B30EE6" w14:paraId="4F8B8287" w14:textId="77777777" w:rsidTr="00B30EE6">
        <w:trPr>
          <w:trHeight w:val="640"/>
        </w:trPr>
        <w:tc>
          <w:tcPr>
            <w:tcW w:w="3664" w:type="dxa"/>
            <w:gridSpan w:val="2"/>
            <w:tcBorders>
              <w:top w:val="single" w:sz="8" w:space="0" w:color="auto"/>
              <w:left w:val="single" w:sz="8" w:space="0" w:color="auto"/>
              <w:bottom w:val="nil"/>
              <w:right w:val="single" w:sz="4" w:space="0" w:color="000000"/>
            </w:tcBorders>
            <w:shd w:val="clear" w:color="auto" w:fill="auto"/>
            <w:vAlign w:val="center"/>
            <w:hideMark/>
          </w:tcPr>
          <w:p w14:paraId="6FB6C30F" w14:textId="77777777" w:rsidR="00B30EE6" w:rsidRPr="00B30EE6" w:rsidRDefault="00B30EE6" w:rsidP="00B30EE6">
            <w:pPr>
              <w:spacing w:before="0" w:after="0" w:line="240" w:lineRule="auto"/>
              <w:jc w:val="center"/>
              <w:rPr>
                <w:rFonts w:ascii="Cambria" w:eastAsia="Times New Roman" w:hAnsi="Cambria" w:cs="Times New Roman"/>
                <w:b/>
                <w:bCs/>
                <w:color w:val="000000"/>
              </w:rPr>
            </w:pPr>
            <w:bookmarkStart w:id="6" w:name="RANGE!A1:F9"/>
            <w:r w:rsidRPr="00B30EE6">
              <w:rPr>
                <w:rFonts w:ascii="Cambria" w:eastAsia="Times New Roman" w:hAnsi="Cambria" w:cs="Times New Roman"/>
                <w:b/>
                <w:bCs/>
                <w:color w:val="000000"/>
              </w:rPr>
              <w:t>Diagnosis</w:t>
            </w:r>
            <w:bookmarkEnd w:id="6"/>
          </w:p>
        </w:tc>
        <w:tc>
          <w:tcPr>
            <w:tcW w:w="3304" w:type="dxa"/>
            <w:gridSpan w:val="2"/>
            <w:tcBorders>
              <w:top w:val="single" w:sz="8" w:space="0" w:color="auto"/>
              <w:left w:val="nil"/>
              <w:bottom w:val="nil"/>
              <w:right w:val="single" w:sz="4" w:space="0" w:color="000000"/>
            </w:tcBorders>
            <w:shd w:val="clear" w:color="auto" w:fill="auto"/>
            <w:vAlign w:val="center"/>
            <w:hideMark/>
          </w:tcPr>
          <w:p w14:paraId="51660917" w14:textId="77777777" w:rsidR="00B30EE6" w:rsidRPr="00B30EE6" w:rsidRDefault="00B30EE6" w:rsidP="00B30EE6">
            <w:pPr>
              <w:spacing w:before="0" w:after="0" w:line="240" w:lineRule="auto"/>
              <w:jc w:val="center"/>
              <w:rPr>
                <w:rFonts w:ascii="Cambria" w:eastAsia="Times New Roman" w:hAnsi="Cambria" w:cs="Times New Roman"/>
                <w:b/>
                <w:bCs/>
                <w:color w:val="000000"/>
              </w:rPr>
            </w:pPr>
            <w:r w:rsidRPr="00B30EE6">
              <w:rPr>
                <w:rFonts w:ascii="Cambria" w:eastAsia="Times New Roman" w:hAnsi="Cambria" w:cs="Times New Roman"/>
                <w:b/>
                <w:bCs/>
                <w:color w:val="000000"/>
              </w:rPr>
              <w:t>FIT</w:t>
            </w:r>
          </w:p>
        </w:tc>
        <w:tc>
          <w:tcPr>
            <w:tcW w:w="3379" w:type="dxa"/>
            <w:gridSpan w:val="2"/>
            <w:tcBorders>
              <w:top w:val="single" w:sz="8" w:space="0" w:color="auto"/>
              <w:left w:val="nil"/>
              <w:bottom w:val="nil"/>
              <w:right w:val="single" w:sz="8" w:space="0" w:color="000000"/>
            </w:tcBorders>
            <w:shd w:val="clear" w:color="auto" w:fill="auto"/>
            <w:vAlign w:val="center"/>
            <w:hideMark/>
          </w:tcPr>
          <w:p w14:paraId="52778DE6" w14:textId="77777777" w:rsidR="00B30EE6" w:rsidRPr="00B30EE6" w:rsidRDefault="00B30EE6" w:rsidP="00B30EE6">
            <w:pPr>
              <w:spacing w:before="0" w:after="0" w:line="240" w:lineRule="auto"/>
              <w:jc w:val="center"/>
              <w:rPr>
                <w:rFonts w:ascii="Cambria" w:eastAsia="Times New Roman" w:hAnsi="Cambria" w:cs="Times New Roman"/>
                <w:b/>
                <w:bCs/>
                <w:color w:val="000000"/>
              </w:rPr>
            </w:pPr>
            <w:proofErr w:type="spellStart"/>
            <w:r w:rsidRPr="00B30EE6">
              <w:rPr>
                <w:rFonts w:ascii="Cambria" w:eastAsia="Times New Roman" w:hAnsi="Cambria" w:cs="Times New Roman"/>
                <w:b/>
                <w:bCs/>
                <w:color w:val="000000"/>
              </w:rPr>
              <w:t>Multitarget</w:t>
            </w:r>
            <w:proofErr w:type="spellEnd"/>
            <w:r w:rsidRPr="00B30EE6">
              <w:rPr>
                <w:rFonts w:ascii="Cambria" w:eastAsia="Times New Roman" w:hAnsi="Cambria" w:cs="Times New Roman"/>
                <w:b/>
                <w:bCs/>
                <w:color w:val="000000"/>
              </w:rPr>
              <w:t xml:space="preserve"> Microbiota Test</w:t>
            </w:r>
          </w:p>
        </w:tc>
      </w:tr>
      <w:tr w:rsidR="00B30EE6" w:rsidRPr="00B30EE6" w14:paraId="062CA5B7" w14:textId="77777777" w:rsidTr="00B30EE6">
        <w:trPr>
          <w:trHeight w:val="520"/>
        </w:trPr>
        <w:tc>
          <w:tcPr>
            <w:tcW w:w="2715" w:type="dxa"/>
            <w:tcBorders>
              <w:top w:val="nil"/>
              <w:left w:val="single" w:sz="8" w:space="0" w:color="auto"/>
              <w:bottom w:val="nil"/>
              <w:right w:val="nil"/>
            </w:tcBorders>
            <w:shd w:val="clear" w:color="auto" w:fill="auto"/>
            <w:noWrap/>
            <w:vAlign w:val="center"/>
            <w:hideMark/>
          </w:tcPr>
          <w:p w14:paraId="361B43F2"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949" w:type="dxa"/>
            <w:tcBorders>
              <w:top w:val="nil"/>
              <w:left w:val="nil"/>
              <w:bottom w:val="nil"/>
              <w:right w:val="single" w:sz="4" w:space="0" w:color="auto"/>
            </w:tcBorders>
            <w:shd w:val="clear" w:color="auto" w:fill="auto"/>
            <w:noWrap/>
            <w:vAlign w:val="center"/>
            <w:hideMark/>
          </w:tcPr>
          <w:p w14:paraId="4F0A58A8"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5AF7F248"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True Positives</w:t>
            </w:r>
          </w:p>
        </w:tc>
        <w:tc>
          <w:tcPr>
            <w:tcW w:w="2166" w:type="dxa"/>
            <w:tcBorders>
              <w:top w:val="nil"/>
              <w:left w:val="nil"/>
              <w:bottom w:val="nil"/>
              <w:right w:val="single" w:sz="4" w:space="0" w:color="auto"/>
            </w:tcBorders>
            <w:shd w:val="clear" w:color="auto" w:fill="auto"/>
            <w:vAlign w:val="center"/>
            <w:hideMark/>
          </w:tcPr>
          <w:p w14:paraId="75169868"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Sensitivity</w:t>
            </w:r>
            <w:r w:rsidRPr="00B30EE6">
              <w:rPr>
                <w:rFonts w:ascii="Cambria" w:eastAsia="Times New Roman" w:hAnsi="Cambria" w:cs="Times New Roman"/>
                <w:color w:val="000000"/>
                <w:sz w:val="22"/>
                <w:szCs w:val="22"/>
              </w:rPr>
              <w:br/>
              <w:t>(95% CI)</w:t>
            </w:r>
          </w:p>
        </w:tc>
        <w:tc>
          <w:tcPr>
            <w:tcW w:w="1213" w:type="dxa"/>
            <w:tcBorders>
              <w:top w:val="nil"/>
              <w:left w:val="nil"/>
              <w:bottom w:val="nil"/>
              <w:right w:val="nil"/>
            </w:tcBorders>
            <w:shd w:val="clear" w:color="auto" w:fill="auto"/>
            <w:vAlign w:val="center"/>
            <w:hideMark/>
          </w:tcPr>
          <w:p w14:paraId="7EE1CF54"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True Positives</w:t>
            </w:r>
          </w:p>
        </w:tc>
        <w:tc>
          <w:tcPr>
            <w:tcW w:w="2166" w:type="dxa"/>
            <w:tcBorders>
              <w:top w:val="nil"/>
              <w:left w:val="nil"/>
              <w:bottom w:val="nil"/>
              <w:right w:val="single" w:sz="8" w:space="0" w:color="auto"/>
            </w:tcBorders>
            <w:shd w:val="clear" w:color="auto" w:fill="auto"/>
            <w:vAlign w:val="center"/>
            <w:hideMark/>
          </w:tcPr>
          <w:p w14:paraId="37DBCBF7"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Sensitivity</w:t>
            </w:r>
            <w:r w:rsidRPr="00B30EE6">
              <w:rPr>
                <w:rFonts w:ascii="Cambria" w:eastAsia="Times New Roman" w:hAnsi="Cambria" w:cs="Times New Roman"/>
                <w:color w:val="000000"/>
                <w:sz w:val="22"/>
                <w:szCs w:val="22"/>
              </w:rPr>
              <w:br/>
              <w:t>(95% CI)</w:t>
            </w:r>
          </w:p>
        </w:tc>
      </w:tr>
      <w:tr w:rsidR="00B30EE6" w:rsidRPr="00B30EE6" w14:paraId="1703535F" w14:textId="77777777" w:rsidTr="00B30EE6">
        <w:trPr>
          <w:trHeight w:val="380"/>
        </w:trPr>
        <w:tc>
          <w:tcPr>
            <w:tcW w:w="2715" w:type="dxa"/>
            <w:tcBorders>
              <w:top w:val="nil"/>
              <w:left w:val="single" w:sz="8" w:space="0" w:color="auto"/>
              <w:bottom w:val="nil"/>
              <w:right w:val="nil"/>
            </w:tcBorders>
            <w:shd w:val="clear" w:color="000000" w:fill="F2F2F2"/>
            <w:noWrap/>
            <w:vAlign w:val="center"/>
            <w:hideMark/>
          </w:tcPr>
          <w:p w14:paraId="79DE0EEE"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Cancer</w:t>
            </w:r>
          </w:p>
        </w:tc>
        <w:tc>
          <w:tcPr>
            <w:tcW w:w="949" w:type="dxa"/>
            <w:tcBorders>
              <w:top w:val="nil"/>
              <w:left w:val="nil"/>
              <w:bottom w:val="nil"/>
              <w:right w:val="single" w:sz="4" w:space="0" w:color="auto"/>
            </w:tcBorders>
            <w:shd w:val="clear" w:color="000000" w:fill="F2F2F2"/>
            <w:noWrap/>
            <w:vAlign w:val="center"/>
            <w:hideMark/>
          </w:tcPr>
          <w:p w14:paraId="56EFBC2B"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n=120</w:t>
            </w:r>
          </w:p>
        </w:tc>
        <w:tc>
          <w:tcPr>
            <w:tcW w:w="1138" w:type="dxa"/>
            <w:tcBorders>
              <w:top w:val="nil"/>
              <w:left w:val="nil"/>
              <w:bottom w:val="nil"/>
              <w:right w:val="nil"/>
            </w:tcBorders>
            <w:shd w:val="clear" w:color="000000" w:fill="F2F2F2"/>
            <w:noWrap/>
            <w:vAlign w:val="center"/>
            <w:hideMark/>
          </w:tcPr>
          <w:p w14:paraId="46129344"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90</w:t>
            </w:r>
          </w:p>
        </w:tc>
        <w:tc>
          <w:tcPr>
            <w:tcW w:w="2166" w:type="dxa"/>
            <w:tcBorders>
              <w:top w:val="nil"/>
              <w:left w:val="nil"/>
              <w:bottom w:val="nil"/>
              <w:right w:val="single" w:sz="4" w:space="0" w:color="auto"/>
            </w:tcBorders>
            <w:shd w:val="clear" w:color="000000" w:fill="F2F2F2"/>
            <w:noWrap/>
            <w:vAlign w:val="center"/>
            <w:hideMark/>
          </w:tcPr>
          <w:p w14:paraId="51A862C8"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75.0</w:t>
            </w:r>
            <w:r w:rsidRPr="00B30EE6">
              <w:rPr>
                <w:rFonts w:ascii="Cambria" w:eastAsia="Times New Roman" w:hAnsi="Cambria" w:cs="Times New Roman"/>
                <w:color w:val="000000"/>
                <w:sz w:val="22"/>
                <w:szCs w:val="22"/>
              </w:rPr>
              <w:t xml:space="preserve"> (67.5-82.5)</w:t>
            </w:r>
          </w:p>
        </w:tc>
        <w:tc>
          <w:tcPr>
            <w:tcW w:w="1213" w:type="dxa"/>
            <w:tcBorders>
              <w:top w:val="nil"/>
              <w:left w:val="nil"/>
              <w:bottom w:val="nil"/>
              <w:right w:val="nil"/>
            </w:tcBorders>
            <w:shd w:val="clear" w:color="000000" w:fill="F2F2F2"/>
            <w:noWrap/>
            <w:vAlign w:val="center"/>
            <w:hideMark/>
          </w:tcPr>
          <w:p w14:paraId="43E26CA5"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114</w:t>
            </w:r>
          </w:p>
        </w:tc>
        <w:tc>
          <w:tcPr>
            <w:tcW w:w="2166" w:type="dxa"/>
            <w:tcBorders>
              <w:top w:val="nil"/>
              <w:left w:val="nil"/>
              <w:bottom w:val="nil"/>
              <w:right w:val="single" w:sz="8" w:space="0" w:color="auto"/>
            </w:tcBorders>
            <w:shd w:val="clear" w:color="000000" w:fill="F2F2F2"/>
            <w:noWrap/>
            <w:vAlign w:val="center"/>
            <w:hideMark/>
          </w:tcPr>
          <w:p w14:paraId="606ED58C"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95.0</w:t>
            </w:r>
            <w:r w:rsidRPr="00B30EE6">
              <w:rPr>
                <w:rFonts w:ascii="Cambria" w:eastAsia="Times New Roman" w:hAnsi="Cambria" w:cs="Times New Roman"/>
                <w:color w:val="000000"/>
                <w:sz w:val="22"/>
                <w:szCs w:val="22"/>
              </w:rPr>
              <w:t xml:space="preserve"> (90.8-98.3)</w:t>
            </w:r>
          </w:p>
        </w:tc>
      </w:tr>
      <w:tr w:rsidR="00B30EE6" w:rsidRPr="00B30EE6" w14:paraId="62262701" w14:textId="77777777" w:rsidTr="00B30EE6">
        <w:trPr>
          <w:trHeight w:val="380"/>
        </w:trPr>
        <w:tc>
          <w:tcPr>
            <w:tcW w:w="2715" w:type="dxa"/>
            <w:tcBorders>
              <w:top w:val="nil"/>
              <w:left w:val="single" w:sz="8" w:space="0" w:color="auto"/>
              <w:bottom w:val="nil"/>
              <w:right w:val="nil"/>
            </w:tcBorders>
            <w:shd w:val="clear" w:color="auto" w:fill="auto"/>
            <w:noWrap/>
            <w:vAlign w:val="center"/>
            <w:hideMark/>
          </w:tcPr>
          <w:p w14:paraId="75A2327C"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Advanced Adenoma</w:t>
            </w:r>
          </w:p>
        </w:tc>
        <w:tc>
          <w:tcPr>
            <w:tcW w:w="949" w:type="dxa"/>
            <w:tcBorders>
              <w:top w:val="nil"/>
              <w:left w:val="nil"/>
              <w:bottom w:val="nil"/>
              <w:right w:val="single" w:sz="4" w:space="0" w:color="auto"/>
            </w:tcBorders>
            <w:shd w:val="clear" w:color="auto" w:fill="auto"/>
            <w:noWrap/>
            <w:vAlign w:val="center"/>
            <w:hideMark/>
          </w:tcPr>
          <w:p w14:paraId="6A77AA1E"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n=109</w:t>
            </w:r>
          </w:p>
        </w:tc>
        <w:tc>
          <w:tcPr>
            <w:tcW w:w="1138" w:type="dxa"/>
            <w:tcBorders>
              <w:top w:val="nil"/>
              <w:left w:val="nil"/>
              <w:bottom w:val="nil"/>
              <w:right w:val="nil"/>
            </w:tcBorders>
            <w:shd w:val="clear" w:color="auto" w:fill="auto"/>
            <w:noWrap/>
            <w:vAlign w:val="center"/>
            <w:hideMark/>
          </w:tcPr>
          <w:p w14:paraId="0BC63078"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21</w:t>
            </w:r>
          </w:p>
        </w:tc>
        <w:tc>
          <w:tcPr>
            <w:tcW w:w="2166" w:type="dxa"/>
            <w:tcBorders>
              <w:top w:val="nil"/>
              <w:left w:val="nil"/>
              <w:bottom w:val="nil"/>
              <w:right w:val="single" w:sz="4" w:space="0" w:color="auto"/>
            </w:tcBorders>
            <w:shd w:val="clear" w:color="auto" w:fill="auto"/>
            <w:noWrap/>
            <w:vAlign w:val="center"/>
            <w:hideMark/>
          </w:tcPr>
          <w:p w14:paraId="4D3E30D4"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19.3</w:t>
            </w:r>
            <w:r w:rsidRPr="00B30EE6">
              <w:rPr>
                <w:rFonts w:ascii="Cambria" w:eastAsia="Times New Roman" w:hAnsi="Cambria" w:cs="Times New Roman"/>
                <w:color w:val="000000"/>
                <w:sz w:val="22"/>
                <w:szCs w:val="22"/>
              </w:rPr>
              <w:t xml:space="preserve"> (11.9-27.5)</w:t>
            </w:r>
          </w:p>
        </w:tc>
        <w:tc>
          <w:tcPr>
            <w:tcW w:w="1213" w:type="dxa"/>
            <w:tcBorders>
              <w:top w:val="nil"/>
              <w:left w:val="nil"/>
              <w:bottom w:val="nil"/>
              <w:right w:val="nil"/>
            </w:tcBorders>
            <w:shd w:val="clear" w:color="auto" w:fill="auto"/>
            <w:noWrap/>
            <w:vAlign w:val="center"/>
            <w:hideMark/>
          </w:tcPr>
          <w:p w14:paraId="65E4088F"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64</w:t>
            </w:r>
          </w:p>
        </w:tc>
        <w:tc>
          <w:tcPr>
            <w:tcW w:w="2166" w:type="dxa"/>
            <w:tcBorders>
              <w:top w:val="nil"/>
              <w:left w:val="nil"/>
              <w:bottom w:val="nil"/>
              <w:right w:val="single" w:sz="8" w:space="0" w:color="auto"/>
            </w:tcBorders>
            <w:shd w:val="clear" w:color="auto" w:fill="auto"/>
            <w:noWrap/>
            <w:vAlign w:val="center"/>
            <w:hideMark/>
          </w:tcPr>
          <w:p w14:paraId="78294417"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58.7</w:t>
            </w:r>
            <w:r w:rsidRPr="00B30EE6">
              <w:rPr>
                <w:rFonts w:ascii="Cambria" w:eastAsia="Times New Roman" w:hAnsi="Cambria" w:cs="Times New Roman"/>
                <w:color w:val="000000"/>
                <w:sz w:val="22"/>
                <w:szCs w:val="22"/>
              </w:rPr>
              <w:t xml:space="preserve"> (49.5-67.9)</w:t>
            </w:r>
          </w:p>
        </w:tc>
      </w:tr>
      <w:tr w:rsidR="00B30EE6" w:rsidRPr="00B30EE6" w14:paraId="18EA45D5" w14:textId="77777777" w:rsidTr="00B30EE6">
        <w:trPr>
          <w:trHeight w:val="380"/>
        </w:trPr>
        <w:tc>
          <w:tcPr>
            <w:tcW w:w="2715" w:type="dxa"/>
            <w:tcBorders>
              <w:top w:val="nil"/>
              <w:left w:val="single" w:sz="8" w:space="0" w:color="auto"/>
              <w:bottom w:val="nil"/>
              <w:right w:val="nil"/>
            </w:tcBorders>
            <w:shd w:val="clear" w:color="000000" w:fill="F2F2F2"/>
            <w:noWrap/>
            <w:vAlign w:val="center"/>
            <w:hideMark/>
          </w:tcPr>
          <w:p w14:paraId="6CB34CEB"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Non Advanced Adenoma</w:t>
            </w:r>
          </w:p>
        </w:tc>
        <w:tc>
          <w:tcPr>
            <w:tcW w:w="949" w:type="dxa"/>
            <w:tcBorders>
              <w:top w:val="nil"/>
              <w:left w:val="nil"/>
              <w:bottom w:val="nil"/>
              <w:right w:val="single" w:sz="4" w:space="0" w:color="auto"/>
            </w:tcBorders>
            <w:shd w:val="clear" w:color="000000" w:fill="F2F2F2"/>
            <w:noWrap/>
            <w:vAlign w:val="center"/>
            <w:hideMark/>
          </w:tcPr>
          <w:p w14:paraId="359AC15E"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n=89</w:t>
            </w:r>
          </w:p>
        </w:tc>
        <w:tc>
          <w:tcPr>
            <w:tcW w:w="1138" w:type="dxa"/>
            <w:tcBorders>
              <w:top w:val="nil"/>
              <w:left w:val="nil"/>
              <w:bottom w:val="nil"/>
              <w:right w:val="nil"/>
            </w:tcBorders>
            <w:shd w:val="clear" w:color="000000" w:fill="F2F2F2"/>
            <w:noWrap/>
            <w:vAlign w:val="center"/>
            <w:hideMark/>
          </w:tcPr>
          <w:p w14:paraId="0CF8FF81"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10</w:t>
            </w:r>
          </w:p>
        </w:tc>
        <w:tc>
          <w:tcPr>
            <w:tcW w:w="2166" w:type="dxa"/>
            <w:tcBorders>
              <w:top w:val="nil"/>
              <w:left w:val="nil"/>
              <w:bottom w:val="nil"/>
              <w:right w:val="single" w:sz="4" w:space="0" w:color="auto"/>
            </w:tcBorders>
            <w:shd w:val="clear" w:color="000000" w:fill="F2F2F2"/>
            <w:noWrap/>
            <w:vAlign w:val="center"/>
            <w:hideMark/>
          </w:tcPr>
          <w:p w14:paraId="476EAEDC"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11.2</w:t>
            </w:r>
            <w:r w:rsidRPr="00B30EE6">
              <w:rPr>
                <w:rFonts w:ascii="Cambria" w:eastAsia="Times New Roman" w:hAnsi="Cambria" w:cs="Times New Roman"/>
                <w:color w:val="000000"/>
                <w:sz w:val="22"/>
                <w:szCs w:val="22"/>
              </w:rPr>
              <w:t xml:space="preserve"> (5.62-18)</w:t>
            </w:r>
          </w:p>
        </w:tc>
        <w:tc>
          <w:tcPr>
            <w:tcW w:w="1213" w:type="dxa"/>
            <w:tcBorders>
              <w:top w:val="nil"/>
              <w:left w:val="nil"/>
              <w:bottom w:val="nil"/>
              <w:right w:val="nil"/>
            </w:tcBorders>
            <w:shd w:val="clear" w:color="000000" w:fill="F2F2F2"/>
            <w:noWrap/>
            <w:vAlign w:val="center"/>
            <w:hideMark/>
          </w:tcPr>
          <w:p w14:paraId="7C371432"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49</w:t>
            </w:r>
          </w:p>
        </w:tc>
        <w:tc>
          <w:tcPr>
            <w:tcW w:w="2166" w:type="dxa"/>
            <w:tcBorders>
              <w:top w:val="nil"/>
              <w:left w:val="nil"/>
              <w:bottom w:val="nil"/>
              <w:right w:val="single" w:sz="8" w:space="0" w:color="auto"/>
            </w:tcBorders>
            <w:shd w:val="clear" w:color="000000" w:fill="F2F2F2"/>
            <w:noWrap/>
            <w:vAlign w:val="center"/>
            <w:hideMark/>
          </w:tcPr>
          <w:p w14:paraId="680EC00B"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55.1</w:t>
            </w:r>
            <w:r w:rsidRPr="00B30EE6">
              <w:rPr>
                <w:rFonts w:ascii="Cambria" w:eastAsia="Times New Roman" w:hAnsi="Cambria" w:cs="Times New Roman"/>
                <w:color w:val="000000"/>
                <w:sz w:val="22"/>
                <w:szCs w:val="22"/>
              </w:rPr>
              <w:t xml:space="preserve"> (43.8-65.2)</w:t>
            </w:r>
          </w:p>
        </w:tc>
      </w:tr>
      <w:tr w:rsidR="00B30EE6" w:rsidRPr="00B30EE6" w14:paraId="5ED3CD79" w14:textId="77777777" w:rsidTr="00B30EE6">
        <w:trPr>
          <w:trHeight w:val="380"/>
        </w:trPr>
        <w:tc>
          <w:tcPr>
            <w:tcW w:w="2715" w:type="dxa"/>
            <w:tcBorders>
              <w:top w:val="nil"/>
              <w:left w:val="single" w:sz="8" w:space="0" w:color="auto"/>
              <w:bottom w:val="nil"/>
              <w:right w:val="nil"/>
            </w:tcBorders>
            <w:shd w:val="clear" w:color="auto" w:fill="auto"/>
            <w:noWrap/>
            <w:vAlign w:val="center"/>
            <w:hideMark/>
          </w:tcPr>
          <w:p w14:paraId="6E85BC11"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Any Lesions</w:t>
            </w:r>
          </w:p>
        </w:tc>
        <w:tc>
          <w:tcPr>
            <w:tcW w:w="949" w:type="dxa"/>
            <w:tcBorders>
              <w:top w:val="nil"/>
              <w:left w:val="nil"/>
              <w:bottom w:val="nil"/>
              <w:right w:val="single" w:sz="4" w:space="0" w:color="auto"/>
            </w:tcBorders>
            <w:shd w:val="clear" w:color="auto" w:fill="auto"/>
            <w:noWrap/>
            <w:vAlign w:val="center"/>
            <w:hideMark/>
          </w:tcPr>
          <w:p w14:paraId="1B8CC127"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n=318</w:t>
            </w:r>
          </w:p>
        </w:tc>
        <w:tc>
          <w:tcPr>
            <w:tcW w:w="1138" w:type="dxa"/>
            <w:tcBorders>
              <w:top w:val="nil"/>
              <w:left w:val="nil"/>
              <w:bottom w:val="nil"/>
              <w:right w:val="nil"/>
            </w:tcBorders>
            <w:shd w:val="clear" w:color="auto" w:fill="auto"/>
            <w:noWrap/>
            <w:vAlign w:val="center"/>
            <w:hideMark/>
          </w:tcPr>
          <w:p w14:paraId="01DABB15"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121</w:t>
            </w:r>
          </w:p>
        </w:tc>
        <w:tc>
          <w:tcPr>
            <w:tcW w:w="2166" w:type="dxa"/>
            <w:tcBorders>
              <w:top w:val="nil"/>
              <w:left w:val="nil"/>
              <w:bottom w:val="nil"/>
              <w:right w:val="single" w:sz="4" w:space="0" w:color="auto"/>
            </w:tcBorders>
            <w:shd w:val="clear" w:color="auto" w:fill="auto"/>
            <w:noWrap/>
            <w:vAlign w:val="center"/>
            <w:hideMark/>
          </w:tcPr>
          <w:p w14:paraId="3F47B3CD"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38.1</w:t>
            </w:r>
            <w:r w:rsidRPr="00B30EE6">
              <w:rPr>
                <w:rFonts w:ascii="Cambria" w:eastAsia="Times New Roman" w:hAnsi="Cambria" w:cs="Times New Roman"/>
                <w:color w:val="000000"/>
                <w:sz w:val="22"/>
                <w:szCs w:val="22"/>
              </w:rPr>
              <w:t xml:space="preserve"> (33-43.4)</w:t>
            </w:r>
          </w:p>
        </w:tc>
        <w:tc>
          <w:tcPr>
            <w:tcW w:w="1213" w:type="dxa"/>
            <w:tcBorders>
              <w:top w:val="nil"/>
              <w:left w:val="nil"/>
              <w:bottom w:val="nil"/>
              <w:right w:val="nil"/>
            </w:tcBorders>
            <w:shd w:val="clear" w:color="auto" w:fill="auto"/>
            <w:noWrap/>
            <w:vAlign w:val="center"/>
            <w:hideMark/>
          </w:tcPr>
          <w:p w14:paraId="3CC98888"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227</w:t>
            </w:r>
          </w:p>
        </w:tc>
        <w:tc>
          <w:tcPr>
            <w:tcW w:w="2166" w:type="dxa"/>
            <w:tcBorders>
              <w:top w:val="nil"/>
              <w:left w:val="nil"/>
              <w:bottom w:val="nil"/>
              <w:right w:val="single" w:sz="8" w:space="0" w:color="auto"/>
            </w:tcBorders>
            <w:shd w:val="clear" w:color="auto" w:fill="auto"/>
            <w:noWrap/>
            <w:vAlign w:val="center"/>
            <w:hideMark/>
          </w:tcPr>
          <w:p w14:paraId="1A8797B5"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71.4</w:t>
            </w:r>
            <w:r w:rsidRPr="00B30EE6">
              <w:rPr>
                <w:rFonts w:ascii="Cambria" w:eastAsia="Times New Roman" w:hAnsi="Cambria" w:cs="Times New Roman"/>
                <w:color w:val="000000"/>
                <w:sz w:val="22"/>
                <w:szCs w:val="22"/>
              </w:rPr>
              <w:t xml:space="preserve"> (66.4-76.4)</w:t>
            </w:r>
          </w:p>
        </w:tc>
      </w:tr>
      <w:tr w:rsidR="00B30EE6" w:rsidRPr="00B30EE6" w14:paraId="565EE8CA" w14:textId="77777777" w:rsidTr="00B30EE6">
        <w:trPr>
          <w:trHeight w:val="280"/>
        </w:trPr>
        <w:tc>
          <w:tcPr>
            <w:tcW w:w="2715" w:type="dxa"/>
            <w:tcBorders>
              <w:top w:val="nil"/>
              <w:left w:val="single" w:sz="8" w:space="0" w:color="auto"/>
              <w:bottom w:val="nil"/>
              <w:right w:val="nil"/>
            </w:tcBorders>
            <w:shd w:val="clear" w:color="auto" w:fill="auto"/>
            <w:noWrap/>
            <w:vAlign w:val="center"/>
            <w:hideMark/>
          </w:tcPr>
          <w:p w14:paraId="7E7E892C"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949" w:type="dxa"/>
            <w:tcBorders>
              <w:top w:val="nil"/>
              <w:left w:val="nil"/>
              <w:bottom w:val="nil"/>
              <w:right w:val="single" w:sz="4" w:space="0" w:color="auto"/>
            </w:tcBorders>
            <w:shd w:val="clear" w:color="auto" w:fill="auto"/>
            <w:noWrap/>
            <w:vAlign w:val="center"/>
            <w:hideMark/>
          </w:tcPr>
          <w:p w14:paraId="5761649A"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noWrap/>
            <w:vAlign w:val="center"/>
            <w:hideMark/>
          </w:tcPr>
          <w:p w14:paraId="4E5D5F75"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2166" w:type="dxa"/>
            <w:tcBorders>
              <w:top w:val="nil"/>
              <w:left w:val="nil"/>
              <w:bottom w:val="nil"/>
              <w:right w:val="single" w:sz="4" w:space="0" w:color="auto"/>
            </w:tcBorders>
            <w:shd w:val="clear" w:color="auto" w:fill="auto"/>
            <w:noWrap/>
            <w:vAlign w:val="center"/>
            <w:hideMark/>
          </w:tcPr>
          <w:p w14:paraId="6F23DA7A"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1213" w:type="dxa"/>
            <w:tcBorders>
              <w:top w:val="nil"/>
              <w:left w:val="nil"/>
              <w:bottom w:val="nil"/>
              <w:right w:val="nil"/>
            </w:tcBorders>
            <w:shd w:val="clear" w:color="auto" w:fill="auto"/>
            <w:noWrap/>
            <w:vAlign w:val="center"/>
            <w:hideMark/>
          </w:tcPr>
          <w:p w14:paraId="4D816564"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p>
        </w:tc>
        <w:tc>
          <w:tcPr>
            <w:tcW w:w="2166" w:type="dxa"/>
            <w:tcBorders>
              <w:top w:val="nil"/>
              <w:left w:val="nil"/>
              <w:bottom w:val="nil"/>
              <w:right w:val="single" w:sz="8" w:space="0" w:color="auto"/>
            </w:tcBorders>
            <w:shd w:val="clear" w:color="auto" w:fill="auto"/>
            <w:noWrap/>
            <w:vAlign w:val="center"/>
            <w:hideMark/>
          </w:tcPr>
          <w:p w14:paraId="781B9CE5"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r>
      <w:tr w:rsidR="00B30EE6" w:rsidRPr="00B30EE6" w14:paraId="7D965FD6" w14:textId="77777777" w:rsidTr="00B30EE6">
        <w:trPr>
          <w:trHeight w:val="520"/>
        </w:trPr>
        <w:tc>
          <w:tcPr>
            <w:tcW w:w="2715" w:type="dxa"/>
            <w:tcBorders>
              <w:top w:val="nil"/>
              <w:left w:val="single" w:sz="8" w:space="0" w:color="auto"/>
              <w:bottom w:val="nil"/>
              <w:right w:val="nil"/>
            </w:tcBorders>
            <w:shd w:val="clear" w:color="auto" w:fill="auto"/>
            <w:noWrap/>
            <w:vAlign w:val="center"/>
            <w:hideMark/>
          </w:tcPr>
          <w:p w14:paraId="121560EE"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949" w:type="dxa"/>
            <w:tcBorders>
              <w:top w:val="nil"/>
              <w:left w:val="nil"/>
              <w:bottom w:val="nil"/>
              <w:right w:val="single" w:sz="4" w:space="0" w:color="auto"/>
            </w:tcBorders>
            <w:shd w:val="clear" w:color="auto" w:fill="auto"/>
            <w:noWrap/>
            <w:vAlign w:val="center"/>
            <w:hideMark/>
          </w:tcPr>
          <w:p w14:paraId="5934523E"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4743EED0"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True Negatives</w:t>
            </w:r>
          </w:p>
        </w:tc>
        <w:tc>
          <w:tcPr>
            <w:tcW w:w="2166" w:type="dxa"/>
            <w:tcBorders>
              <w:top w:val="nil"/>
              <w:left w:val="nil"/>
              <w:bottom w:val="nil"/>
              <w:right w:val="single" w:sz="4" w:space="0" w:color="auto"/>
            </w:tcBorders>
            <w:shd w:val="clear" w:color="auto" w:fill="auto"/>
            <w:vAlign w:val="center"/>
            <w:hideMark/>
          </w:tcPr>
          <w:p w14:paraId="142D76AF"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Specificity</w:t>
            </w:r>
            <w:r w:rsidRPr="00B30EE6">
              <w:rPr>
                <w:rFonts w:ascii="Cambria" w:eastAsia="Times New Roman" w:hAnsi="Cambria" w:cs="Times New Roman"/>
                <w:color w:val="000000"/>
                <w:sz w:val="22"/>
                <w:szCs w:val="22"/>
              </w:rPr>
              <w:br/>
              <w:t>(95% CI)</w:t>
            </w:r>
          </w:p>
        </w:tc>
        <w:tc>
          <w:tcPr>
            <w:tcW w:w="1213" w:type="dxa"/>
            <w:tcBorders>
              <w:top w:val="nil"/>
              <w:left w:val="nil"/>
              <w:bottom w:val="nil"/>
              <w:right w:val="nil"/>
            </w:tcBorders>
            <w:shd w:val="clear" w:color="auto" w:fill="auto"/>
            <w:vAlign w:val="center"/>
            <w:hideMark/>
          </w:tcPr>
          <w:p w14:paraId="2F2ED83D"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True Negatives</w:t>
            </w:r>
          </w:p>
        </w:tc>
        <w:tc>
          <w:tcPr>
            <w:tcW w:w="2166" w:type="dxa"/>
            <w:tcBorders>
              <w:top w:val="nil"/>
              <w:left w:val="nil"/>
              <w:bottom w:val="nil"/>
              <w:right w:val="single" w:sz="8" w:space="0" w:color="auto"/>
            </w:tcBorders>
            <w:shd w:val="clear" w:color="auto" w:fill="auto"/>
            <w:vAlign w:val="center"/>
            <w:hideMark/>
          </w:tcPr>
          <w:p w14:paraId="332A6CA2"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Specificity</w:t>
            </w:r>
            <w:r w:rsidRPr="00B30EE6">
              <w:rPr>
                <w:rFonts w:ascii="Cambria" w:eastAsia="Times New Roman" w:hAnsi="Cambria" w:cs="Times New Roman"/>
                <w:color w:val="000000"/>
                <w:sz w:val="22"/>
                <w:szCs w:val="22"/>
              </w:rPr>
              <w:br/>
              <w:t>(95% CI)</w:t>
            </w:r>
          </w:p>
        </w:tc>
      </w:tr>
      <w:tr w:rsidR="00B30EE6" w:rsidRPr="00B30EE6" w14:paraId="7E392F95" w14:textId="77777777" w:rsidTr="00B30EE6">
        <w:trPr>
          <w:trHeight w:val="440"/>
        </w:trPr>
        <w:tc>
          <w:tcPr>
            <w:tcW w:w="2715" w:type="dxa"/>
            <w:tcBorders>
              <w:top w:val="nil"/>
              <w:left w:val="single" w:sz="8" w:space="0" w:color="auto"/>
              <w:bottom w:val="single" w:sz="8" w:space="0" w:color="auto"/>
              <w:right w:val="nil"/>
            </w:tcBorders>
            <w:shd w:val="clear" w:color="000000" w:fill="F2F2F2"/>
            <w:noWrap/>
            <w:vAlign w:val="center"/>
            <w:hideMark/>
          </w:tcPr>
          <w:p w14:paraId="0CE77E8B"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Normal</w:t>
            </w:r>
          </w:p>
        </w:tc>
        <w:tc>
          <w:tcPr>
            <w:tcW w:w="949" w:type="dxa"/>
            <w:tcBorders>
              <w:top w:val="nil"/>
              <w:left w:val="nil"/>
              <w:bottom w:val="single" w:sz="8" w:space="0" w:color="auto"/>
              <w:right w:val="single" w:sz="4" w:space="0" w:color="auto"/>
            </w:tcBorders>
            <w:shd w:val="clear" w:color="000000" w:fill="F2F2F2"/>
            <w:noWrap/>
            <w:vAlign w:val="center"/>
            <w:hideMark/>
          </w:tcPr>
          <w:p w14:paraId="27EE6042"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n=172</w:t>
            </w:r>
          </w:p>
        </w:tc>
        <w:tc>
          <w:tcPr>
            <w:tcW w:w="1138" w:type="dxa"/>
            <w:tcBorders>
              <w:top w:val="nil"/>
              <w:left w:val="nil"/>
              <w:bottom w:val="single" w:sz="8" w:space="0" w:color="auto"/>
              <w:right w:val="nil"/>
            </w:tcBorders>
            <w:shd w:val="clear" w:color="000000" w:fill="F2F2F2"/>
            <w:noWrap/>
            <w:vAlign w:val="center"/>
            <w:hideMark/>
          </w:tcPr>
          <w:p w14:paraId="7EEF7B92"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167</w:t>
            </w:r>
          </w:p>
        </w:tc>
        <w:tc>
          <w:tcPr>
            <w:tcW w:w="2166" w:type="dxa"/>
            <w:tcBorders>
              <w:top w:val="nil"/>
              <w:left w:val="nil"/>
              <w:bottom w:val="single" w:sz="8" w:space="0" w:color="auto"/>
              <w:right w:val="single" w:sz="4" w:space="0" w:color="auto"/>
            </w:tcBorders>
            <w:shd w:val="clear" w:color="000000" w:fill="F2F2F2"/>
            <w:noWrap/>
            <w:vAlign w:val="center"/>
            <w:hideMark/>
          </w:tcPr>
          <w:p w14:paraId="446487B3"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97.1</w:t>
            </w:r>
            <w:r w:rsidRPr="00B30EE6">
              <w:rPr>
                <w:rFonts w:ascii="Cambria" w:eastAsia="Times New Roman" w:hAnsi="Cambria" w:cs="Times New Roman"/>
                <w:color w:val="000000"/>
                <w:sz w:val="22"/>
                <w:szCs w:val="22"/>
              </w:rPr>
              <w:t xml:space="preserve"> (94.2-99.4)</w:t>
            </w:r>
          </w:p>
        </w:tc>
        <w:tc>
          <w:tcPr>
            <w:tcW w:w="1213" w:type="dxa"/>
            <w:tcBorders>
              <w:top w:val="nil"/>
              <w:left w:val="nil"/>
              <w:bottom w:val="single" w:sz="8" w:space="0" w:color="auto"/>
              <w:right w:val="nil"/>
            </w:tcBorders>
            <w:shd w:val="clear" w:color="000000" w:fill="F2F2F2"/>
            <w:noWrap/>
            <w:vAlign w:val="center"/>
            <w:hideMark/>
          </w:tcPr>
          <w:p w14:paraId="5FB6BB03"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color w:val="000000"/>
                <w:sz w:val="22"/>
                <w:szCs w:val="22"/>
              </w:rPr>
              <w:t>144</w:t>
            </w:r>
          </w:p>
        </w:tc>
        <w:tc>
          <w:tcPr>
            <w:tcW w:w="2166" w:type="dxa"/>
            <w:tcBorders>
              <w:top w:val="nil"/>
              <w:left w:val="nil"/>
              <w:bottom w:val="single" w:sz="8" w:space="0" w:color="auto"/>
              <w:right w:val="single" w:sz="8" w:space="0" w:color="auto"/>
            </w:tcBorders>
            <w:shd w:val="clear" w:color="000000" w:fill="F2F2F2"/>
            <w:noWrap/>
            <w:vAlign w:val="center"/>
            <w:hideMark/>
          </w:tcPr>
          <w:p w14:paraId="00314BE5" w14:textId="77777777" w:rsidR="00B30EE6" w:rsidRPr="00B30EE6" w:rsidRDefault="00B30EE6" w:rsidP="00B30EE6">
            <w:pPr>
              <w:spacing w:before="0" w:after="0" w:line="240" w:lineRule="auto"/>
              <w:jc w:val="center"/>
              <w:rPr>
                <w:rFonts w:ascii="Cambria" w:eastAsia="Times New Roman" w:hAnsi="Cambria" w:cs="Times New Roman"/>
                <w:color w:val="000000"/>
                <w:sz w:val="22"/>
                <w:szCs w:val="22"/>
              </w:rPr>
            </w:pPr>
            <w:r w:rsidRPr="00B30EE6">
              <w:rPr>
                <w:rFonts w:ascii="Cambria" w:eastAsia="Times New Roman" w:hAnsi="Cambria" w:cs="Times New Roman"/>
                <w:b/>
                <w:bCs/>
                <w:color w:val="000000"/>
                <w:sz w:val="22"/>
                <w:szCs w:val="22"/>
              </w:rPr>
              <w:t>83.7</w:t>
            </w:r>
            <w:r w:rsidRPr="00B30EE6">
              <w:rPr>
                <w:rFonts w:ascii="Cambria" w:eastAsia="Times New Roman" w:hAnsi="Cambria" w:cs="Times New Roman"/>
                <w:color w:val="000000"/>
                <w:sz w:val="22"/>
                <w:szCs w:val="22"/>
              </w:rPr>
              <w:t xml:space="preserve"> (77.9-89)</w:t>
            </w:r>
          </w:p>
        </w:tc>
      </w:tr>
    </w:tbl>
    <w:p w14:paraId="3B6E47B2" w14:textId="79798DBE" w:rsidR="00B30EE6" w:rsidRDefault="00B30EE6">
      <w:pPr>
        <w:rPr>
          <w:rFonts w:ascii="Times" w:hAnsi="Times"/>
        </w:rPr>
      </w:pPr>
      <w:r w:rsidRPr="008E186F">
        <w:rPr>
          <w:rFonts w:ascii="Times" w:hAnsi="Times"/>
        </w:rPr>
        <w:br/>
      </w:r>
      <w:r w:rsidRPr="008E186F">
        <w:rPr>
          <w:rFonts w:ascii="Times" w:hAnsi="Times"/>
          <w:b/>
        </w:rPr>
        <w:t>Table 1.</w:t>
      </w:r>
      <w:r w:rsidRPr="008E186F">
        <w:rPr>
          <w:rFonts w:ascii="Times" w:hAnsi="Times"/>
        </w:rPr>
        <w:t xml:space="preserve"> Sensitivities and specificities for FIT and MMT. The 95% confidence intervals were computed with 2000 stratified bootstrap replicates.</w:t>
      </w:r>
    </w:p>
    <w:p w14:paraId="1E5C047C" w14:textId="77777777" w:rsidR="00B30EE6" w:rsidRDefault="00B30EE6">
      <w:pPr>
        <w:spacing w:before="0" w:after="200" w:line="240" w:lineRule="auto"/>
        <w:jc w:val="left"/>
        <w:rPr>
          <w:rFonts w:ascii="Times" w:hAnsi="Times"/>
        </w:rPr>
      </w:pPr>
      <w:r>
        <w:rPr>
          <w:rFonts w:ascii="Times" w:hAnsi="Times"/>
        </w:rPr>
        <w:br w:type="page"/>
      </w:r>
    </w:p>
    <w:p w14:paraId="26CDDEE8" w14:textId="77777777" w:rsidR="00C5081C" w:rsidRPr="008E186F" w:rsidRDefault="00C5081C">
      <w:pPr>
        <w:rPr>
          <w:rFonts w:ascii="Times" w:hAnsi="Times"/>
        </w:rPr>
      </w:pPr>
    </w:p>
    <w:p w14:paraId="10C1515B" w14:textId="10967159" w:rsidR="004B2953" w:rsidRDefault="00B30EE6">
      <w:pPr>
        <w:rPr>
          <w:rFonts w:ascii="Times" w:hAnsi="Times"/>
        </w:rPr>
      </w:pPr>
      <w:r w:rsidRPr="008E186F">
        <w:rPr>
          <w:rFonts w:ascii="Times" w:hAnsi="Times"/>
          <w:noProof/>
        </w:rPr>
        <w:drawing>
          <wp:inline distT="0" distB="0" distL="0" distR="0" wp14:anchorId="4520B59F" wp14:editId="12E461F1">
            <wp:extent cx="6489700" cy="30735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11"/>
                    <a:stretch>
                      <a:fillRect/>
                    </a:stretch>
                  </pic:blipFill>
                  <pic:spPr bwMode="auto">
                    <a:xfrm>
                      <a:off x="0" y="0"/>
                      <a:ext cx="6489700" cy="3073594"/>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Fig. 1.</w:t>
      </w:r>
      <w:r w:rsidRPr="008E186F">
        <w:rPr>
          <w:rFonts w:ascii="Times" w:hAnsi="Times"/>
        </w:rPr>
        <w:t xml:space="preserve"> Comparing MMT to FIT. (A) ROC Curves for the MMT (solid lines) and FIT (dashed lines) for distinguishing normal from any lesion (purple), normal from cancer (red) and normal from adenoma (blue). Filled dots show the sensitivity and specificity of the MMT at the optimal cutoff (0.622). Open dots show the sensitivity and specificity of FIT at the 100ng/ml cutoff. (A) Strip charts showing the results for FIT and the MMT. Dashed lines show the cutoff for each test. Points with a FIT result of 0 are jittered to improve visibility.</w:t>
      </w:r>
    </w:p>
    <w:p w14:paraId="76871B27" w14:textId="77777777" w:rsidR="004B2953" w:rsidRDefault="004B2953">
      <w:pPr>
        <w:spacing w:before="0" w:after="200" w:line="240" w:lineRule="auto"/>
        <w:jc w:val="left"/>
        <w:rPr>
          <w:rFonts w:ascii="Times" w:hAnsi="Times"/>
        </w:rPr>
      </w:pPr>
      <w:r>
        <w:rPr>
          <w:rFonts w:ascii="Times" w:hAnsi="Times"/>
        </w:rPr>
        <w:br w:type="page"/>
      </w:r>
    </w:p>
    <w:p w14:paraId="3035875B" w14:textId="77777777" w:rsidR="00C5081C" w:rsidRPr="008E186F" w:rsidRDefault="00C5081C">
      <w:pPr>
        <w:rPr>
          <w:rFonts w:ascii="Times" w:hAnsi="Times"/>
        </w:rPr>
      </w:pPr>
    </w:p>
    <w:p w14:paraId="635AD3CB" w14:textId="095FF530" w:rsidR="004B2953" w:rsidRDefault="00B30EE6">
      <w:pPr>
        <w:rPr>
          <w:rFonts w:ascii="Times" w:hAnsi="Times"/>
        </w:rPr>
      </w:pPr>
      <w:r w:rsidRPr="008E186F">
        <w:rPr>
          <w:rFonts w:ascii="Times" w:hAnsi="Times"/>
          <w:noProof/>
        </w:rPr>
        <w:drawing>
          <wp:inline distT="0" distB="0" distL="0" distR="0" wp14:anchorId="5E8E1179" wp14:editId="0B412E45">
            <wp:extent cx="6489700" cy="432646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2"/>
                    <a:stretch>
                      <a:fillRect/>
                    </a:stretch>
                  </pic:blipFill>
                  <pic:spPr bwMode="auto">
                    <a:xfrm>
                      <a:off x="0" y="0"/>
                      <a:ext cx="6489700" cy="4326467"/>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Fig. 2.</w:t>
      </w:r>
      <w:r w:rsidRPr="008E186F">
        <w:rPr>
          <w:rFonts w:ascii="Times" w:hAnsi="Times"/>
        </w:rPr>
        <w:t xml:space="preserve"> Sensitivities for FIT and MMT for each stage of tumor development. P-values based on McNemar's chi-squared test.</w:t>
      </w:r>
    </w:p>
    <w:p w14:paraId="414DF7BF" w14:textId="77777777" w:rsidR="004B2953" w:rsidRDefault="004B2953">
      <w:pPr>
        <w:spacing w:before="0" w:after="200" w:line="240" w:lineRule="auto"/>
        <w:jc w:val="left"/>
        <w:rPr>
          <w:rFonts w:ascii="Times" w:hAnsi="Times"/>
        </w:rPr>
      </w:pPr>
      <w:r>
        <w:rPr>
          <w:rFonts w:ascii="Times" w:hAnsi="Times"/>
        </w:rPr>
        <w:br w:type="page"/>
      </w:r>
    </w:p>
    <w:p w14:paraId="0E55B726" w14:textId="77777777" w:rsidR="00C5081C" w:rsidRPr="008E186F" w:rsidRDefault="00C5081C">
      <w:pPr>
        <w:rPr>
          <w:rFonts w:ascii="Times" w:hAnsi="Times"/>
        </w:rPr>
      </w:pPr>
    </w:p>
    <w:p w14:paraId="2E7BF461" w14:textId="77777777" w:rsidR="00C5081C" w:rsidRPr="008E186F" w:rsidRDefault="00B30EE6">
      <w:pPr>
        <w:rPr>
          <w:rFonts w:ascii="Times" w:hAnsi="Times"/>
        </w:rPr>
      </w:pPr>
      <w:r w:rsidRPr="008E186F">
        <w:rPr>
          <w:rFonts w:ascii="Times" w:hAnsi="Times"/>
          <w:noProof/>
        </w:rPr>
        <w:drawing>
          <wp:inline distT="0" distB="0" distL="0" distR="0" wp14:anchorId="5E98C257" wp14:editId="25646311">
            <wp:extent cx="6489700" cy="5562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3"/>
                    <a:stretch>
                      <a:fillRect/>
                    </a:stretch>
                  </pic:blipFill>
                  <pic:spPr bwMode="auto">
                    <a:xfrm>
                      <a:off x="0" y="0"/>
                      <a:ext cx="6489700" cy="5562600"/>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Fig. 3.</w:t>
      </w:r>
      <w:r w:rsidRPr="008E186F">
        <w:rPr>
          <w:rFonts w:ascii="Times" w:hAnsi="Times"/>
        </w:rPr>
        <w:t xml:space="preserve"> Results of FIT and MMT for each sample. Dashed lines show the cutoff for each test. Points with a FIT result of 0 are jittered to improve visibility.</w:t>
      </w:r>
    </w:p>
    <w:p w14:paraId="645AFAB6" w14:textId="77777777" w:rsidR="00C5081C" w:rsidRPr="008E186F" w:rsidRDefault="00B30EE6">
      <w:pPr>
        <w:pStyle w:val="Heading3"/>
        <w:rPr>
          <w:rFonts w:ascii="Times" w:hAnsi="Times"/>
        </w:rPr>
      </w:pPr>
      <w:bookmarkStart w:id="7" w:name="supplementary-figures"/>
      <w:bookmarkEnd w:id="7"/>
      <w:r w:rsidRPr="008E186F">
        <w:rPr>
          <w:rFonts w:ascii="Times" w:hAnsi="Times"/>
        </w:rPr>
        <w:lastRenderedPageBreak/>
        <w:t>Supplementary Figures</w:t>
      </w:r>
    </w:p>
    <w:p w14:paraId="11511148" w14:textId="77777777" w:rsidR="00C5081C" w:rsidRPr="008E186F" w:rsidRDefault="00B30EE6">
      <w:pPr>
        <w:rPr>
          <w:rFonts w:ascii="Times" w:hAnsi="Times"/>
        </w:rPr>
      </w:pPr>
      <w:r w:rsidRPr="008E186F">
        <w:rPr>
          <w:rFonts w:ascii="Times" w:hAnsi="Times"/>
          <w:noProof/>
        </w:rPr>
        <w:drawing>
          <wp:inline distT="0" distB="0" distL="0" distR="0" wp14:anchorId="17394664" wp14:editId="21AAA05A">
            <wp:extent cx="5029200" cy="5029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4"/>
                    <a:stretch>
                      <a:fillRect/>
                    </a:stretch>
                  </pic:blipFill>
                  <pic:spPr bwMode="auto">
                    <a:xfrm>
                      <a:off x="0" y="0"/>
                      <a:ext cx="5029200" cy="5029200"/>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Supplementary Figure 1.</w:t>
      </w:r>
      <w:r w:rsidRPr="008E186F">
        <w:rPr>
          <w:rFonts w:ascii="Times" w:hAnsi="Times"/>
        </w:rPr>
        <w:t xml:space="preserve"> Variable selection for MMT. Change in out-of-bag AUC with number of features in the MMT. The optimal model contains 24 features and has an AUC of 0.829.</w:t>
      </w:r>
    </w:p>
    <w:p w14:paraId="6E109F9D" w14:textId="77777777" w:rsidR="00C5081C" w:rsidRPr="008E186F" w:rsidRDefault="00B30EE6">
      <w:pPr>
        <w:rPr>
          <w:rFonts w:ascii="Times" w:hAnsi="Times"/>
        </w:rPr>
      </w:pPr>
      <w:r w:rsidRPr="008E186F">
        <w:rPr>
          <w:rFonts w:ascii="Times" w:hAnsi="Times"/>
          <w:noProof/>
        </w:rPr>
        <w:lastRenderedPageBreak/>
        <w:drawing>
          <wp:inline distT="0" distB="0" distL="0" distR="0" wp14:anchorId="4E759E09" wp14:editId="7F83697E">
            <wp:extent cx="5956300" cy="7658100"/>
            <wp:effectExtent l="0" t="0" r="12700" b="1270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5"/>
                    <a:stretch>
                      <a:fillRect/>
                    </a:stretch>
                  </pic:blipFill>
                  <pic:spPr bwMode="auto">
                    <a:xfrm>
                      <a:off x="0" y="0"/>
                      <a:ext cx="5956300" cy="7658100"/>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Supplementary Figure 2.</w:t>
      </w:r>
      <w:r w:rsidRPr="008E186F">
        <w:rPr>
          <w:rFonts w:ascii="Times" w:hAnsi="Times"/>
        </w:rPr>
        <w:t xml:space="preserve"> Bacterial OTUs in MMT. Stripchart of the relative abundances of each OTU in the MMT with black lines at the medians.</w:t>
      </w:r>
    </w:p>
    <w:p w14:paraId="0EC84D8A" w14:textId="77777777" w:rsidR="00C5081C" w:rsidRPr="008E186F" w:rsidRDefault="00B30EE6">
      <w:pPr>
        <w:rPr>
          <w:rFonts w:ascii="Times" w:hAnsi="Times"/>
        </w:rPr>
      </w:pPr>
      <w:r w:rsidRPr="008E186F">
        <w:rPr>
          <w:rFonts w:ascii="Times" w:hAnsi="Times"/>
          <w:noProof/>
        </w:rPr>
        <w:lastRenderedPageBreak/>
        <w:drawing>
          <wp:inline distT="0" distB="0" distL="0" distR="0" wp14:anchorId="5B57C987" wp14:editId="7D278025">
            <wp:extent cx="5943600" cy="5943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Supplementary Figure 3.</w:t>
      </w:r>
      <w:r w:rsidRPr="008E186F">
        <w:rPr>
          <w:rFonts w:ascii="Times" w:hAnsi="Times"/>
        </w:rPr>
        <w:t xml:space="preserve"> MMT Probabilities based on FIT results. Stripchart of MMT results for samples with a positive or negative FIT result.</w:t>
      </w:r>
    </w:p>
    <w:p w14:paraId="35535238" w14:textId="4CF8B6F2" w:rsidR="004B2953" w:rsidRDefault="00B30EE6">
      <w:pPr>
        <w:rPr>
          <w:rFonts w:ascii="Times" w:hAnsi="Times"/>
        </w:rPr>
      </w:pPr>
      <w:r w:rsidRPr="008E186F">
        <w:rPr>
          <w:rFonts w:ascii="Times" w:hAnsi="Times"/>
          <w:noProof/>
        </w:rPr>
        <w:lastRenderedPageBreak/>
        <w:drawing>
          <wp:inline distT="0" distB="0" distL="0" distR="0" wp14:anchorId="5C99AEFD" wp14:editId="0EDB0BF6">
            <wp:extent cx="6489700" cy="432646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7"/>
                    <a:stretch>
                      <a:fillRect/>
                    </a:stretch>
                  </pic:blipFill>
                  <pic:spPr bwMode="auto">
                    <a:xfrm>
                      <a:off x="0" y="0"/>
                      <a:ext cx="6489700" cy="4326467"/>
                    </a:xfrm>
                    <a:prstGeom prst="rect">
                      <a:avLst/>
                    </a:prstGeom>
                    <a:noFill/>
                    <a:ln w="9525">
                      <a:noFill/>
                      <a:headEnd/>
                      <a:tailEnd/>
                    </a:ln>
                  </pic:spPr>
                </pic:pic>
              </a:graphicData>
            </a:graphic>
          </wp:inline>
        </w:drawing>
      </w:r>
      <w:r w:rsidRPr="008E186F">
        <w:rPr>
          <w:rFonts w:ascii="Times" w:hAnsi="Times"/>
        </w:rPr>
        <w:br/>
      </w:r>
      <w:r w:rsidRPr="008E186F">
        <w:rPr>
          <w:rFonts w:ascii="Times" w:hAnsi="Times"/>
          <w:b/>
        </w:rPr>
        <w:t>Supplementary Figure 4.</w:t>
      </w:r>
      <w:r w:rsidRPr="008E186F">
        <w:rPr>
          <w:rFonts w:ascii="Times" w:hAnsi="Times"/>
        </w:rPr>
        <w:t xml:space="preserve"> Effect of sex on MMT performance. ROC curves (left) and stripchart (right) of MMT results separated by sex.</w:t>
      </w:r>
    </w:p>
    <w:p w14:paraId="7C8F3741" w14:textId="77777777" w:rsidR="004B2953" w:rsidRDefault="004B2953">
      <w:pPr>
        <w:spacing w:before="0" w:after="200" w:line="240" w:lineRule="auto"/>
        <w:jc w:val="left"/>
        <w:rPr>
          <w:rFonts w:ascii="Times" w:hAnsi="Times"/>
        </w:rPr>
      </w:pPr>
      <w:r>
        <w:rPr>
          <w:rFonts w:ascii="Times" w:hAnsi="Times"/>
        </w:rPr>
        <w:br w:type="page"/>
      </w:r>
    </w:p>
    <w:p w14:paraId="6F0925B6" w14:textId="77777777" w:rsidR="00C5081C" w:rsidRPr="008E186F" w:rsidRDefault="00C5081C">
      <w:pPr>
        <w:rPr>
          <w:rFonts w:ascii="Times" w:hAnsi="Times"/>
        </w:rPr>
      </w:pPr>
    </w:p>
    <w:tbl>
      <w:tblPr>
        <w:tblW w:w="10520" w:type="dxa"/>
        <w:tblInd w:w="93" w:type="dxa"/>
        <w:tblLook w:val="04A0" w:firstRow="1" w:lastRow="0" w:firstColumn="1" w:lastColumn="0" w:noHBand="0" w:noVBand="1"/>
      </w:tblPr>
      <w:tblGrid>
        <w:gridCol w:w="2420"/>
        <w:gridCol w:w="1284"/>
        <w:gridCol w:w="1838"/>
        <w:gridCol w:w="1507"/>
        <w:gridCol w:w="1682"/>
        <w:gridCol w:w="1789"/>
      </w:tblGrid>
      <w:tr w:rsidR="004B2953" w:rsidRPr="004B2953" w14:paraId="7F691FFE" w14:textId="77777777" w:rsidTr="004B2953">
        <w:trPr>
          <w:trHeight w:val="260"/>
        </w:trPr>
        <w:tc>
          <w:tcPr>
            <w:tcW w:w="2420" w:type="dxa"/>
            <w:tcBorders>
              <w:top w:val="nil"/>
              <w:left w:val="nil"/>
              <w:bottom w:val="nil"/>
              <w:right w:val="nil"/>
            </w:tcBorders>
            <w:shd w:val="clear" w:color="auto" w:fill="auto"/>
            <w:noWrap/>
            <w:vAlign w:val="bottom"/>
            <w:hideMark/>
          </w:tcPr>
          <w:p w14:paraId="491BF2CB"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8100" w:type="dxa"/>
            <w:gridSpan w:val="5"/>
            <w:tcBorders>
              <w:top w:val="nil"/>
              <w:left w:val="nil"/>
              <w:bottom w:val="nil"/>
              <w:right w:val="nil"/>
            </w:tcBorders>
            <w:shd w:val="clear" w:color="auto" w:fill="auto"/>
            <w:noWrap/>
            <w:vAlign w:val="bottom"/>
            <w:hideMark/>
          </w:tcPr>
          <w:p w14:paraId="503E41A4" w14:textId="77777777" w:rsidR="004B2953" w:rsidRPr="004B2953" w:rsidRDefault="004B2953" w:rsidP="004B2953">
            <w:pPr>
              <w:spacing w:before="0" w:after="0" w:line="240" w:lineRule="auto"/>
              <w:jc w:val="left"/>
              <w:rPr>
                <w:rFonts w:ascii="Arial" w:eastAsia="Times New Roman" w:hAnsi="Arial" w:cs="Arial"/>
                <w:b/>
                <w:bCs/>
                <w:color w:val="000000"/>
                <w:sz w:val="20"/>
                <w:szCs w:val="20"/>
              </w:rPr>
            </w:pPr>
            <w:r w:rsidRPr="004B2953">
              <w:rPr>
                <w:rFonts w:ascii="Arial" w:eastAsia="Times New Roman" w:hAnsi="Arial" w:cs="Arial"/>
                <w:b/>
                <w:bCs/>
                <w:color w:val="000000"/>
                <w:sz w:val="20"/>
                <w:szCs w:val="20"/>
              </w:rPr>
              <w:t>Number and Percentage of True Positives Identified through FIT and MMT</w:t>
            </w:r>
          </w:p>
        </w:tc>
      </w:tr>
      <w:tr w:rsidR="004B2953" w:rsidRPr="004B2953" w14:paraId="1954F439" w14:textId="77777777" w:rsidTr="004B2953">
        <w:trPr>
          <w:trHeight w:val="280"/>
        </w:trPr>
        <w:tc>
          <w:tcPr>
            <w:tcW w:w="2420" w:type="dxa"/>
            <w:tcBorders>
              <w:top w:val="nil"/>
              <w:left w:val="nil"/>
              <w:bottom w:val="single" w:sz="8" w:space="0" w:color="auto"/>
              <w:right w:val="nil"/>
            </w:tcBorders>
            <w:shd w:val="clear" w:color="auto" w:fill="auto"/>
            <w:noWrap/>
            <w:vAlign w:val="bottom"/>
            <w:hideMark/>
          </w:tcPr>
          <w:p w14:paraId="7EFD574B"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w:t>
            </w:r>
          </w:p>
        </w:tc>
        <w:tc>
          <w:tcPr>
            <w:tcW w:w="1284" w:type="dxa"/>
            <w:tcBorders>
              <w:top w:val="nil"/>
              <w:left w:val="nil"/>
              <w:bottom w:val="single" w:sz="8" w:space="0" w:color="auto"/>
              <w:right w:val="nil"/>
            </w:tcBorders>
            <w:shd w:val="clear" w:color="auto" w:fill="auto"/>
            <w:noWrap/>
            <w:vAlign w:val="bottom"/>
            <w:hideMark/>
          </w:tcPr>
          <w:p w14:paraId="580ADA8C"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w:t>
            </w:r>
          </w:p>
        </w:tc>
        <w:tc>
          <w:tcPr>
            <w:tcW w:w="1838" w:type="dxa"/>
            <w:tcBorders>
              <w:top w:val="nil"/>
              <w:left w:val="nil"/>
              <w:bottom w:val="single" w:sz="8" w:space="0" w:color="auto"/>
              <w:right w:val="nil"/>
            </w:tcBorders>
            <w:shd w:val="clear" w:color="auto" w:fill="auto"/>
            <w:noWrap/>
            <w:vAlign w:val="bottom"/>
            <w:hideMark/>
          </w:tcPr>
          <w:p w14:paraId="336F01E7"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w:t>
            </w:r>
          </w:p>
        </w:tc>
        <w:tc>
          <w:tcPr>
            <w:tcW w:w="1507" w:type="dxa"/>
            <w:tcBorders>
              <w:top w:val="nil"/>
              <w:left w:val="nil"/>
              <w:bottom w:val="single" w:sz="8" w:space="0" w:color="auto"/>
              <w:right w:val="nil"/>
            </w:tcBorders>
            <w:shd w:val="clear" w:color="auto" w:fill="auto"/>
            <w:noWrap/>
            <w:vAlign w:val="bottom"/>
            <w:hideMark/>
          </w:tcPr>
          <w:p w14:paraId="44A8DAFA"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w:t>
            </w:r>
          </w:p>
        </w:tc>
        <w:tc>
          <w:tcPr>
            <w:tcW w:w="1682" w:type="dxa"/>
            <w:tcBorders>
              <w:top w:val="nil"/>
              <w:left w:val="nil"/>
              <w:bottom w:val="single" w:sz="8" w:space="0" w:color="auto"/>
              <w:right w:val="nil"/>
            </w:tcBorders>
            <w:shd w:val="clear" w:color="auto" w:fill="auto"/>
            <w:noWrap/>
            <w:vAlign w:val="bottom"/>
            <w:hideMark/>
          </w:tcPr>
          <w:p w14:paraId="1CE57D6B"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w:t>
            </w:r>
          </w:p>
        </w:tc>
        <w:tc>
          <w:tcPr>
            <w:tcW w:w="1789" w:type="dxa"/>
            <w:tcBorders>
              <w:top w:val="nil"/>
              <w:left w:val="nil"/>
              <w:bottom w:val="single" w:sz="8" w:space="0" w:color="auto"/>
              <w:right w:val="nil"/>
            </w:tcBorders>
            <w:shd w:val="clear" w:color="auto" w:fill="auto"/>
            <w:noWrap/>
            <w:vAlign w:val="bottom"/>
            <w:hideMark/>
          </w:tcPr>
          <w:p w14:paraId="2B09281F"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w:t>
            </w:r>
          </w:p>
        </w:tc>
      </w:tr>
      <w:tr w:rsidR="004B2953" w:rsidRPr="004B2953" w14:paraId="054D674A" w14:textId="77777777" w:rsidTr="004B2953">
        <w:trPr>
          <w:trHeight w:val="960"/>
        </w:trPr>
        <w:tc>
          <w:tcPr>
            <w:tcW w:w="2420" w:type="dxa"/>
            <w:tcBorders>
              <w:top w:val="nil"/>
              <w:left w:val="nil"/>
              <w:bottom w:val="single" w:sz="4" w:space="0" w:color="auto"/>
              <w:right w:val="nil"/>
            </w:tcBorders>
            <w:shd w:val="clear" w:color="auto" w:fill="auto"/>
            <w:noWrap/>
            <w:vAlign w:val="bottom"/>
            <w:hideMark/>
          </w:tcPr>
          <w:p w14:paraId="6B29E2B4"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Condition</w:t>
            </w:r>
          </w:p>
        </w:tc>
        <w:tc>
          <w:tcPr>
            <w:tcW w:w="1284" w:type="dxa"/>
            <w:tcBorders>
              <w:top w:val="nil"/>
              <w:left w:val="nil"/>
              <w:bottom w:val="single" w:sz="4" w:space="0" w:color="auto"/>
              <w:right w:val="nil"/>
            </w:tcBorders>
            <w:shd w:val="clear" w:color="auto" w:fill="auto"/>
            <w:noWrap/>
            <w:vAlign w:val="bottom"/>
            <w:hideMark/>
          </w:tcPr>
          <w:p w14:paraId="40EB15D7"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Prevalence</w:t>
            </w:r>
          </w:p>
        </w:tc>
        <w:tc>
          <w:tcPr>
            <w:tcW w:w="1838" w:type="dxa"/>
            <w:tcBorders>
              <w:top w:val="nil"/>
              <w:left w:val="nil"/>
              <w:bottom w:val="single" w:sz="4" w:space="0" w:color="auto"/>
              <w:right w:val="nil"/>
            </w:tcBorders>
            <w:shd w:val="clear" w:color="auto" w:fill="auto"/>
            <w:vAlign w:val="bottom"/>
            <w:hideMark/>
          </w:tcPr>
          <w:p w14:paraId="15B1BC17"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Number of Persons, ages 50-75 years, with Condition</w:t>
            </w:r>
          </w:p>
        </w:tc>
        <w:tc>
          <w:tcPr>
            <w:tcW w:w="1507" w:type="dxa"/>
            <w:tcBorders>
              <w:top w:val="nil"/>
              <w:left w:val="nil"/>
              <w:bottom w:val="single" w:sz="4" w:space="0" w:color="auto"/>
              <w:right w:val="nil"/>
            </w:tcBorders>
            <w:shd w:val="clear" w:color="auto" w:fill="auto"/>
            <w:vAlign w:val="bottom"/>
            <w:hideMark/>
          </w:tcPr>
          <w:p w14:paraId="5E896FCE"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True Positives identified through FIT</w:t>
            </w:r>
          </w:p>
        </w:tc>
        <w:tc>
          <w:tcPr>
            <w:tcW w:w="1682" w:type="dxa"/>
            <w:tcBorders>
              <w:top w:val="nil"/>
              <w:left w:val="nil"/>
              <w:bottom w:val="single" w:sz="4" w:space="0" w:color="auto"/>
              <w:right w:val="nil"/>
            </w:tcBorders>
            <w:shd w:val="clear" w:color="auto" w:fill="auto"/>
            <w:vAlign w:val="bottom"/>
            <w:hideMark/>
          </w:tcPr>
          <w:p w14:paraId="59932D8B"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True Positives identified through additional MMT</w:t>
            </w:r>
          </w:p>
        </w:tc>
        <w:tc>
          <w:tcPr>
            <w:tcW w:w="1789" w:type="dxa"/>
            <w:tcBorders>
              <w:top w:val="nil"/>
              <w:left w:val="nil"/>
              <w:bottom w:val="single" w:sz="4" w:space="0" w:color="auto"/>
              <w:right w:val="nil"/>
            </w:tcBorders>
            <w:shd w:val="clear" w:color="auto" w:fill="auto"/>
            <w:vAlign w:val="bottom"/>
            <w:hideMark/>
          </w:tcPr>
          <w:p w14:paraId="7E470310"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Percentage of True Positives identified through additional MMT</w:t>
            </w:r>
          </w:p>
        </w:tc>
      </w:tr>
      <w:tr w:rsidR="004B2953" w:rsidRPr="004B2953" w14:paraId="4C328730" w14:textId="77777777" w:rsidTr="004B2953">
        <w:trPr>
          <w:trHeight w:val="260"/>
        </w:trPr>
        <w:tc>
          <w:tcPr>
            <w:tcW w:w="2420" w:type="dxa"/>
            <w:tcBorders>
              <w:top w:val="nil"/>
              <w:left w:val="nil"/>
              <w:bottom w:val="nil"/>
              <w:right w:val="nil"/>
            </w:tcBorders>
            <w:shd w:val="clear" w:color="auto" w:fill="auto"/>
            <w:noWrap/>
            <w:vAlign w:val="bottom"/>
            <w:hideMark/>
          </w:tcPr>
          <w:p w14:paraId="058039B5"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1284" w:type="dxa"/>
            <w:tcBorders>
              <w:top w:val="nil"/>
              <w:left w:val="nil"/>
              <w:bottom w:val="nil"/>
              <w:right w:val="nil"/>
            </w:tcBorders>
            <w:shd w:val="clear" w:color="auto" w:fill="auto"/>
            <w:noWrap/>
            <w:vAlign w:val="bottom"/>
            <w:hideMark/>
          </w:tcPr>
          <w:p w14:paraId="23329498"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1838" w:type="dxa"/>
            <w:tcBorders>
              <w:top w:val="nil"/>
              <w:left w:val="nil"/>
              <w:bottom w:val="nil"/>
              <w:right w:val="nil"/>
            </w:tcBorders>
            <w:shd w:val="clear" w:color="auto" w:fill="auto"/>
            <w:noWrap/>
            <w:vAlign w:val="bottom"/>
            <w:hideMark/>
          </w:tcPr>
          <w:p w14:paraId="667B5BC4"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1507" w:type="dxa"/>
            <w:tcBorders>
              <w:top w:val="nil"/>
              <w:left w:val="nil"/>
              <w:bottom w:val="nil"/>
              <w:right w:val="nil"/>
            </w:tcBorders>
            <w:shd w:val="clear" w:color="auto" w:fill="auto"/>
            <w:noWrap/>
            <w:vAlign w:val="bottom"/>
            <w:hideMark/>
          </w:tcPr>
          <w:p w14:paraId="257C5229"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1682" w:type="dxa"/>
            <w:tcBorders>
              <w:top w:val="nil"/>
              <w:left w:val="nil"/>
              <w:bottom w:val="nil"/>
              <w:right w:val="nil"/>
            </w:tcBorders>
            <w:shd w:val="clear" w:color="auto" w:fill="auto"/>
            <w:noWrap/>
            <w:vAlign w:val="bottom"/>
            <w:hideMark/>
          </w:tcPr>
          <w:p w14:paraId="2D68AE36"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1789" w:type="dxa"/>
            <w:tcBorders>
              <w:top w:val="nil"/>
              <w:left w:val="nil"/>
              <w:bottom w:val="nil"/>
              <w:right w:val="nil"/>
            </w:tcBorders>
            <w:shd w:val="clear" w:color="auto" w:fill="auto"/>
            <w:noWrap/>
            <w:vAlign w:val="bottom"/>
            <w:hideMark/>
          </w:tcPr>
          <w:p w14:paraId="23F013C1"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r>
      <w:tr w:rsidR="004B2953" w:rsidRPr="004B2953" w14:paraId="049B382E" w14:textId="77777777" w:rsidTr="004B2953">
        <w:trPr>
          <w:trHeight w:val="260"/>
        </w:trPr>
        <w:tc>
          <w:tcPr>
            <w:tcW w:w="2420" w:type="dxa"/>
            <w:tcBorders>
              <w:top w:val="nil"/>
              <w:left w:val="nil"/>
              <w:bottom w:val="nil"/>
              <w:right w:val="nil"/>
            </w:tcBorders>
            <w:shd w:val="clear" w:color="auto" w:fill="auto"/>
            <w:noWrap/>
            <w:vAlign w:val="bottom"/>
            <w:hideMark/>
          </w:tcPr>
          <w:p w14:paraId="49791F7E"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Cancer</w:t>
            </w:r>
          </w:p>
        </w:tc>
        <w:tc>
          <w:tcPr>
            <w:tcW w:w="1284" w:type="dxa"/>
            <w:tcBorders>
              <w:top w:val="nil"/>
              <w:left w:val="nil"/>
              <w:bottom w:val="nil"/>
              <w:right w:val="nil"/>
            </w:tcBorders>
            <w:shd w:val="clear" w:color="auto" w:fill="auto"/>
            <w:noWrap/>
            <w:vAlign w:val="bottom"/>
            <w:hideMark/>
          </w:tcPr>
          <w:p w14:paraId="46BA038F"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0.3%</w:t>
            </w:r>
          </w:p>
        </w:tc>
        <w:tc>
          <w:tcPr>
            <w:tcW w:w="1838" w:type="dxa"/>
            <w:tcBorders>
              <w:top w:val="nil"/>
              <w:left w:val="nil"/>
              <w:bottom w:val="nil"/>
              <w:right w:val="nil"/>
            </w:tcBorders>
            <w:shd w:val="clear" w:color="auto" w:fill="auto"/>
            <w:noWrap/>
            <w:vAlign w:val="bottom"/>
            <w:hideMark/>
          </w:tcPr>
          <w:p w14:paraId="6927562B"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241,483</w:t>
            </w:r>
          </w:p>
        </w:tc>
        <w:tc>
          <w:tcPr>
            <w:tcW w:w="1507" w:type="dxa"/>
            <w:tcBorders>
              <w:top w:val="nil"/>
              <w:left w:val="nil"/>
              <w:bottom w:val="nil"/>
              <w:right w:val="nil"/>
            </w:tcBorders>
            <w:shd w:val="clear" w:color="auto" w:fill="auto"/>
            <w:noWrap/>
            <w:vAlign w:val="bottom"/>
            <w:hideMark/>
          </w:tcPr>
          <w:p w14:paraId="2521ABEE"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181,112</w:t>
            </w:r>
          </w:p>
        </w:tc>
        <w:tc>
          <w:tcPr>
            <w:tcW w:w="1682" w:type="dxa"/>
            <w:tcBorders>
              <w:top w:val="nil"/>
              <w:left w:val="nil"/>
              <w:bottom w:val="nil"/>
              <w:right w:val="nil"/>
            </w:tcBorders>
            <w:shd w:val="clear" w:color="auto" w:fill="auto"/>
            <w:noWrap/>
            <w:vAlign w:val="bottom"/>
            <w:hideMark/>
          </w:tcPr>
          <w:p w14:paraId="17CD8A0D"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222,260</w:t>
            </w:r>
          </w:p>
        </w:tc>
        <w:tc>
          <w:tcPr>
            <w:tcW w:w="1789" w:type="dxa"/>
            <w:tcBorders>
              <w:top w:val="nil"/>
              <w:left w:val="nil"/>
              <w:bottom w:val="nil"/>
              <w:right w:val="nil"/>
            </w:tcBorders>
            <w:shd w:val="clear" w:color="auto" w:fill="auto"/>
            <w:noWrap/>
            <w:vAlign w:val="bottom"/>
            <w:hideMark/>
          </w:tcPr>
          <w:p w14:paraId="4335DE3A"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55.1%</w:t>
            </w:r>
          </w:p>
        </w:tc>
      </w:tr>
      <w:tr w:rsidR="004B2953" w:rsidRPr="004B2953" w14:paraId="55339D36" w14:textId="77777777" w:rsidTr="004B2953">
        <w:trPr>
          <w:trHeight w:val="260"/>
        </w:trPr>
        <w:tc>
          <w:tcPr>
            <w:tcW w:w="2420" w:type="dxa"/>
            <w:tcBorders>
              <w:top w:val="nil"/>
              <w:left w:val="nil"/>
              <w:bottom w:val="nil"/>
              <w:right w:val="nil"/>
            </w:tcBorders>
            <w:shd w:val="clear" w:color="auto" w:fill="auto"/>
            <w:noWrap/>
            <w:vAlign w:val="bottom"/>
            <w:hideMark/>
          </w:tcPr>
          <w:p w14:paraId="51C6FFC5"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Advanced Adenoma</w:t>
            </w:r>
          </w:p>
        </w:tc>
        <w:tc>
          <w:tcPr>
            <w:tcW w:w="1284" w:type="dxa"/>
            <w:tcBorders>
              <w:top w:val="nil"/>
              <w:left w:val="nil"/>
              <w:bottom w:val="nil"/>
              <w:right w:val="nil"/>
            </w:tcBorders>
            <w:shd w:val="clear" w:color="auto" w:fill="auto"/>
            <w:noWrap/>
            <w:vAlign w:val="bottom"/>
            <w:hideMark/>
          </w:tcPr>
          <w:p w14:paraId="5A4F1835"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5.7%</w:t>
            </w:r>
          </w:p>
        </w:tc>
        <w:tc>
          <w:tcPr>
            <w:tcW w:w="1838" w:type="dxa"/>
            <w:tcBorders>
              <w:top w:val="nil"/>
              <w:left w:val="nil"/>
              <w:bottom w:val="nil"/>
              <w:right w:val="nil"/>
            </w:tcBorders>
            <w:shd w:val="clear" w:color="auto" w:fill="auto"/>
            <w:noWrap/>
            <w:vAlign w:val="bottom"/>
            <w:hideMark/>
          </w:tcPr>
          <w:p w14:paraId="27609BD2"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4,588,174</w:t>
            </w:r>
          </w:p>
        </w:tc>
        <w:tc>
          <w:tcPr>
            <w:tcW w:w="1507" w:type="dxa"/>
            <w:tcBorders>
              <w:top w:val="nil"/>
              <w:left w:val="nil"/>
              <w:bottom w:val="nil"/>
              <w:right w:val="nil"/>
            </w:tcBorders>
            <w:shd w:val="clear" w:color="auto" w:fill="auto"/>
            <w:noWrap/>
            <w:vAlign w:val="bottom"/>
            <w:hideMark/>
          </w:tcPr>
          <w:p w14:paraId="404696B7"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885,518</w:t>
            </w:r>
          </w:p>
        </w:tc>
        <w:tc>
          <w:tcPr>
            <w:tcW w:w="1682" w:type="dxa"/>
            <w:tcBorders>
              <w:top w:val="nil"/>
              <w:left w:val="nil"/>
              <w:bottom w:val="nil"/>
              <w:right w:val="nil"/>
            </w:tcBorders>
            <w:shd w:val="clear" w:color="auto" w:fill="auto"/>
            <w:noWrap/>
            <w:vAlign w:val="bottom"/>
            <w:hideMark/>
          </w:tcPr>
          <w:p w14:paraId="6F10B2A2"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2,276,159</w:t>
            </w:r>
          </w:p>
        </w:tc>
        <w:tc>
          <w:tcPr>
            <w:tcW w:w="1789" w:type="dxa"/>
            <w:tcBorders>
              <w:top w:val="nil"/>
              <w:left w:val="nil"/>
              <w:bottom w:val="nil"/>
              <w:right w:val="nil"/>
            </w:tcBorders>
            <w:shd w:val="clear" w:color="auto" w:fill="auto"/>
            <w:noWrap/>
            <w:vAlign w:val="bottom"/>
            <w:hideMark/>
          </w:tcPr>
          <w:p w14:paraId="6EA1EDFB"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72.0%</w:t>
            </w:r>
          </w:p>
        </w:tc>
      </w:tr>
      <w:tr w:rsidR="004B2953" w:rsidRPr="004B2953" w14:paraId="4F787A85" w14:textId="77777777" w:rsidTr="004B2953">
        <w:trPr>
          <w:trHeight w:val="280"/>
        </w:trPr>
        <w:tc>
          <w:tcPr>
            <w:tcW w:w="2420" w:type="dxa"/>
            <w:tcBorders>
              <w:top w:val="nil"/>
              <w:left w:val="nil"/>
              <w:bottom w:val="single" w:sz="8" w:space="0" w:color="auto"/>
              <w:right w:val="nil"/>
            </w:tcBorders>
            <w:shd w:val="clear" w:color="auto" w:fill="auto"/>
            <w:noWrap/>
            <w:vAlign w:val="bottom"/>
            <w:hideMark/>
          </w:tcPr>
          <w:p w14:paraId="3822F12A"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Non-advanced Adenoma</w:t>
            </w:r>
          </w:p>
        </w:tc>
        <w:tc>
          <w:tcPr>
            <w:tcW w:w="1284" w:type="dxa"/>
            <w:tcBorders>
              <w:top w:val="nil"/>
              <w:left w:val="nil"/>
              <w:bottom w:val="single" w:sz="8" w:space="0" w:color="auto"/>
              <w:right w:val="nil"/>
            </w:tcBorders>
            <w:shd w:val="clear" w:color="auto" w:fill="auto"/>
            <w:noWrap/>
            <w:vAlign w:val="bottom"/>
            <w:hideMark/>
          </w:tcPr>
          <w:p w14:paraId="2F8ABC37"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17.7%</w:t>
            </w:r>
          </w:p>
        </w:tc>
        <w:tc>
          <w:tcPr>
            <w:tcW w:w="1838" w:type="dxa"/>
            <w:tcBorders>
              <w:top w:val="nil"/>
              <w:left w:val="nil"/>
              <w:bottom w:val="single" w:sz="8" w:space="0" w:color="auto"/>
              <w:right w:val="nil"/>
            </w:tcBorders>
            <w:shd w:val="clear" w:color="auto" w:fill="auto"/>
            <w:noWrap/>
            <w:vAlign w:val="bottom"/>
            <w:hideMark/>
          </w:tcPr>
          <w:p w14:paraId="7863494B"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14,247,488</w:t>
            </w:r>
          </w:p>
        </w:tc>
        <w:tc>
          <w:tcPr>
            <w:tcW w:w="1507" w:type="dxa"/>
            <w:tcBorders>
              <w:top w:val="nil"/>
              <w:left w:val="nil"/>
              <w:bottom w:val="single" w:sz="8" w:space="0" w:color="auto"/>
              <w:right w:val="nil"/>
            </w:tcBorders>
            <w:shd w:val="clear" w:color="auto" w:fill="auto"/>
            <w:noWrap/>
            <w:vAlign w:val="bottom"/>
            <w:hideMark/>
          </w:tcPr>
          <w:p w14:paraId="13FFAEBF"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1,595,719</w:t>
            </w:r>
          </w:p>
        </w:tc>
        <w:tc>
          <w:tcPr>
            <w:tcW w:w="1682" w:type="dxa"/>
            <w:tcBorders>
              <w:top w:val="nil"/>
              <w:left w:val="nil"/>
              <w:bottom w:val="single" w:sz="8" w:space="0" w:color="auto"/>
              <w:right w:val="nil"/>
            </w:tcBorders>
            <w:shd w:val="clear" w:color="auto" w:fill="auto"/>
            <w:noWrap/>
            <w:vAlign w:val="bottom"/>
            <w:hideMark/>
          </w:tcPr>
          <w:p w14:paraId="52DF8976"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7,507,376</w:t>
            </w:r>
          </w:p>
        </w:tc>
        <w:tc>
          <w:tcPr>
            <w:tcW w:w="1789" w:type="dxa"/>
            <w:tcBorders>
              <w:top w:val="nil"/>
              <w:left w:val="nil"/>
              <w:bottom w:val="single" w:sz="8" w:space="0" w:color="auto"/>
              <w:right w:val="nil"/>
            </w:tcBorders>
            <w:shd w:val="clear" w:color="auto" w:fill="auto"/>
            <w:noWrap/>
            <w:vAlign w:val="bottom"/>
            <w:hideMark/>
          </w:tcPr>
          <w:p w14:paraId="64A956EC" w14:textId="77777777" w:rsidR="004B2953" w:rsidRPr="004B2953" w:rsidRDefault="004B2953" w:rsidP="004B2953">
            <w:pPr>
              <w:spacing w:before="0" w:after="0" w:line="240" w:lineRule="auto"/>
              <w:jc w:val="right"/>
              <w:rPr>
                <w:rFonts w:ascii="Arial" w:eastAsia="Times New Roman" w:hAnsi="Arial" w:cs="Arial"/>
                <w:color w:val="000000"/>
                <w:sz w:val="20"/>
                <w:szCs w:val="20"/>
              </w:rPr>
            </w:pPr>
            <w:r w:rsidRPr="004B2953">
              <w:rPr>
                <w:rFonts w:ascii="Arial" w:eastAsia="Times New Roman" w:hAnsi="Arial" w:cs="Arial"/>
                <w:color w:val="000000"/>
                <w:sz w:val="20"/>
                <w:szCs w:val="20"/>
              </w:rPr>
              <w:t>82.5%</w:t>
            </w:r>
          </w:p>
        </w:tc>
      </w:tr>
      <w:tr w:rsidR="004B2953" w:rsidRPr="004B2953" w14:paraId="25380CDB" w14:textId="77777777" w:rsidTr="004B2953">
        <w:trPr>
          <w:trHeight w:val="215"/>
        </w:trPr>
        <w:tc>
          <w:tcPr>
            <w:tcW w:w="8731" w:type="dxa"/>
            <w:gridSpan w:val="5"/>
            <w:vMerge w:val="restart"/>
            <w:tcBorders>
              <w:top w:val="single" w:sz="8" w:space="0" w:color="auto"/>
              <w:left w:val="nil"/>
              <w:bottom w:val="nil"/>
              <w:right w:val="nil"/>
            </w:tcBorders>
            <w:shd w:val="clear" w:color="auto" w:fill="auto"/>
            <w:vAlign w:val="bottom"/>
            <w:hideMark/>
          </w:tcPr>
          <w:p w14:paraId="5C01118A" w14:textId="77777777" w:rsidR="004B2953" w:rsidRPr="004B2953" w:rsidRDefault="004B2953" w:rsidP="004B2953">
            <w:pPr>
              <w:spacing w:before="0" w:after="0" w:line="240" w:lineRule="auto"/>
              <w:jc w:val="left"/>
              <w:rPr>
                <w:rFonts w:ascii="Arial" w:eastAsia="Times New Roman" w:hAnsi="Arial" w:cs="Arial"/>
                <w:color w:val="000000"/>
                <w:sz w:val="20"/>
                <w:szCs w:val="20"/>
              </w:rPr>
            </w:pPr>
            <w:r w:rsidRPr="004B2953">
              <w:rPr>
                <w:rFonts w:ascii="Arial" w:eastAsia="Times New Roman" w:hAnsi="Arial" w:cs="Arial"/>
                <w:color w:val="000000"/>
                <w:sz w:val="20"/>
                <w:szCs w:val="20"/>
              </w:rPr>
              <w:t xml:space="preserve">          *Number of persons in the United States in 2010, 50-75 years of age, was 80,494,283.</w:t>
            </w:r>
          </w:p>
        </w:tc>
        <w:tc>
          <w:tcPr>
            <w:tcW w:w="1789" w:type="dxa"/>
            <w:tcBorders>
              <w:top w:val="nil"/>
              <w:left w:val="nil"/>
              <w:bottom w:val="nil"/>
              <w:right w:val="nil"/>
            </w:tcBorders>
            <w:shd w:val="clear" w:color="auto" w:fill="auto"/>
            <w:noWrap/>
            <w:vAlign w:val="bottom"/>
            <w:hideMark/>
          </w:tcPr>
          <w:p w14:paraId="300AB114"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r>
      <w:tr w:rsidR="004B2953" w:rsidRPr="004B2953" w14:paraId="42D67DCC" w14:textId="77777777" w:rsidTr="004B2953">
        <w:trPr>
          <w:trHeight w:val="155"/>
        </w:trPr>
        <w:tc>
          <w:tcPr>
            <w:tcW w:w="8731" w:type="dxa"/>
            <w:gridSpan w:val="5"/>
            <w:vMerge/>
            <w:tcBorders>
              <w:top w:val="single" w:sz="8" w:space="0" w:color="auto"/>
              <w:left w:val="nil"/>
              <w:bottom w:val="nil"/>
              <w:right w:val="nil"/>
            </w:tcBorders>
            <w:vAlign w:val="center"/>
            <w:hideMark/>
          </w:tcPr>
          <w:p w14:paraId="7251F70F"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c>
          <w:tcPr>
            <w:tcW w:w="1789" w:type="dxa"/>
            <w:tcBorders>
              <w:top w:val="nil"/>
              <w:left w:val="nil"/>
              <w:bottom w:val="nil"/>
              <w:right w:val="nil"/>
            </w:tcBorders>
            <w:shd w:val="clear" w:color="auto" w:fill="auto"/>
            <w:noWrap/>
            <w:vAlign w:val="bottom"/>
            <w:hideMark/>
          </w:tcPr>
          <w:p w14:paraId="4D8001EB" w14:textId="77777777" w:rsidR="004B2953" w:rsidRPr="004B2953" w:rsidRDefault="004B2953" w:rsidP="004B2953">
            <w:pPr>
              <w:spacing w:before="0" w:after="0" w:line="240" w:lineRule="auto"/>
              <w:jc w:val="left"/>
              <w:rPr>
                <w:rFonts w:ascii="Arial" w:eastAsia="Times New Roman" w:hAnsi="Arial" w:cs="Arial"/>
                <w:color w:val="000000"/>
                <w:sz w:val="20"/>
                <w:szCs w:val="20"/>
              </w:rPr>
            </w:pPr>
          </w:p>
        </w:tc>
      </w:tr>
    </w:tbl>
    <w:p w14:paraId="5885F2D4" w14:textId="77777777" w:rsidR="00C5081C" w:rsidRPr="008E186F" w:rsidRDefault="00B30EE6">
      <w:pPr>
        <w:rPr>
          <w:rFonts w:ascii="Times" w:hAnsi="Times"/>
        </w:rPr>
      </w:pPr>
      <w:r w:rsidRPr="008E186F">
        <w:rPr>
          <w:rFonts w:ascii="Times" w:hAnsi="Times"/>
        </w:rPr>
        <w:br/>
      </w:r>
      <w:r w:rsidRPr="008E186F">
        <w:rPr>
          <w:rFonts w:ascii="Times" w:hAnsi="Times"/>
          <w:b/>
        </w:rPr>
        <w:t>Supplementary Table 1.</w:t>
      </w:r>
      <w:r w:rsidRPr="008E186F">
        <w:rPr>
          <w:rFonts w:ascii="Times" w:hAnsi="Times"/>
        </w:rP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sectPr w:rsidR="00C5081C" w:rsidRPr="008E186F" w:rsidSect="00DF31B2">
      <w:type w:val="continuous"/>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128DE4" w14:textId="77777777" w:rsidR="00B30EE6" w:rsidRDefault="00B30EE6">
      <w:pPr>
        <w:spacing w:before="0" w:after="0" w:line="240" w:lineRule="auto"/>
      </w:pPr>
      <w:r>
        <w:separator/>
      </w:r>
    </w:p>
  </w:endnote>
  <w:endnote w:type="continuationSeparator" w:id="0">
    <w:p w14:paraId="08265EAD" w14:textId="77777777" w:rsidR="00B30EE6" w:rsidRDefault="00B30E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DA1DC" w14:textId="77777777" w:rsidR="00B30EE6" w:rsidRDefault="00B30EE6" w:rsidP="00B30E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57373D" w14:textId="77777777" w:rsidR="00B30EE6" w:rsidRDefault="00B30E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67950" w14:textId="77777777" w:rsidR="00B30EE6" w:rsidRDefault="00B30EE6" w:rsidP="00B30E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14A0F">
      <w:rPr>
        <w:rStyle w:val="PageNumber"/>
        <w:noProof/>
      </w:rPr>
      <w:t>21</w:t>
    </w:r>
    <w:r>
      <w:rPr>
        <w:rStyle w:val="PageNumber"/>
      </w:rPr>
      <w:fldChar w:fldCharType="end"/>
    </w:r>
  </w:p>
  <w:p w14:paraId="4288BDBE" w14:textId="77777777" w:rsidR="00B30EE6" w:rsidRDefault="00B30E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668D00" w14:textId="77777777" w:rsidR="00B30EE6" w:rsidRDefault="00B30EE6">
      <w:pPr>
        <w:spacing w:before="0" w:after="0" w:line="240" w:lineRule="auto"/>
      </w:pPr>
      <w:r>
        <w:separator/>
      </w:r>
    </w:p>
  </w:footnote>
  <w:footnote w:type="continuationSeparator" w:id="0">
    <w:p w14:paraId="2E423DA0" w14:textId="77777777" w:rsidR="00B30EE6" w:rsidRDefault="00B30EE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A7AA82"/>
    <w:multiLevelType w:val="multilevel"/>
    <w:tmpl w:val="0E0C49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21121"/>
    <w:rsid w:val="004B2953"/>
    <w:rsid w:val="004E29B3"/>
    <w:rsid w:val="00590D07"/>
    <w:rsid w:val="00784D58"/>
    <w:rsid w:val="007A7EB5"/>
    <w:rsid w:val="00874C81"/>
    <w:rsid w:val="008D6863"/>
    <w:rsid w:val="008E186F"/>
    <w:rsid w:val="00923E31"/>
    <w:rsid w:val="00B14A0F"/>
    <w:rsid w:val="00B30EE6"/>
    <w:rsid w:val="00B86B75"/>
    <w:rsid w:val="00BC48D5"/>
    <w:rsid w:val="00C36279"/>
    <w:rsid w:val="00C5081C"/>
    <w:rsid w:val="00D50719"/>
    <w:rsid w:val="00DF31B2"/>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AD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DF31B2"/>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F31B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DF31B2"/>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F31B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301191">
      <w:bodyDiv w:val="1"/>
      <w:marLeft w:val="0"/>
      <w:marRight w:val="0"/>
      <w:marTop w:val="0"/>
      <w:marBottom w:val="0"/>
      <w:divBdr>
        <w:top w:val="none" w:sz="0" w:space="0" w:color="auto"/>
        <w:left w:val="none" w:sz="0" w:space="0" w:color="auto"/>
        <w:bottom w:val="none" w:sz="0" w:space="0" w:color="auto"/>
        <w:right w:val="none" w:sz="0" w:space="0" w:color="auto"/>
      </w:divBdr>
    </w:div>
    <w:div w:id="1392192554">
      <w:bodyDiv w:val="1"/>
      <w:marLeft w:val="0"/>
      <w:marRight w:val="0"/>
      <w:marTop w:val="0"/>
      <w:marBottom w:val="0"/>
      <w:divBdr>
        <w:top w:val="none" w:sz="0" w:space="0" w:color="auto"/>
        <w:left w:val="none" w:sz="0" w:space="0" w:color="auto"/>
        <w:bottom w:val="none" w:sz="0" w:space="0" w:color="auto"/>
        <w:right w:val="none" w:sz="0" w:space="0" w:color="auto"/>
      </w:divBdr>
    </w:div>
    <w:div w:id="19359430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4122</Words>
  <Characters>23500</Characters>
  <Application>Microsoft Macintosh Word</Application>
  <DocSecurity>0</DocSecurity>
  <Lines>195</Lines>
  <Paragraphs>55</Paragraphs>
  <ScaleCrop>false</ScaleCrop>
  <Company>University of Michigan Medical School</Company>
  <LinksUpToDate>false</LinksUpToDate>
  <CharactersWithSpaces>27567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10</cp:revision>
  <dcterms:created xsi:type="dcterms:W3CDTF">2015-08-21T14:29:00Z</dcterms:created>
  <dcterms:modified xsi:type="dcterms:W3CDTF">2015-08-21T14:43:00Z</dcterms:modified>
</cp:coreProperties>
</file>