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[20]</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[21]</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[22]</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[23]</w:t>
      </w:r>
      <w:r>
        <w:t xml:space="preserve">. The AUC of ROC curves were compared using the method described by DeLong et al.</w:t>
      </w:r>
      <w:r>
        <w:t xml:space="preserve"> </w:t>
      </w:r>
      <w:r>
        <w:t xml:space="preserve">[24]</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[25]</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[26]</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[23]</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uclassified (Fig. S1B).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27, 28]</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0.837, which was similar to AUCs reported for other microbiota-based models for CRC</w:t>
      </w:r>
      <w:r>
        <w:t xml:space="preserve"> </w:t>
      </w:r>
      <w:r>
        <w:t xml:space="preserve">[17, 18]</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29]</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[25]</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[30]</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[31–33]</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gender,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[34]</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significantly correlated FIT (all p&lt;0.001, Spearman correlation), meaning they add little information when used in combination with FIT. Instead the MMT is enriched for OTUs that help detect adenomas. Thus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[35–38]</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One potential shortcoming of this experiment is that many of the samples were collected after colonoscopy. A previous study showed that the microbiome quickly returns to normal following colonoscopy</w:t>
      </w:r>
      <w:r>
        <w:t xml:space="preserve"> </w:t>
      </w:r>
      <w:r>
        <w:t xml:space="preserve">[20]</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[39]</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[40]</w:t>
      </w:r>
      <w:r>
        <w:t xml:space="preserve">, alterations in the oral community could potentially be a proxy for ongoing or future changes to the gut community.</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pPr>
        <w:pStyle w:val="Heading3"/>
      </w:pPr>
      <w:bookmarkStart w:id="31" w:name="declarations"/>
      <w:bookmarkEnd w:id="31"/>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23.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24.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25.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26.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27.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28.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29.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30.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31.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32.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33.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34.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36.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37.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38.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39.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40.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c64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