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9–13</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microbiota-based random forest model detected 95% of cancers and 57.1% of adenomas while FIT alone only detected 75% and 15.7%, respectively. Of the colonic lesions missed by FIT, the model detected 80% of cancers and 49.1% of adenomas. These findings demonstrate the potential for microbiota analysis to complement existing screening methods to improve detection of colonic lesions.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including colonoscopy and sigmoidoscopy are able to detect and remove adenomas and carcinomas, the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inexpensive screening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14</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9–13</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Although each of these organisms may play a role in certain cases of CRC, none of them is present in every case. Therefore no one organism is an effective biomarker on its own.</w:t>
      </w:r>
    </w:p>
    <w:p>
      <w:r>
        <w:t xml:space="preserve">We and others have perviously shown that statistical models that take into account the abundances of multiple bacteria species can be used to distinguish healthy individuals from those with CRC</w:t>
      </w:r>
      <w:r>
        <w:rPr>
          <w:vertAlign w:val="superscript"/>
        </w:rPr>
        <w:t xml:space="preserve">15,16</w:t>
      </w:r>
      <w:r>
        <w:t xml:space="preserve">. In the present study we expanded upon those findings by demonstrating the potential for microbiota analysis to complement FIT for improved detection of colonic lesions, including adenomas. We also improved upon previous studies by utilizing random forest (RF), a decision tree-based machine algorithm for classification, which includes an internal cross-validation to prevent overfitting</w:t>
      </w:r>
      <w:r>
        <w:rPr>
          <w:vertAlign w:val="superscript"/>
        </w:rPr>
        <w:t xml:space="preserve">17</w:t>
      </w:r>
      <w:r>
        <w:t xml:space="preserve">. By incorporating both FIT and bacterial abundances into a single RF model, we were able to improve the sensitivity for adenomas and most stages of cancer compared to FIT alone.</w:t>
      </w:r>
    </w:p>
    <w:p>
      <w:r>
        <w:t xml:space="preserve">We characterized the bacterial communities of stool samples from 490 patients using 16S rRNA gene sequencing. Among these patients, 120 had CRC, 198 had colonic adenomas, and 172 had no colonic lesions. We also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a RF model</w:t>
      </w:r>
      <w:r>
        <w:rPr>
          <w:vertAlign w:val="superscript"/>
        </w:rPr>
        <w:t xml:space="preserve">18</w:t>
      </w:r>
      <w:r>
        <w:t xml:space="preserve">. The optimal model combining FIT and the microbiota used 23 bacterial populations, or operational taxonomic units (OTUs) (Extended Data Fig. 1). Of those OTUs, 16 were members of the Firmicutes phylum, including 3 from the Ruminococcaceae family and 10 from the Lachnospiraceae family, the predominant producers of butyrate in the gut</w:t>
      </w:r>
      <w:r>
        <w:rPr>
          <w:vertAlign w:val="superscript"/>
        </w:rPr>
        <w:t xml:space="preserve">19</w:t>
      </w:r>
      <w:r>
        <w:t xml:space="preserve">.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rPr>
          <w:vertAlign w:val="superscript"/>
        </w:rPr>
        <w:t xml:space="preserve">15,20</w:t>
      </w:r>
      <w:r>
        <w:t xml:space="preserve">. Like many other studies we observed an OTU associated</w:t>
      </w:r>
      <w:r>
        <w:t xml:space="preserve"> </w:t>
      </w:r>
      <w:r>
        <w:rPr>
          <w:i/>
        </w:rPr>
        <w:t xml:space="preserve">Fusobacterium nucleatum</w:t>
      </w:r>
      <w:r>
        <w:t xml:space="preserve"> </w:t>
      </w:r>
      <w:r>
        <w:t xml:space="preserve">that was enriched in cancer samples, however it's relative abundance did not add sufficient information to be inclued in the model. Interestingly the majority of OTUs used in the model, especially the Lachnospiraceae, were enriched in normal patients, suggesting that a loss of beneficial organisms in addition to the emergence of pathogens may be indicative of CRC development.</w:t>
      </w:r>
    </w:p>
    <w:p>
      <w:r>
        <w:t xml:space="preserve">To determine whether microbiota sequence data could be used to complement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1A). Comparison of the ROC curves for the RF model and FIT showed that the RF model did not outperform FIT for detecting lesions until the specificity dropped below approximately 93%, at which point the sensitivity of the RF model greatly exceeded that of FIT.</w:t>
      </w:r>
    </w:p>
    <w:p>
      <w:r>
        <w:t xml:space="preserve">Using Youden's J statisitc</w:t>
      </w:r>
      <w:r>
        <w:rPr>
          <w:vertAlign w:val="superscript"/>
        </w:rPr>
        <w:t xml:space="preserve">21</w:t>
      </w:r>
      <w:r>
        <w:t xml:space="preserve"> </w:t>
      </w:r>
      <w:r>
        <w:t xml:space="preserve">we determined that the optimal cutoff for the RF model's probability lesion was 0.622. Samples scoring above this cutoff were classified as lesions, and those below the cutoff were classified as normal. We then compared the sensitivity and specificity of the RF model to those of FIT using the widely accepted cutoff of 100 ng/ml of hemoglobin. At these cutoffs the RF model detected 95% of cancers and 57.1% of adenomas compared to 75% and 15.7% for FIT (Table 1, Fig. 1B). When adenomas and cancers were pooled together, the RF model detected 71.4% of lesions, while FIT only detected 38.1%. The RF model had significantly improved sensitivity for both advanced and non-advanced adenomas as well as most stages of cancer (Fig. 2). The increased sensitivity of the RF model was accompanied by a substantial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indicating that the RF model did not miss any of the lesions that FIT was able to detect. However the RF model was able to detect 80% of cancers and 49.1% of adenomas that FIT had failed to detect, while maintaining a specificity of 86.2% (Extended Data Fig. 3). This result demonstrated that incorporation of data from a subject's microbiota improved the sensitivity without affecting the specificity of the test.</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22</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 Although the PPV is quite low relative to FIT, its NPV was significantly higher than that of FIT.</w:t>
      </w:r>
    </w:p>
    <w:p>
      <w:r>
        <w:t xml:space="preserve">Previous studies have identified differences in diagnostic test performance for certain demographic groups or for people taking certain medications</w:t>
      </w:r>
      <w:r>
        <w:rPr>
          <w:vertAlign w:val="superscript"/>
        </w:rPr>
        <w:t xml:space="preserve">23–25</w:t>
      </w:r>
      <w:r>
        <w:t xml:space="preserve">. Therefore we tested whether the RF model performance differed between patient populations. We found no difference in model performance according to age, BMI, NSAID usage, diabetes, smoking, or previous history of polyps. However the model was significantly better at differentiating normal from lesion for females than for males (p=0.016; Extended Data Fig. 4). For females the model detected 73.5% of lesions with a specificity of 89.2%. For males the model detected 69.9% of lesions with a specificity of 73.8%. However the model did have a higher sensitivity for cancer among males (98.5%) than females (90.4%).</w:t>
      </w:r>
    </w:p>
    <w:p>
      <w:r>
        <w:t xml:space="preserve">Similar to our results, it has recently been shown that when FIT was combined with host-associated DNA biomarkers the ability to detect adenomas and carcinomas was significantly improved over FIT alone</w:t>
      </w:r>
      <w:r>
        <w:rPr>
          <w:vertAlign w:val="superscript"/>
        </w:rPr>
        <w:t xml:space="preserve">26</w:t>
      </w:r>
      <w:r>
        <w:t xml:space="preserve">. Such results support the assertion that because of the large interpersonal variation in markers for adenomas and carcinomas, it is necessary to employ a panel of biomarkers and to use a model that integrates across the biomarkers. The accuracy of our model may be further improved by incorporating additional biomarkers such as the host-associated biomarkers or those targeting specific genes that encode for toxins</w:t>
      </w:r>
      <w:r>
        <w:rPr>
          <w:vertAlign w:val="superscript"/>
        </w:rPr>
        <w:t xml:space="preserve">7,8,16</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rPr>
          <w:vertAlign w:val="superscript"/>
        </w:rPr>
        <w:t xml:space="preserve">27</w:t>
      </w:r>
      <w:r>
        <w:t xml:space="preserve">. Such models are likely to be useful as microbiota sequencing gains traction as a tool for characterizing health.</w:t>
      </w:r>
    </w:p>
    <w:p>
      <w:r>
        <w:t xml:space="preserve">Our findings demonstrate the potential for combining the analysis of a patient's microbiota with conventional stool-based tests to improve CRC detection. Using the RF algorithm it was possible to interpret FIT results in the context of the microbiota. The RF model had significantly higher sensitivity for lesions at almost all stages of tumorigenesis. Moreover the model detected the majority of lesions that FIT was unable to detect. The shortcomings of the RF model were its lack of specificity and low PPV. However in the case of CRC, all people in the United States are encouraged to receive regular colonoscopies once they reach the age of 50</w:t>
      </w:r>
      <w:r>
        <w:rPr>
          <w:vertAlign w:val="superscript"/>
        </w:rPr>
        <w:t xml:space="preserve">20</w:t>
      </w:r>
      <w:r>
        <w:t xml:space="preserve">. Therefore the potential value of the RF model is in its high sensitivity and NPV. With an NPV of 99.98%, the model could be used to identify people for whom a colonoscopy is unnecessary. This strategy could result in a decrease in the number of colonoscopies, thereby reducing both the financial costs and potential health risks of more invasive screening methods.</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28</w:t>
      </w:r>
      <w:r>
        <w:t xml:space="preserve">. A data analysis pipeline and all necessary scripts to generate this paper are available at github.com/SchlossLab/Baxter_glne007Modeling_2015. The sequence data are available in the Sequence Read Archive under Bioproject Accession XXXXXXXXXXXXX.</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While colonic lesions were still intact, whole evacuated stool was collected from each patient 1 to 2 weeks after their colonoscopy. This has been shown to be sufficient time for the microbiota to recover from colnoscopy preparation</w:t>
      </w:r>
      <w:r>
        <w:rPr>
          <w:vertAlign w:val="superscript"/>
        </w:rPr>
        <w:t xml:space="preserve">29</w:t>
      </w:r>
      <w:r>
        <w:t xml:space="preserve">. Stool samples were packed in ice, shipped to a processing center via next day delivery and stored at -80˚C.</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 ng/ml.</w:t>
      </w:r>
    </w:p>
    <w:p>
      <w:r>
        <w:rPr>
          <w:b/>
          <w:i/>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28</w:t>
      </w:r>
      <w:r>
        <w:t xml:space="preserve">. The 490 samples were divided into three sequencing runs to increase the per sample sequencing depth. Samples were randomly assigned to the sequencing runs to avoid biasing based on diagnosis or demographics.</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28</w:t>
      </w:r>
      <w:r>
        <w:t xml:space="preserve">. Briefly, paired-end reads were merged into contigs, screened for quality, aligned to SILVA 16S rRNA sequence database, and screened for chimeras. Curated sequences were clustered in to operational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R. Random Forest models were generated using the AUCRF package</w:t>
      </w:r>
      <w:r>
        <w:rPr>
          <w:vertAlign w:val="superscript"/>
        </w:rPr>
        <w:t xml:space="preserve">18</w:t>
      </w:r>
      <w:r>
        <w:t xml:space="preserve">. The AUC of ROC curves was compared using the method described by DeLong et al.</w:t>
      </w:r>
      <w:r>
        <w:rPr>
          <w:vertAlign w:val="superscript"/>
        </w:rPr>
        <w:t xml:space="preserve">30</w:t>
      </w:r>
      <w:r>
        <w:t xml:space="preserve">. The optimal cutoff for the RF model was determined using Youden's</w:t>
      </w:r>
      <w:r>
        <w:t xml:space="preserve"> </w:t>
      </w:r>
      <w:r>
        <w:rPr>
          <w:i/>
        </w:rPr>
        <w:t xml:space="preserve">J</w:t>
      </w:r>
      <w:r>
        <w:t xml:space="preserve"> </w:t>
      </w:r>
      <w:r>
        <w:t xml:space="preserve">statistic as implemented in the pROC package in R</w:t>
      </w:r>
      <w:r>
        <w:rPr>
          <w:vertAlign w:val="superscript"/>
        </w:rPr>
        <w:t xml:space="preserve">21</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[insert accession number]. A data analysis pipeline and all necessary scripts are available at github.com/SchlossLab/Baxter_glne007Modeling_2015.</w:t>
      </w:r>
    </w:p>
    <w:p>
      <w:pPr>
        <w:pStyle w:val="Heading3"/>
      </w:pPr>
      <w:bookmarkStart w:id="23" w:name="literature-cited"/>
      <w:bookmarkEnd w:id="23"/>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Kostic, A. D.</w:t>
      </w:r>
      <w:r>
        <w:t xml:space="preserve"> </w:t>
      </w:r>
      <w:r>
        <w:rPr>
          <w:i/>
        </w:rPr>
        <w:t xml:space="preserve">et al.</w:t>
      </w:r>
      <w:r>
        <w:t xml:space="preserve"> </w:t>
      </w:r>
      <w:r>
        <w:t xml:space="preserve">Genomic analysis identifies association of Fusobacterium with colorectal carcinoma.</w:t>
      </w:r>
      <w:r>
        <w:t xml:space="preserve"> </w:t>
      </w:r>
      <w:r>
        <w:rPr>
          <w:i/>
        </w:rPr>
        <w:t xml:space="preserve">Genome Research</w:t>
      </w:r>
      <w:r>
        <w:t xml:space="preserve"> </w:t>
      </w:r>
      <w:r>
        <w:rPr>
          <w:b/>
        </w:rPr>
        <w:t xml:space="preserve">22,</w:t>
      </w:r>
      <w:r>
        <w:t xml:space="preserve"> </w:t>
      </w:r>
      <w:r>
        <w:t xml:space="preserve">292–298 (2012).</w:t>
      </w:r>
    </w:p>
    <w:p>
      <w:pPr>
        <w:pStyle w:val="Bibliography"/>
      </w:pPr>
      <w:r>
        <w:t xml:space="preserve">14.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15.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16. Zeller, G.</w:t>
      </w:r>
      <w:r>
        <w:t xml:space="preserve"> </w:t>
      </w:r>
      <w:r>
        <w:rPr>
          <w:i/>
        </w:rPr>
        <w:t xml:space="preserve">et al.</w:t>
      </w:r>
      <w:r>
        <w:t xml:space="preserve"> </w:t>
      </w:r>
      <w:r>
        <w:t xml:space="preserve">Potential of fecal microbiota for early-stage detection of colorectal cancer.</w:t>
      </w:r>
      <w:r>
        <w:t xml:space="preserve"> </w:t>
      </w:r>
      <w:r>
        <w:rPr>
          <w:i/>
        </w:rPr>
        <w:t xml:space="preserve">Molecular Systems Biology</w:t>
      </w:r>
      <w:r>
        <w:t xml:space="preserve"> </w:t>
      </w:r>
      <w:r>
        <w:rPr>
          <w:b/>
        </w:rPr>
        <w:t xml:space="preserve">10,</w:t>
      </w:r>
      <w:r>
        <w:t xml:space="preserve"> </w:t>
      </w:r>
      <w:r>
        <w:t xml:space="preserve">766 (2014).</w:t>
      </w:r>
    </w:p>
    <w:p>
      <w:pPr>
        <w:pStyle w:val="Bibliography"/>
      </w:pPr>
      <w:r>
        <w:t xml:space="preserve">17.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18.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19. Pryde, S. E., Duncan, S. H., Hold, G. L., Stewart, C. S. &amp; Flint, H. J. The microbiology of butyrate formation in the human colon.</w:t>
      </w:r>
      <w:r>
        <w:t xml:space="preserve"> </w:t>
      </w:r>
      <w:r>
        <w:rPr>
          <w:i/>
        </w:rPr>
        <w:t xml:space="preserve">FEMS Microbiology Letters</w:t>
      </w:r>
      <w:r>
        <w:t xml:space="preserve"> </w:t>
      </w:r>
      <w:r>
        <w:rPr>
          <w:b/>
        </w:rPr>
        <w:t xml:space="preserve">217,</w:t>
      </w:r>
      <w:r>
        <w:t xml:space="preserve"> </w:t>
      </w:r>
      <w:r>
        <w:t xml:space="preserve">133–139 (2002).</w:t>
      </w:r>
    </w:p>
    <w:p>
      <w:pPr>
        <w:pStyle w:val="Bibliography"/>
      </w:pPr>
      <w:r>
        <w:t xml:space="preserve">20. Rex, D. K.</w:t>
      </w:r>
      <w:r>
        <w:t xml:space="preserve"> </w:t>
      </w:r>
      <w:r>
        <w:rPr>
          <w:i/>
        </w:rPr>
        <w:t xml:space="preserve">et al.</w:t>
      </w:r>
      <w:r>
        <w:t xml:space="preserve"> </w:t>
      </w:r>
      <w:r>
        <w:t xml:space="preserve">American College of Gastroenterology guidelines for colorectal cancer screening 2008.</w:t>
      </w:r>
      <w:r>
        <w:t xml:space="preserve"> </w:t>
      </w:r>
      <w:r>
        <w:rPr>
          <w:i/>
        </w:rPr>
        <w:t xml:space="preserve">The American Journal of Gastroenterology</w:t>
      </w:r>
      <w:r>
        <w:t xml:space="preserve"> </w:t>
      </w:r>
      <w:r>
        <w:rPr>
          <w:b/>
        </w:rPr>
        <w:t xml:space="preserve">104,</w:t>
      </w:r>
      <w:r>
        <w:t xml:space="preserve"> </w:t>
      </w:r>
      <w:r>
        <w:t xml:space="preserve">739–750 (2009).</w:t>
      </w:r>
    </w:p>
    <w:p>
      <w:pPr>
        <w:pStyle w:val="Bibliography"/>
      </w:pPr>
      <w:r>
        <w:t xml:space="preserve">21.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22.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23.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24.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25.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26.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27.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28.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29. O’Brien, C. L., Allison, G. E., Grimpen, F. &amp; Pavli, P. Impact of Colonoscopy Bowel Preparation on Intestinal Microbiota.</w:t>
      </w:r>
      <w:r>
        <w:t xml:space="preserve"> </w:t>
      </w:r>
      <w:r>
        <w:rPr>
          <w:i/>
        </w:rPr>
        <w:t xml:space="preserve">PLoS ONE</w:t>
      </w:r>
      <w:r>
        <w:t xml:space="preserve"> </w:t>
      </w:r>
      <w:r>
        <w:rPr>
          <w:b/>
        </w:rPr>
        <w:t xml:space="preserve">8,</w:t>
      </w:r>
      <w:r>
        <w:t xml:space="preserve"> </w:t>
      </w:r>
      <w:r>
        <w:t xml:space="preserve">e62815 (2013).</w:t>
      </w:r>
    </w:p>
    <w:p>
      <w:pPr>
        <w:pStyle w:val="Bibliography"/>
      </w:pPr>
      <w:r>
        <w:t xml:space="preserve">30.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643fe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 analysis complements fecal immunochemical test for detection of colonic lesions</dc:title>
  <dc:creator/>
</cp:coreProperties>
</file>