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0.pdf" ContentType="application/pdf"/>
  <Override PartName="/word/media/rId31.pdf" ContentType="application/pdf"/>
  <Override PartName="/word/media/rId33.pdf" ContentType="application/pdf"/>
  <Override PartName="/word/media/rId34.pdf" ContentType="application/pdf"/>
  <Override PartName="/word/media/rId37.pdf" ContentType="application/pdf"/>
  <Override PartName="/word/media/rId38.pdf" ContentType="application/pdf"/>
  <Override PartName="/word/media/rId39.pdf" ContentType="application/pdf"/>
  <Override PartName="/word/media/rId40.pdf" ContentType="application/pdf"/>
  <Override PartName="/word/media/rId32.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To whom correspondence should be addressed:</w:t>
      </w:r>
      <w:r>
        <w:t xml:space="preserve"> </w:t>
      </w:r>
      <w:hyperlink r:id="rId21">
        <w:r>
          <w:rPr>
            <w:rStyle w:val="Link"/>
          </w:rPr>
          <w:t xml:space="preserve">pschloss@umich.edu</w:t>
        </w:r>
      </w:hyperlink>
    </w:p>
    <w:p>
      <w:pPr>
        <w:pStyle w:val="Heading3"/>
      </w:pPr>
      <w:bookmarkStart w:id="22" w:name="abstract"/>
      <w:bookmarkEnd w:id="22"/>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demonstrated a causal link between the formation of colonic lesions and the activity of the gut microbiota in tissue culture and animal models. These findings have been complemented by studies in human populations identifying shifts in the composition of the gut microbiota associated with the progression of colorectal cancer. These results suggest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cross-validated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3" w:name="background"/>
      <w:bookmarkEnd w:id="23"/>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[7–11]</w:t>
      </w:r>
      <w:r>
        <w:t xml:space="preserve">. Experiments in animal models have demonstrated that such alterations have the potential to accelerate tumorigenesis</w:t>
      </w:r>
      <w:r>
        <w:t xml:space="preserve"> </w:t>
      </w:r>
      <w:r>
        <w:t xml:space="preserve">[12]</w:t>
      </w:r>
      <w:r>
        <w:t xml:space="preserve">. Furthermore, several members of the gut microbiota have been shown to potentiate both the development and progression of CRC by a variety of mechanisms</w:t>
      </w:r>
      <w:r>
        <w:t xml:space="preserve"> </w:t>
      </w:r>
      <w:r>
        <w:t xml:space="preserve">[13–15]</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We and others have shown that statistical models that take into account the abundances of multiple bacterial species can be used to distinguish healthy individuals from those with CRC</w:t>
      </w:r>
      <w:r>
        <w:t xml:space="preserve"> </w:t>
      </w:r>
      <w:r>
        <w:t xml:space="preserve">[16, 17]</w:t>
      </w:r>
      <w:r>
        <w:t xml:space="preserve">. In the present study we expanded upon those findings by demonstrating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[18]</w:t>
      </w:r>
      <w:r>
        <w:t xml:space="preserve">. By incorporating data on hemoglobin and bacterial abundances into a single model (labeled the Multitarget Microbiota Test or MMT), we were able to improve the sensitivity for adenomas and cancer compared to FIT alone.</w:t>
      </w:r>
    </w:p>
    <w:p>
      <w:pPr>
        <w:pStyle w:val="Heading3"/>
      </w:pPr>
      <w:bookmarkStart w:id="24" w:name="methods"/>
      <w:bookmarkEnd w:id="24"/>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[19]</w:t>
      </w:r>
      <w:r>
        <w:t xml:space="preserve">. Stool samples were packed in ice, shipped to a processing center via next day delivery and stored at -80˚C. This study was approved by the University of Michigan Institutional Review Board and all subjects provided informed consent.</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roughly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[20]</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as described previously</w:t>
      </w:r>
      <w:r>
        <w:t xml:space="preserve"> </w:t>
      </w:r>
      <w:r>
        <w:t xml:space="preserve">[20]</w:t>
      </w:r>
      <w:r>
        <w:t xml:space="preserve">. Briefly, paired-end reads were merged into contigs, screened for quality, aligned to SILVA 16S rRNA sequence database, and screened for chimeras. Curated sequences were clustered in to operational taxonomic units (OTUs) using a 97% similarity cutoff with the average neighbor clustering algorithm.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Random Forest models were generated using the AUCRF package</w:t>
      </w:r>
      <w:r>
        <w:t xml:space="preserve"> </w:t>
      </w:r>
      <w:r>
        <w:t xml:space="preserve">[21]</w:t>
      </w:r>
      <w:r>
        <w:t xml:space="preserve">. The AUC of ROC curves was compared using the method described by DeLong et al.</w:t>
      </w:r>
      <w:r>
        <w:t xml:space="preserve"> </w:t>
      </w:r>
      <w:r>
        <w:t xml:space="preserve">[22]</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[23]</w:t>
      </w:r>
      <w:r>
        <w:t xml:space="preserve">. The sensitivities of FIT and the MMT were compared using McNemar's chi-squared test. To control for diagnosis while testing the effects of sex on the microbiome we used PERMANOVA as implemented in the adonis funciton in the vegan package.</w:t>
      </w:r>
    </w:p>
    <w:p>
      <w:pPr>
        <w:pStyle w:val="Heading3"/>
      </w:pPr>
      <w:bookmarkStart w:id="25" w:name="results"/>
      <w:bookmarkEnd w:id="25"/>
      <w:r>
        <w:t xml:space="preserve">Results</w:t>
      </w:r>
    </w:p>
    <w:p>
      <w:r>
        <w:rPr>
          <w:b/>
          <w:i/>
        </w:rPr>
        <w:t xml:space="preserve">Complementary detection of lesions by FIT and the microbiota</w:t>
      </w:r>
      <w:r>
        <w:br w:type="textWrapping"/>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 using FIT to using a microbiota-based model. First we developed a random forest classification model for differentiating healthy individuals from those with cancer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[21]</w:t>
      </w:r>
      <w:r>
        <w:t xml:space="preserve">. The optimal model utilized 34 bacterial populations (Fig. S1B,Fig. S1C). Consistent with previous observations, the bacteria most strongly associated with CRC belonged to taxa commonly associated with the oral cavity, including</w:t>
      </w:r>
      <w:r>
        <w:t xml:space="preserve"> </w:t>
      </w:r>
      <w:r>
        <w:rPr>
          <w:i/>
        </w:rPr>
        <w:t xml:space="preserve">Pophyromonas</w:t>
      </w:r>
      <w:r>
        <w:t xml:space="preserve">,</w:t>
      </w:r>
      <w:r>
        <w:t xml:space="preserve"> </w:t>
      </w:r>
      <w:r>
        <w:rPr>
          <w:i/>
        </w:rPr>
        <w:t xml:space="preserve">Fusobacterium</w:t>
      </w:r>
      <w:r>
        <w:t xml:space="preserve">,</w:t>
      </w:r>
      <w:r>
        <w:t xml:space="preserve"> </w:t>
      </w:r>
      <w:r>
        <w:rPr>
          <w:i/>
        </w:rPr>
        <w:t xml:space="preserve">Parvimonas</w:t>
      </w:r>
      <w:r>
        <w:t xml:space="preserve">,</w:t>
      </w:r>
      <w:r>
        <w:t xml:space="preserve"> </w:t>
      </w:r>
      <w:r>
        <w:rPr>
          <w:i/>
        </w:rPr>
        <w:t xml:space="preserve">Peptostreptococcus</w:t>
      </w:r>
      <w:r>
        <w:t xml:space="preserve">,</w:t>
      </w:r>
      <w:r>
        <w:t xml:space="preserve"> </w:t>
      </w:r>
      <w:r>
        <w:rPr>
          <w:i/>
        </w:rPr>
        <w:t xml:space="preserve">Gemella</w:t>
      </w:r>
      <w:r>
        <w:t xml:space="preserve">, and</w:t>
      </w:r>
      <w:r>
        <w:t xml:space="preserve"> </w:t>
      </w:r>
      <w:r>
        <w:rPr>
          <w:i/>
        </w:rPr>
        <w:t xml:space="preserve">Prevotella</w:t>
      </w:r>
      <w:r>
        <w:t xml:space="preserve"> </w:t>
      </w:r>
      <w:r>
        <w:t xml:space="preserve">[17, 24]</w:t>
      </w:r>
      <w:r>
        <w:t xml:space="preserve"> </w:t>
      </w:r>
      <w:r>
        <w:t xml:space="preserve">(Fig. S1A). The ROC curve for the model had an AUC of 0.837, which is similar to AUCs reported for other microbiota-based models for CRC</w:t>
      </w:r>
      <w:r>
        <w:t xml:space="preserve"> </w:t>
      </w:r>
      <w:r>
        <w:t xml:space="preserve">[16, 17]</w:t>
      </w:r>
      <w:r>
        <w:t xml:space="preserve">, but significantly lower than that of FIT (FIT AUC:0.929, p=0.005, Fig. 1A). At the manufacturer recommended cutoff of 100ng/ml FIT detected 75% of cancers with a specificity of 97.1%. At its optimal cutoff (0.46) the microbiota model detected 69.2% of cancers with a specificity of 89%.</w:t>
      </w:r>
    </w:p>
    <w:p>
      <w:r>
        <w:t xml:space="preserve">To determine whether FIT and the microbiota model were detecting the same lesions, we compared the results of the two tests for each sample. Most cancers (53.3%) were detected by both FIT and the microbiota model, while 37.5% of cancers were only detected by one of the two tests (Fig. 1B). Thus each test detected cancers that the other failed to detect, suggesting the two methods could complement each other if combined into a single test.</w:t>
      </w:r>
    </w:p>
    <w:p>
      <w:r>
        <w:t xml:space="preserve">Next we generated a random forest model for differentiating normal individuals from those with adenomas using the relative abundance 22 bacterial populations. The AUC for the microbiota model (0.673) was slightly, but not significantly, higer than that of FIT (FIT AUC:0.639, p&gt;0.05, Fig. 1C). At the 100ng/ml cutoff FIT detected 15.7% of cancers with a specificity of 97.1%. Setting the microbiota model to the same 97.1% specificity resulted 18.2% sensitivity for adenomas. When comparing the results of the tests for each sample, only 2.5% of adenomas were detected by both tests, while 28.8% were detected by either one of the two tests (Fig. 1D).Since most of the adenomas detected by each test were not detected by the other, combining FIT with the microbiota should be especially effective at improving the detection of adenomas</w:t>
      </w:r>
    </w:p>
    <w:p>
      <w:r>
        <w:rPr>
          <w:b/>
          <w:i/>
        </w:rPr>
        <w:t xml:space="preserve">Multitarget Microbiota Test for colonic lesions.</w:t>
      </w:r>
      <w:r>
        <w:t xml:space="preserve"> </w:t>
      </w:r>
      <w:r>
        <w:t xml:space="preserve">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in addition to the concentration of hemoglobin (Fig. S3).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[16, 25]</w:t>
      </w:r>
      <w:r>
        <w:t xml:space="preserve">. Like other studies we also observed an OTU associated with</w:t>
      </w:r>
      <w:r>
        <w:t xml:space="preserve"> </w:t>
      </w:r>
      <w:r>
        <w:rPr>
          <w:i/>
        </w:rPr>
        <w:t xml:space="preserve">Fusobacterium nucleatum</w:t>
      </w:r>
      <w:r>
        <w:t xml:space="preserve"> </w:t>
      </w:r>
      <w:r>
        <w:t xml:space="preserve">that was enriched in cancer samples, however its relative abundance did not add sufficient information to be included in the model</w:t>
      </w:r>
      <w:r>
        <w:t xml:space="preserve"> </w:t>
      </w:r>
      <w:r>
        <w:t xml:space="preserve">[11, 16, 17]</w:t>
      </w:r>
      <w:r>
        <w:t xml:space="preserve">. Interestingly the majority of OTU used in the model, especially the Lachnospiraceae, were enriched in normal patients (Fig. S4), suggesting that a loss of beneficial organisms in addition to the emergence of pathogens may be indicative of CRC development.</w:t>
      </w:r>
    </w:p>
    <w:p>
      <w:r>
        <w:rPr>
          <w:b/>
          <w:i/>
        </w:rPr>
        <w:t xml:space="preserve">Comparing MMT to FIT.</w:t>
      </w:r>
      <w:r>
        <w:br w:type="textWrapping"/>
      </w:r>
      <w:r>
        <w:t xml:space="preserve">To determine whether microbiota sequence data could be used to complement FIT, we compared the performance of the MMT to FIT. The AUC for the MMT (AUC=0.755) was significantly higher than FIT (AUC=0.639) for distinguishing adenoma from normal (p&lt;0.001) or all lesions from normal (FIT AUC=0.749, MMT AUC=0.829, p&lt;0.001), but not cancer from normal (FIT AUC=0.929, MMT AUC=0.952, p=0.09) (Fig. 2A). To generate a categorical prediction from the MMT, we determined that the optimal threshold for the models's probability was 0.622 using Youden's J statisitc</w:t>
      </w:r>
      <w:r>
        <w:t xml:space="preserve"> </w:t>
      </w:r>
      <w:r>
        <w:t xml:space="preserve">[23]</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50-74 years). The prevalence of lesions in an average-risk population was obtained through a previously published meta-analysis</w:t>
      </w:r>
      <w:r>
        <w:t xml:space="preserve"> </w:t>
      </w:r>
      <w:r>
        <w:t xml:space="preserve">[26]</w:t>
      </w:r>
      <w:r>
        <w:t xml:space="preserve">. Tests were utilized in series so that FIT, with a higher specificity (fewer false positives), was applied first to minimize unnecessary diagnostic testing. MMT, with a higher sensitivity (fewer false negatives), was then used to capture additional true positives in those with negative FIT results (Supplementary Table 1). MMT was able to identify a large proportion of true positives among individuals with a negative FIT result (55.1% for cancer, 72.0% for advanced adenoma, 82.5% for non-advanced adenoma).</w:t>
      </w:r>
    </w:p>
    <w:p>
      <w:r>
        <w:rPr>
          <w:b/>
          <w:i/>
        </w:rPr>
        <w:t xml:space="preserve">Effect of sex on model performance.</w:t>
      </w:r>
      <w:r>
        <w:br w:type="textWrapping"/>
      </w:r>
      <w:r>
        <w:t xml:space="preserve">Previous studies have identified differences in diagnostic test performance for certain demographic groups or for people taking certain medications</w:t>
      </w:r>
      <w:r>
        <w:t xml:space="preserve"> </w:t>
      </w:r>
      <w:r>
        <w:t xml:space="preserve">[27–29]</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seems to be due to differences in FIT results rather than differences in the microbiome. After correcting for diagnosis, there was a significant effect of sex on FIT result (p=0.006, two-way ANOVA), but not on the overall structure of the microbiome(p=0.06, PERMANOVA).</w:t>
      </w:r>
    </w:p>
    <w:p>
      <w:pPr>
        <w:pStyle w:val="Heading3"/>
      </w:pPr>
      <w:bookmarkStart w:id="26" w:name="discussion"/>
      <w:bookmarkEnd w:id="26"/>
      <w:r>
        <w:t xml:space="preserve">Discussion</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CRC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biomarkers such as the host-associated biomarkers or those targeting specific genes involved in the underlying mechanism of tumorigenesis such as toxins</w:t>
      </w:r>
      <w:r>
        <w:t xml:space="preserve"> </w:t>
      </w:r>
      <w:r>
        <w:t xml:space="preserve">[14, 15, 17]</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[30]</w:t>
      </w:r>
      <w:r>
        <w:t xml:space="preserve">. Such models are likely to be useful as microbiota sequencing gains traction as a tool for characterizing health.</w:t>
      </w:r>
    </w:p>
    <w:p>
      <w:r>
        <w:t xml:space="preserve">Interestingly most of the OTUs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are the predominant producers of butyrate, a short-chain fatty acid with anti-inflammatory and anti-tumorigenic properties</w:t>
      </w:r>
      <w:r>
        <w:t xml:space="preserve"> </w:t>
      </w:r>
      <w:r>
        <w:t xml:space="preserve">[31–34]</w:t>
      </w:r>
      <w:r>
        <w:t xml:space="preserve">. Loss of this or other beneficial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before us,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[35]</w:t>
      </w:r>
      <w:r>
        <w:t xml:space="preserve">. Therefore it's possible that these taxa could influence the progression of CRC by a similar mechanims. These observation may warrant further investigation into a potential link between periodontal diseases and CRC. Furthermore, since the structure of an individual's oral microbiome is correlated with that of the gut, alterations in the oral community could potentially be a proxy for ongoing or future changes to the gut community.</w:t>
      </w:r>
    </w:p>
    <w:p>
      <w:pPr>
        <w:pStyle w:val="Heading3"/>
      </w:pPr>
      <w:bookmarkStart w:id="27" w:name="conclusions"/>
      <w:bookmarkEnd w:id="27"/>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significantly higher sensitivity for lesions at almost all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at its core, is the purpose of preventive screening – finding lesions earlier so that cancer would be avoided.</w:t>
      </w:r>
    </w:p>
    <w:p>
      <w:r>
        <w:rPr>
          <w:b/>
        </w:rPr>
        <w:t xml:space="preserve">Supplementary Materials:</w:t>
      </w:r>
      <w:r>
        <w:br w:type="textWrapping"/>
      </w:r>
      <w:r>
        <w:t xml:space="preserve">Fig. S1. OTU selection for cancer model.</w:t>
      </w:r>
      <w:r>
        <w:br w:type="textWrapping"/>
      </w:r>
      <w:r>
        <w:t xml:space="preserve">Fig. S2. OTU selection for adenoma model.</w:t>
      </w:r>
      <w:r>
        <w:br w:type="textWrapping"/>
      </w:r>
      <w:r>
        <w:t xml:space="preserve">Fig. S3. Bacterial OTUs in MMT.</w:t>
      </w:r>
      <w:r>
        <w:br w:type="textWrapping"/>
      </w:r>
      <w:r>
        <w:t xml:space="preserve">Fig. S4. Effect of sex on MMT performance.</w:t>
      </w:r>
    </w:p>
    <w:p>
      <w:r>
        <w:rPr>
          <w:b/>
        </w:rPr>
        <w:t xml:space="preserve">Competing interests:</w:t>
      </w:r>
      <w:r>
        <w:t xml:space="preserve"> </w:t>
      </w:r>
      <w:r>
        <w:t xml:space="preserve">The authors declare no competing financial interests.</w:t>
      </w:r>
    </w:p>
    <w:p>
      <w:r>
        <w:rPr>
          <w:b/>
        </w:rPr>
        <w:t xml:space="preserve">Author Contributions:</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Data and materials availability:</w:t>
      </w:r>
      <w:r>
        <w:t xml:space="preserve"> </w:t>
      </w:r>
      <w:r>
        <w:t xml:space="preserve">Raw fastq files and a MIMARKS file are available through the NCBI Sequence Read Archive [SRP062005]. The exact data processing steps including an automated workflow going from the raw sequence data to the final manuscript is available at</w:t>
      </w:r>
      <w:r>
        <w:t xml:space="preserve"> </w:t>
      </w:r>
      <w:hyperlink r:id="rId28">
        <w:r>
          <w:rPr>
            <w:rStyle w:val="Link"/>
          </w:rPr>
          <w:t xml:space="preserve">http://www.github.com/SchlossLab/Baxter\_glne007Modeling_2015</w:t>
        </w:r>
      </w:hyperlink>
      <w:r>
        <w:t xml:space="preserve">.</w:t>
      </w:r>
    </w:p>
    <w:p>
      <w:pPr>
        <w:pStyle w:val="Heading3"/>
      </w:pPr>
      <w:bookmarkStart w:id="29" w:name="figures"/>
      <w:bookmarkEnd w:id="29"/>
      <w:r>
        <w:t xml:space="preserve">Figures</w:t>
      </w:r>
    </w:p>
    <w:p>
      <w:r>
        <w:drawing>
          <wp:inline>
            <wp:extent cx="1524000" cy="1524000"/>
            <wp:effectExtent b="0" l="0" r="0" t="0"/>
            <wp:docPr descr="" id="1" name="Picture"/>
            <a:graphic>
              <a:graphicData uri="http://schemas.openxmlformats.org/drawingml/2006/picture">
                <pic:pic>
                  <pic:nvPicPr>
                    <pic:cNvPr descr="results/figures/Figure1.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1. Microbiota-based models can complement FIT.</w:t>
      </w:r>
      <w:r>
        <w:t xml:space="preserve"> </w:t>
      </w:r>
      <w:r>
        <w:t xml:space="preserve">(A,C) ROC curves for distinguishing healthy patients from those with cancer (A) or adenoma (C) based on FIT or a microbiota-based random forest model. Open circles show the sensitivity and specifity of FIT with a 100ng/ml cutoff. Black points show the sensitivity and specificity of the microbiota-based models at the chosen cutoffs. (B,D) Results of the two tests for each cancer sample (B) or adenoma (D) sample. Dotted lines represent the cutoffs for each test.</w:t>
      </w:r>
    </w:p>
    <w:p>
      <w:r>
        <w:drawing>
          <wp:inline>
            <wp:extent cx="1524000" cy="1524000"/>
            <wp:effectExtent b="0" l="0" r="0" t="0"/>
            <wp:docPr descr="" id="1" name="Picture"/>
            <a:graphic>
              <a:graphicData uri="http://schemas.openxmlformats.org/drawingml/2006/picture">
                <pic:pic>
                  <pic:nvPicPr>
                    <pic:cNvPr descr="results/figures/Figure2.pdf" id="0" name="Picture"/>
                    <pic:cNvPicPr>
                      <a:picLocks noChangeArrowheads="1" noChangeAspect="1"/>
                    </pic:cNvPicPr>
                  </pic:nvPicPr>
                  <pic:blipFill>
                    <a:blip r:embed="rId31"/>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2. Comparing MMT to FIT.</w:t>
      </w:r>
      <w:r>
        <w:t xml:space="preserve"> </w:t>
      </w:r>
      <w:r>
        <w:t xml:space="preserve">(A) ROC Curves for the MMT (solid lines) and FIT (dashed lines) for distinguishing normal from any lesion (purple), normal from cancer (red) and normal from adenoma (orange). Filled dots show the sensitivity and specificity of the MMT at the optimal cutoff (0.622). Open dots show the sensitivity and specificity of FIT at the 100ng/ml cutoff. (B,C) Stripcharts showing the results for FIT (B) and the MMT (C). 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1.pdf" id="0" name="Picture"/>
                    <pic:cNvPicPr>
                      <a:picLocks noChangeArrowheads="1" noChangeAspect="1"/>
                    </pic:cNvPicPr>
                  </pic:nvPicPr>
                  <pic:blipFill>
                    <a:blip r:embed="rId32"/>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1. Sensitivities and specificities for FIT and MMT.</w:t>
      </w:r>
      <w:r>
        <w:t xml:space="preserve"> </w:t>
      </w:r>
      <w:r>
        <w:t xml:space="preserve">The 95% confidence intervals were computed with 2000 stratified bootstrap replicates.</w:t>
      </w:r>
    </w:p>
    <w:p>
      <w:r>
        <w:drawing>
          <wp:inline>
            <wp:extent cx="1524000" cy="1524000"/>
            <wp:effectExtent b="0" l="0" r="0" t="0"/>
            <wp:docPr descr="" id="1" name="Picture"/>
            <a:graphic>
              <a:graphicData uri="http://schemas.openxmlformats.org/drawingml/2006/picture">
                <pic:pic>
                  <pic:nvPicPr>
                    <pic:cNvPr descr="results/figures/Figure3.pdf" id="0" name="Picture"/>
                    <pic:cNvPicPr>
                      <a:picLocks noChangeArrowheads="1" noChangeAspect="1"/>
                    </pic:cNvPicPr>
                  </pic:nvPicPr>
                  <pic:blipFill>
                    <a:blip r:embed="rId33"/>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3. Sensitivities for FIT and MMT for each stage of tumor development.</w:t>
      </w:r>
      <w:r>
        <w:t xml:space="preserve"> </w:t>
      </w:r>
      <w:r>
        <w:t xml:space="preserve">P-values based on McNemar's chi-squared test.</w:t>
      </w:r>
    </w:p>
    <w:p>
      <w:r>
        <w:drawing>
          <wp:inline>
            <wp:extent cx="1524000" cy="1524000"/>
            <wp:effectExtent b="0" l="0" r="0" t="0"/>
            <wp:docPr descr="" id="1" name="Picture"/>
            <a:graphic>
              <a:graphicData uri="http://schemas.openxmlformats.org/drawingml/2006/picture">
                <pic:pic>
                  <pic:nvPicPr>
                    <pic:cNvPr descr="results/figures/Figure4.pdf" id="0" name="Picture"/>
                    <pic:cNvPicPr>
                      <a:picLocks noChangeArrowheads="1" noChangeAspect="1"/>
                    </pic:cNvPicPr>
                  </pic:nvPicPr>
                  <pic:blipFill>
                    <a:blip r:embed="rId34"/>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Figure 4. Results of FIT and MMT for each sample.</w:t>
      </w:r>
      <w:r>
        <w:t xml:space="preserve"> </w:t>
      </w:r>
      <w:r>
        <w:t xml:space="preserve">Dashed lines show the cutoff for each test. Points with a FIT result of 0 are jittered to improve visibility.</w:t>
      </w:r>
    </w:p>
    <w:p>
      <w:r>
        <w:drawing>
          <wp:inline>
            <wp:extent cx="1524000" cy="1524000"/>
            <wp:effectExtent b="0" l="0" r="0" t="0"/>
            <wp:docPr descr="" id="1" name="Picture"/>
            <a:graphic>
              <a:graphicData uri="http://schemas.openxmlformats.org/drawingml/2006/picture">
                <pic:pic>
                  <pic:nvPicPr>
                    <pic:cNvPr descr="results/tables/table2.pdf" id="0" name="Picture"/>
                    <pic:cNvPicPr>
                      <a:picLocks noChangeArrowheads="1" noChangeAspect="1"/>
                    </pic:cNvPicPr>
                  </pic:nvPicPr>
                  <pic:blipFill>
                    <a:blip r:embed="rId35"/>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Table 2.</w:t>
      </w:r>
      <w:r>
        <w:t xml:space="preserve"> </w:t>
      </w:r>
      <w:r>
        <w:t xml:space="preserve">Estimated MMT performance on average risk population. Number and proportion of true positives identified through FIT and MMT in the United States in adults 50-75 years of age, based on published estimates of CRC prevalence. Far right column shows percentage of true positives identified among individuals with a negative FIT result.</w:t>
      </w:r>
    </w:p>
    <w:p>
      <w:pPr>
        <w:pStyle w:val="Heading3"/>
      </w:pPr>
      <w:bookmarkStart w:id="36" w:name="supplementary-figures"/>
      <w:bookmarkEnd w:id="36"/>
      <w:r>
        <w:t xml:space="preserve">Supplementary Figures</w:t>
      </w:r>
    </w:p>
    <w:p>
      <w:r>
        <w:drawing>
          <wp:inline>
            <wp:extent cx="1524000" cy="1524000"/>
            <wp:effectExtent b="0" l="0" r="0" t="0"/>
            <wp:docPr descr="" id="1" name="Picture"/>
            <a:graphic>
              <a:graphicData uri="http://schemas.openxmlformats.org/drawingml/2006/picture">
                <pic:pic>
                  <pic:nvPicPr>
                    <pic:cNvPr descr="results/figures/figS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1.</w:t>
      </w:r>
    </w:p>
    <w:p>
      <w:r>
        <w:drawing>
          <wp:inline>
            <wp:extent cx="1524000" cy="1524000"/>
            <wp:effectExtent b="0" l="0" r="0" t="0"/>
            <wp:docPr descr="" id="1" name="Picture"/>
            <a:graphic>
              <a:graphicData uri="http://schemas.openxmlformats.org/drawingml/2006/picture">
                <pic:pic>
                  <pic:nvPicPr>
                    <pic:cNvPr descr="results/figures/figS2.pdf" id="0" name="Picture"/>
                    <pic:cNvPicPr>
                      <a:picLocks noChangeArrowheads="1" noChangeAspect="1"/>
                    </pic:cNvPicPr>
                  </pic:nvPicPr>
                  <pic:blipFill>
                    <a:blip r:embed="rId38"/>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2.</w:t>
      </w:r>
    </w:p>
    <w:p>
      <w:r>
        <w:drawing>
          <wp:inline>
            <wp:extent cx="1524000" cy="1524000"/>
            <wp:effectExtent b="0" l="0" r="0" t="0"/>
            <wp:docPr descr="" id="1" name="Picture"/>
            <a:graphic>
              <a:graphicData uri="http://schemas.openxmlformats.org/drawingml/2006/picture">
                <pic:pic>
                  <pic:nvPicPr>
                    <pic:cNvPr descr="results/figures/figS3.pdf" id="0" name="Picture"/>
                    <pic:cNvPicPr>
                      <a:picLocks noChangeArrowheads="1" noChangeAspect="1"/>
                    </pic:cNvPicPr>
                  </pic:nvPicPr>
                  <pic:blipFill>
                    <a:blip r:embed="rId39"/>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3.</w:t>
      </w:r>
      <w:r>
        <w:t xml:space="preserve"> </w:t>
      </w:r>
      <w:r>
        <w:t xml:space="preserve">Bacterial OTUs in MMT. Stripchart of the relative abundances of each OTU in the MMT with black lines at the medians.</w:t>
      </w:r>
    </w:p>
    <w:p>
      <w:r>
        <w:drawing>
          <wp:inline>
            <wp:extent cx="1524000" cy="1524000"/>
            <wp:effectExtent b="0" l="0" r="0" t="0"/>
            <wp:docPr descr="" id="1" name="Picture"/>
            <a:graphic>
              <a:graphicData uri="http://schemas.openxmlformats.org/drawingml/2006/picture">
                <pic:pic>
                  <pic:nvPicPr>
                    <pic:cNvPr descr="results/figures/figS4.pdf" id="0" name="Picture"/>
                    <pic:cNvPicPr>
                      <a:picLocks noChangeArrowheads="1" noChangeAspect="1"/>
                    </pic:cNvPicPr>
                  </pic:nvPicPr>
                  <pic:blipFill>
                    <a:blip r:embed="rId40"/>
                    <a:stretch>
                      <a:fillRect/>
                    </a:stretch>
                  </pic:blipFill>
                  <pic:spPr bwMode="auto">
                    <a:xfrm>
                      <a:off x="0" y="0"/>
                      <a:ext cx="1524000" cy="1524000"/>
                    </a:xfrm>
                    <a:prstGeom prst="rect">
                      <a:avLst/>
                    </a:prstGeom>
                    <a:noFill/>
                    <a:ln w="9525">
                      <a:noFill/>
                      <a:headEnd/>
                      <a:tailEnd/>
                    </a:ln>
                  </pic:spPr>
                </pic:pic>
              </a:graphicData>
            </a:graphic>
          </wp:inline>
        </w:drawing>
      </w:r>
      <w:r>
        <w:br w:type="textWrapping"/>
      </w:r>
      <w:r>
        <w:rPr>
          <w:b/>
        </w:rPr>
        <w:t xml:space="preserve">Supplementary Figure 4.</w:t>
      </w:r>
      <w:r>
        <w:t xml:space="preserve"> </w:t>
      </w:r>
      <w:r>
        <w:t xml:space="preserve">Effect of sex on MMT performance. ROC curves (left) and stripchart (right) of MMT results separated by sex.</w:t>
      </w:r>
    </w:p>
    <w:p>
      <w:pPr>
        <w:pStyle w:val="Heading3"/>
      </w:pPr>
      <w:bookmarkStart w:id="41" w:name="references-and-notes"/>
      <w:bookmarkEnd w:id="41"/>
      <w:r>
        <w:t xml:space="preserve">References and Notes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w:t>
      </w:r>
      <w:r>
        <w:t xml:space="preserve">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w:t>
      </w:r>
      <w:r>
        <w:t xml:space="preserve">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w:t>
      </w:r>
      <w:r>
        <w:t xml:space="preserve">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w:t>
      </w:r>
      <w:r>
        <w:t xml:space="preserve">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w:t>
      </w:r>
      <w:r>
        <w:t xml:space="preserve">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w:t>
      </w:r>
      <w:r>
        <w:t xml:space="preserve">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w:t>
      </w:r>
      <w:r>
        <w:t xml:space="preserve">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w:t>
      </w:r>
      <w:r>
        <w:t xml:space="preserve">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w:t>
      </w:r>
      <w:r>
        <w:t xml:space="preserve">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w:t>
      </w:r>
      <w:r>
        <w:t xml:space="preserve">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w:t>
      </w:r>
      <w:r>
        <w:t xml:space="preserve">2012,</w:t>
      </w:r>
      <w:r>
        <w:t xml:space="preserve"> </w:t>
      </w:r>
      <w:r>
        <w:rPr>
          <w:b/>
        </w:rPr>
        <w:t xml:space="preserve">22</w:t>
      </w:r>
      <w:r>
        <w:t xml:space="preserve">:292–298.</w:t>
      </w:r>
    </w:p>
    <w:p>
      <w:pPr>
        <w:pStyle w:val="Bibliography"/>
      </w:pPr>
      <w:r>
        <w:t xml:space="preserve">12.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w:t>
      </w:r>
      <w:r>
        <w:t xml:space="preserve">2013,</w:t>
      </w:r>
      <w:r>
        <w:t xml:space="preserve"> </w:t>
      </w:r>
      <w:r>
        <w:rPr>
          <w:b/>
        </w:rPr>
        <w:t xml:space="preserve">4</w:t>
      </w:r>
      <w:r>
        <w:t xml:space="preserve">:e00692–13.</w:t>
      </w:r>
    </w:p>
    <w:p>
      <w:pPr>
        <w:pStyle w:val="Bibliography"/>
      </w:pPr>
      <w:r>
        <w:t xml:space="preserve">13.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w:t>
      </w:r>
      <w:r>
        <w:t xml:space="preserve">2013,</w:t>
      </w:r>
      <w:r>
        <w:t xml:space="preserve"> </w:t>
      </w:r>
      <w:r>
        <w:rPr>
          <w:b/>
        </w:rPr>
        <w:t xml:space="preserve">14</w:t>
      </w:r>
      <w:r>
        <w:t xml:space="preserve">:207–215.</w:t>
      </w:r>
    </w:p>
    <w:p>
      <w:pPr>
        <w:pStyle w:val="Bibliography"/>
      </w:pPr>
      <w:r>
        <w:t xml:space="preserve">14.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w:t>
      </w:r>
      <w:r>
        <w:t xml:space="preserve">2009,</w:t>
      </w:r>
      <w:r>
        <w:t xml:space="preserve"> </w:t>
      </w:r>
      <w:r>
        <w:rPr>
          <w:b/>
        </w:rPr>
        <w:t xml:space="preserve">15</w:t>
      </w:r>
      <w:r>
        <w:t xml:space="preserve">:1016–1022.</w:t>
      </w:r>
    </w:p>
    <w:p>
      <w:pPr>
        <w:pStyle w:val="Bibliography"/>
      </w:pPr>
      <w:r>
        <w:t xml:space="preserve">15.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w:t>
      </w:r>
      <w:r>
        <w:t xml:space="preserve">2012,</w:t>
      </w:r>
      <w:r>
        <w:t xml:space="preserve"> </w:t>
      </w:r>
      <w:r>
        <w:rPr>
          <w:b/>
        </w:rPr>
        <w:t xml:space="preserve">338</w:t>
      </w:r>
      <w:r>
        <w:t xml:space="preserve">:120–123.</w:t>
      </w:r>
    </w:p>
    <w:p>
      <w:pPr>
        <w:pStyle w:val="Bibliography"/>
      </w:pPr>
      <w:r>
        <w:t xml:space="preserve">16.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w:t>
      </w:r>
      <w:r>
        <w:t xml:space="preserve">2014,</w:t>
      </w:r>
      <w:r>
        <w:t xml:space="preserve"> </w:t>
      </w:r>
      <w:r>
        <w:rPr>
          <w:b/>
        </w:rPr>
        <w:t xml:space="preserve">7</w:t>
      </w:r>
      <w:r>
        <w:t xml:space="preserve">:1112–1121.</w:t>
      </w:r>
    </w:p>
    <w:p>
      <w:pPr>
        <w:pStyle w:val="Bibliography"/>
      </w:pPr>
      <w:r>
        <w:t xml:space="preserve">17.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w:t>
      </w:r>
      <w:r>
        <w:t xml:space="preserve">2014,</w:t>
      </w:r>
      <w:r>
        <w:t xml:space="preserve"> </w:t>
      </w:r>
      <w:r>
        <w:rPr>
          <w:b/>
        </w:rPr>
        <w:t xml:space="preserve">10</w:t>
      </w:r>
      <w:r>
        <w:t xml:space="preserve">:766.</w:t>
      </w:r>
    </w:p>
    <w:p>
      <w:pPr>
        <w:pStyle w:val="Bibliography"/>
      </w:pPr>
      <w:r>
        <w:t xml:space="preserve">18. Liaw A, Wiener M:</w:t>
      </w:r>
      <w:r>
        <w:t xml:space="preserve"> </w:t>
      </w:r>
      <w:r>
        <w:rPr>
          <w:b/>
        </w:rPr>
        <w:t xml:space="preserve">Classification and regression by randomForest</w:t>
      </w:r>
      <w:r>
        <w:t xml:space="preserve">.</w:t>
      </w:r>
      <w:r>
        <w:t xml:space="preserve"> </w:t>
      </w:r>
      <w:r>
        <w:rPr>
          <w:i/>
        </w:rPr>
        <w:t xml:space="preserve">R news</w:t>
      </w:r>
      <w:r>
        <w:t xml:space="preserve"> </w:t>
      </w:r>
      <w:r>
        <w:t xml:space="preserve">2002,</w:t>
      </w:r>
      <w:r>
        <w:t xml:space="preserve"> </w:t>
      </w:r>
      <w:r>
        <w:rPr>
          <w:b/>
        </w:rPr>
        <w:t xml:space="preserve">2</w:t>
      </w:r>
      <w:r>
        <w:t xml:space="preserve">:18–22.</w:t>
      </w:r>
    </w:p>
    <w:p>
      <w:pPr>
        <w:pStyle w:val="Bibliography"/>
      </w:pPr>
      <w:r>
        <w:t xml:space="preserve">19.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w:t>
      </w:r>
      <w:r>
        <w:t xml:space="preserve">2013,</w:t>
      </w:r>
      <w:r>
        <w:t xml:space="preserve"> </w:t>
      </w:r>
      <w:r>
        <w:rPr>
          <w:b/>
        </w:rPr>
        <w:t xml:space="preserve">8</w:t>
      </w:r>
      <w:r>
        <w:t xml:space="preserve">:e62815.</w:t>
      </w:r>
    </w:p>
    <w:p>
      <w:pPr>
        <w:pStyle w:val="Bibliography"/>
      </w:pPr>
      <w:r>
        <w:t xml:space="preserve">20.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w:t>
      </w:r>
      <w:r>
        <w:t xml:space="preserve">2013,</w:t>
      </w:r>
      <w:r>
        <w:t xml:space="preserve"> </w:t>
      </w:r>
      <w:r>
        <w:rPr>
          <w:b/>
        </w:rPr>
        <w:t xml:space="preserve">79</w:t>
      </w:r>
      <w:r>
        <w:t xml:space="preserve">:5112–5120.</w:t>
      </w:r>
    </w:p>
    <w:p>
      <w:pPr>
        <w:pStyle w:val="Bibliography"/>
      </w:pPr>
      <w:r>
        <w:t xml:space="preserve">21.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w:t>
      </w:r>
      <w:r>
        <w:t xml:space="preserve">2011,</w:t>
      </w:r>
      <w:r>
        <w:t xml:space="preserve"> </w:t>
      </w:r>
      <w:r>
        <w:rPr>
          <w:b/>
        </w:rPr>
        <w:t xml:space="preserve">72</w:t>
      </w:r>
      <w:r>
        <w:t xml:space="preserve">:121–132.</w:t>
      </w:r>
    </w:p>
    <w:p>
      <w:pPr>
        <w:pStyle w:val="Bibliography"/>
      </w:pPr>
      <w:r>
        <w:t xml:space="preserve">22.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w:t>
      </w:r>
      <w:r>
        <w:t xml:space="preserve">1988:837–845.</w:t>
      </w:r>
    </w:p>
    <w:p>
      <w:pPr>
        <w:pStyle w:val="Bibliography"/>
      </w:pPr>
      <w:r>
        <w:t xml:space="preserve">23. Youden WJ:</w:t>
      </w:r>
      <w:r>
        <w:t xml:space="preserve"> </w:t>
      </w:r>
      <w:r>
        <w:rPr>
          <w:b/>
        </w:rPr>
        <w:t xml:space="preserve">Index for rating diagnostic tests</w:t>
      </w:r>
      <w:r>
        <w:t xml:space="preserve">.</w:t>
      </w:r>
      <w:r>
        <w:t xml:space="preserve"> </w:t>
      </w:r>
      <w:r>
        <w:rPr>
          <w:i/>
        </w:rPr>
        <w:t xml:space="preserve">Cancer</w:t>
      </w:r>
      <w:r>
        <w:t xml:space="preserve"> </w:t>
      </w:r>
      <w:r>
        <w:t xml:space="preserve">1950,</w:t>
      </w:r>
      <w:r>
        <w:t xml:space="preserve"> </w:t>
      </w:r>
      <w:r>
        <w:rPr>
          <w:b/>
        </w:rPr>
        <w:t xml:space="preserve">3</w:t>
      </w:r>
      <w:r>
        <w:t xml:space="preserve">:32–35.</w:t>
      </w:r>
    </w:p>
    <w:p>
      <w:pPr>
        <w:pStyle w:val="Bibliography"/>
      </w:pPr>
      <w:r>
        <w:t xml:space="preserve">24.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w:t>
      </w:r>
      <w:r>
        <w:t xml:space="preserve">2013,</w:t>
      </w:r>
      <w:r>
        <w:t xml:space="preserve"> </w:t>
      </w:r>
      <w:r>
        <w:rPr>
          <w:b/>
        </w:rPr>
        <w:t xml:space="preserve">1</w:t>
      </w:r>
      <w:r>
        <w:t xml:space="preserve">:16.</w:t>
      </w:r>
    </w:p>
    <w:p>
      <w:pPr>
        <w:pStyle w:val="Bibliography"/>
      </w:pPr>
      <w:r>
        <w:t xml:space="preserve">25.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:739–750.</w:t>
      </w:r>
    </w:p>
    <w:p>
      <w:pPr>
        <w:pStyle w:val="Bibliography"/>
      </w:pPr>
      <w:r>
        <w:t xml:space="preserve">26.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w:t>
      </w:r>
      <w:r>
        <w:t xml:space="preserve">2009,</w:t>
      </w:r>
      <w:r>
        <w:t xml:space="preserve"> </w:t>
      </w:r>
      <w:r>
        <w:rPr>
          <w:b/>
        </w:rPr>
        <w:t xml:space="preserve">7</w:t>
      </w:r>
      <w:r>
        <w:t xml:space="preserve">:1272–1278.</w:t>
      </w:r>
    </w:p>
    <w:p>
      <w:pPr>
        <w:pStyle w:val="Bibliography"/>
      </w:pPr>
      <w:r>
        <w:t xml:space="preserve">27.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w:t>
      </w:r>
      <w:r>
        <w:t xml:space="preserve">2015:0969141315584783.</w:t>
      </w:r>
    </w:p>
    <w:p>
      <w:pPr>
        <w:pStyle w:val="Bibliography"/>
      </w:pPr>
      <w:r>
        <w:t xml:space="preserve">28.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w:t>
      </w:r>
      <w:r>
        <w:t xml:space="preserve">2015.</w:t>
      </w:r>
    </w:p>
    <w:p>
      <w:pPr>
        <w:pStyle w:val="Bibliography"/>
      </w:pPr>
      <w:r>
        <w:t xml:space="preserve">29.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w:t>
      </w:r>
      <w:r>
        <w:t xml:space="preserve">2009,</w:t>
      </w:r>
      <w:r>
        <w:t xml:space="preserve"> </w:t>
      </w:r>
      <w:r>
        <w:rPr>
          <w:b/>
        </w:rPr>
        <w:t xml:space="preserve">104</w:t>
      </w:r>
      <w:r>
        <w:t xml:space="preserve">:933–938.</w:t>
      </w:r>
    </w:p>
    <w:p>
      <w:pPr>
        <w:pStyle w:val="Bibliography"/>
      </w:pPr>
      <w:r>
        <w:t xml:space="preserve">30.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w:t>
      </w:r>
      <w:r>
        <w:t xml:space="preserve">2015,</w:t>
      </w:r>
      <w:r>
        <w:t xml:space="preserve"> </w:t>
      </w:r>
      <w:r>
        <w:rPr>
          <w:b/>
        </w:rPr>
        <w:t xml:space="preserve">6</w:t>
      </w:r>
      <w:r>
        <w:t xml:space="preserve">.</w:t>
      </w:r>
    </w:p>
    <w:p>
      <w:pPr>
        <w:pStyle w:val="Bibliography"/>
      </w:pPr>
      <w:r>
        <w:t xml:space="preserve">31.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w:t>
      </w:r>
      <w:r>
        <w:t xml:space="preserve">2002,</w:t>
      </w:r>
      <w:r>
        <w:t xml:space="preserve"> </w:t>
      </w:r>
      <w:r>
        <w:rPr>
          <w:b/>
        </w:rPr>
        <w:t xml:space="preserve">217</w:t>
      </w:r>
      <w:r>
        <w:t xml:space="preserve">:133–139.</w:t>
      </w:r>
    </w:p>
    <w:p>
      <w:pPr>
        <w:pStyle w:val="Bibliography"/>
      </w:pPr>
      <w:r>
        <w:t xml:space="preserve">32.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w:t>
      </w:r>
      <w:r>
        <w:t xml:space="preserve">2000,</w:t>
      </w:r>
      <w:r>
        <w:t xml:space="preserve"> </w:t>
      </w:r>
      <w:r>
        <w:rPr>
          <w:b/>
        </w:rPr>
        <w:t xml:space="preserve">47</w:t>
      </w:r>
      <w:r>
        <w:t xml:space="preserve">:397–403.</w:t>
      </w:r>
    </w:p>
    <w:p>
      <w:pPr>
        <w:pStyle w:val="Bibliography"/>
      </w:pPr>
      <w:r>
        <w:t xml:space="preserve">33.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w:t>
      </w:r>
      <w:r>
        <w:t xml:space="preserve">1996,</w:t>
      </w:r>
      <w:r>
        <w:t xml:space="preserve"> </w:t>
      </w:r>
      <w:r>
        <w:rPr>
          <w:b/>
        </w:rPr>
        <w:t xml:space="preserve">110</w:t>
      </w:r>
      <w:r>
        <w:t xml:space="preserve">:1727–1734.</w:t>
      </w:r>
    </w:p>
    <w:p>
      <w:pPr>
        <w:pStyle w:val="Bibliography"/>
      </w:pPr>
      <w:r>
        <w:t xml:space="preserve">34.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w:t>
      </w:r>
      <w:r>
        <w:t xml:space="preserve">1995,</w:t>
      </w:r>
      <w:r>
        <w:t xml:space="preserve"> </w:t>
      </w:r>
      <w:r>
        <w:rPr>
          <w:b/>
        </w:rPr>
        <w:t xml:space="preserve">60</w:t>
      </w:r>
      <w:r>
        <w:t xml:space="preserve">:400–406.</w:t>
      </w:r>
    </w:p>
    <w:p>
      <w:pPr>
        <w:pStyle w:val="Bibliography"/>
      </w:pPr>
      <w:r>
        <w:t xml:space="preserve">35.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w:t>
      </w:r>
      <w:r>
        <w:t xml:space="preserve">2015.</w:t>
      </w:r>
    </w:p>
    <w:sectPr w:rsidR="00935249" w:rsidSect="00263878">
      <w:footerReference w:type="even" r:id="rId8"/>
      <w:footerReference w:type="default" r:id="rId9"/>
      <w:pgSz w:w="12240" w:h="15840"/>
      <w:pgMar w:top="864" w:right="864" w:bottom="864" w:left="1152"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87">
      <w:rPr>
        <w:rStyle w:val="PageNumber"/>
        <w:noProof/>
      </w:rPr>
      <w:t>1</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8f418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2" Target="media/rId32.pdf" /><Relationship Type="http://schemas.openxmlformats.org/officeDocument/2006/relationships/image" Id="rId35" Target="media/rId35.pdf" /><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www.github.com/SchlossLab/Baxter\_glne007Modeling_2015"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