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[16, 17]</w:t>
      </w:r>
      <w:r>
        <w:t xml:space="preserve">. The analysis by Zackular et al.</w:t>
      </w:r>
      <w:r>
        <w:t xml:space="preserve"> </w:t>
      </w:r>
      <w:r>
        <w:t xml:space="preserve">[16]</w:t>
      </w:r>
      <w:r>
        <w:t xml:space="preserve"> </w:t>
      </w:r>
      <w:r>
        <w:t xml:space="preserve">used samples from a limited number of subjects (N=30 normal, 30 adenoma, and 30 carcinoma), while that of Zeller et al</w:t>
      </w:r>
      <w:r>
        <w:t xml:space="preserve"> </w:t>
      </w:r>
      <w:r>
        <w:t xml:space="preserve">[17]</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The University of Michigan Institutional Review Board approved this study,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[22]</w:t>
      </w:r>
      <w:r>
        <w:t xml:space="preserve">. The AUC of ROC curves were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[25]</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22 bacterial populations (Fig. S1A). The AUC for the microbiota model (0.673) was significantly different from a random assignment (p&lt;0.001), but not significantly different from that of FIT (FIT AUC:0.639, p&gt;0.05, Fig. 1A). At the 100ng/ml cutoff FIT detected 15.7% of cancers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34 bacterial populations (Fig. S2A). Consistent with previous observations, the bacteria most strongly associated with CRC belonged to taxa commonly associated with periodontal disease</w:t>
      </w:r>
      <w:r>
        <w:t xml:space="preserve"> </w:t>
      </w:r>
      <w:r>
        <w:t xml:space="preserve">[17, 26, 27]</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0.837, which was similar to AUCs reported for other microbiota-based models for CRC</w:t>
      </w:r>
      <w:r>
        <w:t xml:space="preserve"> </w:t>
      </w:r>
      <w:r>
        <w:t xml:space="preserve">[16, 17]</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28]</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[29]</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[30–32]</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[33]</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Instead the MMT is enriched for OTUs that help detect adenomas. The MMT model relies primarily on FIT for detecting cancer, and uses the microbiota to identify adenomas.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[34–37]</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All previous studies describing differences in the gut microbiota of individuals with varying stages of CRC, including this one, have relied on samples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[38]</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[39]</w:t>
      </w:r>
      <w:r>
        <w:t xml:space="preserve">, alterations in the oral community could potentially be a proxy for ongoing or future changes to the gut community.</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pPr>
        <w:pStyle w:val="Heading3"/>
      </w:pPr>
      <w:bookmarkStart w:id="31" w:name="declarations"/>
      <w:bookmarkEnd w:id="31"/>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32">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3" w:name="figures"/>
      <w:bookmarkEnd w:id="33"/>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and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4" w:name="tables"/>
      <w:bookmarkEnd w:id="34"/>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5" w:name="additional-files"/>
      <w:bookmarkEnd w:id="35"/>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6" w:name="references"/>
      <w:bookmarkEnd w:id="36"/>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26.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27.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28.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29.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30.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31.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32.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33.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34.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35.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36.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37.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38.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39.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37575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