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[22]</w:t>
      </w:r>
      <w:r>
        <w:t xml:space="preserve">. The AUC of ROC curves were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5" w:name="results"/>
      <w:bookmarkEnd w:id="25"/>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S1A). The AUC for the microbiota model (0.673) was significantly different from a random assignment (p&lt;0.001), but not significantly different from that of FIT (FIT AUC:0.639, p&gt;0.05, Fig. 1A). At the 100ng/ml cutoff FIT detected 15.7% of cancers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34 bacterial populations (Fig. S2A).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[16, 17]</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28]</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6" w:name="discussion"/>
      <w:bookmarkEnd w:id="26"/>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Instead the MMT is enriched for OTUs that help detect adenomas. The MMT model relies primarily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All previous studies describing differences in the gut microbiota of individuals with varying stages of CRC,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Acknowledgements:</w:t>
      </w:r>
      <w:r>
        <w:t xml:space="preserve"> </w:t>
      </w:r>
      <w:r>
        <w:t xml:space="preserve">The authors thank the Great Lakes-New England Early Detection Research Network for providing the fecal samples that were used in this study.</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bfeca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