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[22]</w:t>
      </w:r>
      <w:r>
        <w:t xml:space="preserve">. The AUC of ROC curves were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S1A). The AUC for the microbiota model (0.673) was significantly different from a random assignment (p&lt;0.001), but not significantly different from that of FIT (FIT AUC:0.639, p&gt;0.05, Fig. 1A). At the 100ng/ml cutoff FIT detected 15.7% of cancers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34 bacterial populations (Fig. S2A).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[16, 17]</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28]</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Instead the MMT is enriched for OTUs that help detect adenomas. The MMT model relies primarily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All previous studies describing differences in the gut microbiota of individuals with varying stages of CRC,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pPr>
        <w:pStyle w:val="Heading3"/>
      </w:pPr>
      <w:bookmarkStart w:id="31" w:name="declarations"/>
      <w:bookmarkEnd w:id="31"/>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and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3bb49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