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7.png" ContentType="image/png"/>
  <Override PartName="/word/media/rId28.png" ContentType="image/png"/>
  <Override PartName="/word/media/rId29.png" ContentType="image/png"/>
  <Override PartName="/word/media/rId3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w:t>
      </w:r>
      <w:r>
        <w:t xml:space="preserve"> </w:t>
      </w:r>
      <w:r>
        <w:t xml:space="preserve">analysis</w:t>
      </w:r>
      <w:r>
        <w:t xml:space="preserve"> </w:t>
      </w:r>
      <w:r>
        <w:t xml:space="preserve">complements</w:t>
      </w:r>
      <w:r>
        <w:t xml:space="preserve"> </w:t>
      </w:r>
      <w:r>
        <w:t xml:space="preserve">fecal</w:t>
      </w:r>
      <w:r>
        <w:t xml:space="preserve"> </w:t>
      </w:r>
      <w:r>
        <w:t xml:space="preserve">immunochemical</w:t>
      </w:r>
      <w:r>
        <w:t xml:space="preserve"> </w:t>
      </w:r>
      <w:r>
        <w:t xml:space="preserve">test</w:t>
      </w:r>
      <w:r>
        <w:t xml:space="preserve"> </w:t>
      </w:r>
      <w:r>
        <w:t xml:space="preserve">for</w:t>
      </w:r>
      <w:r>
        <w:t xml:space="preserve"> </w:t>
      </w:r>
      <w:r>
        <w:t xml:space="preserve">detection</w:t>
      </w:r>
      <w:r>
        <w:t xml:space="preserve"> </w:t>
      </w:r>
      <w:r>
        <w:t xml:space="preserve">of</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model AUC=0.829, p&lt;0.001), but not cancer from normal (FIT AUC=0.929, model AUC=0.952, p=0.091) (Fig. 1A). Comparison of the ROC curves for the combined model and FIT showed that the combined model did not outperform FIT for detecting lesions until the specificity dropped below approximately 93%, at which point the sensitivity of the combined model greatly exceeded that of FIT.</w:t>
      </w:r>
    </w:p>
    <w:p>
      <w:r>
        <w:t xml:space="preserve">To generate a categorical prediction from the combined model, we determined that the optimal threshold for the combined model's probability was 0.622 using Youden's J statisitc</w:t>
      </w:r>
      <w:r>
        <w:rPr>
          <w:vertAlign w:val="superscript"/>
        </w:rPr>
        <w:t xml:space="preserve">21</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2). These results indicate that the combined model would be highly effective at identifying individuals that would not need a more invasive test.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 Despite performing more poorly overall for males, the combined model did have a higher sensitivity for cancer among males (98.5%) than females (90.4%), consistent with the observations of previous studies</w:t>
      </w:r>
      <w:r>
        <w:rPr>
          <w:vertAlign w:val="superscript"/>
        </w:rPr>
        <w:t xml:space="preserve">23,24</w:t>
      </w:r>
      <w:r>
        <w:t xml:space="preserve">.</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The sensitivity of the host-associated DNA screen was 92.3% for CRC and 42.4% for adenomas, which are both slightly lower than what we observed with our combined model. Regardless,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1"/>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of combined model separated by gender (left). Stripchart of combined model results by gender (right).</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3878">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77e809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
</cp:coreProperties>
</file>