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[20]</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[21]</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[22]</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[23]</w:t>
      </w:r>
      <w:r>
        <w:t xml:space="preserve">. The AUC of ROC curves were compared using the method described by DeLong et al.</w:t>
      </w:r>
      <w:r>
        <w:t xml:space="preserve"> </w:t>
      </w:r>
      <w:r>
        <w:t xml:space="preserve">[24]</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[25]</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[26]</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[23]</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uclassified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27, 28]</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29]</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[25]</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[30]</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[31–33]</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 One way to approach screening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[34]</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significantly correlated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[35–38]</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The biggest shortcoming for this study is that the model was not applied to separate validation set. Doing so would require a dataset containing both FIT results and sequences of the V4 region of the 16S rRNA gene. To our knowledge, such a dataset is not available, making it impossible to further validate the MMT model at this time. Another potential shortcoming of this experiment is that many of the samples were collected after colonoscopy. A previous study showed that the microbiome quickly returns to normal following colonoscopy</w:t>
      </w:r>
      <w:r>
        <w:t xml:space="preserve"> </w:t>
      </w:r>
      <w:r>
        <w:t xml:space="preserve">[20]</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[39]</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[40]</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pPr>
        <w:pStyle w:val="Heading3"/>
      </w:pPr>
      <w:bookmarkStart w:id="31" w:name="declarations"/>
      <w:bookmarkEnd w:id="31"/>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23.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24.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25.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26.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27.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28.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29.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30.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31.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32.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33.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34.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36.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37.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38.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39.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40.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2073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