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31.pdf" ContentType="application/pdf"/>
  <Override PartName="/word/media/rId33.pdf" ContentType="application/pdf"/>
  <Override PartName="/word/media/rId34.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32.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[16, 17]</w:t>
      </w:r>
      <w:r>
        <w:t xml:space="preserve">. The analysis by Zackular et al.</w:t>
      </w:r>
      <w:r>
        <w:t xml:space="preserve"> </w:t>
      </w:r>
      <w:r>
        <w:t xml:space="preserve">[16]</w:t>
      </w:r>
      <w:r>
        <w:t xml:space="preserve"> </w:t>
      </w:r>
      <w:r>
        <w:t xml:space="preserve">used samples from a limited number of subjects (N=30 normal, 30 adenoma, and 30 carcinoma), while that of Zeller et al</w:t>
      </w:r>
      <w:r>
        <w:t xml:space="preserve"> </w:t>
      </w:r>
      <w:r>
        <w:t xml:space="preserve">[17]</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The University of Michigan Institutional Review Board approved this study,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[21]</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[22]</w:t>
      </w:r>
      <w:r>
        <w:t xml:space="preserve">. The AUC of ROC curves were compared using the method described by DeLong et al.</w:t>
      </w:r>
      <w:r>
        <w:t xml:space="preserve"> </w:t>
      </w:r>
      <w:r>
        <w:t xml:space="preserve">[23]</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[24]</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[25]</w:t>
      </w:r>
      <w:r>
        <w:t xml:space="preserve">.</w:t>
      </w:r>
    </w:p>
    <w:p>
      <w:pPr>
        <w:pStyle w:val="Heading3"/>
      </w:pPr>
      <w:bookmarkStart w:id="25" w:name="results"/>
      <w:bookmarkEnd w:id="25"/>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[22]</w:t>
      </w:r>
      <w:r>
        <w:t xml:space="preserve">. The optimal model utilized 22 bacterial populations (Fig. S1A). The AUC for the microbiota model (0.673) was significantly different from a random assignment (p&lt;0.001), but not significantly different from that of FIT (FIT AUC:0.639, p&gt;0.05, Fig. 1A). At the 100ng/ml cutoff FIT detected 15.7% of cancers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34 bacterial populations (Fig. S2A). Consistent with previous observations, the bacteria most strongly associated with CRC belonged to taxa commonly associated with periodontal disease</w:t>
      </w:r>
      <w:r>
        <w:t xml:space="preserve"> </w:t>
      </w:r>
      <w:r>
        <w:t xml:space="preserve">[17, 26, 27]</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0.837, which was similar to AUCs reported for other microbiota-based models for CRC</w:t>
      </w:r>
      <w:r>
        <w:t xml:space="preserve"> </w:t>
      </w:r>
      <w:r>
        <w:t xml:space="preserve">[16, 17]</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28]</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[24]</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[29]</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sex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[30–32]</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pPr>
        <w:pStyle w:val="Heading3"/>
      </w:pPr>
      <w:bookmarkStart w:id="26" w:name="discussion"/>
      <w:bookmarkEnd w:id="26"/>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[33]</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Instead the MMT is enriched for OTUs that help detect adenomas. The MMT model relies primarily on FIT for detecting cancer, and uses the microbiota to identify adenomas.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[34–37]</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[17]</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All previous studies describing differences in the gut microbiota of individuals with varying stages of CRC, including this one, have relied on samples collected after colonoscopy. A previous study showed that the microbiome quickly returns to normal following colonoscopy</w:t>
      </w:r>
      <w:r>
        <w:t xml:space="preserve"> </w:t>
      </w:r>
      <w:r>
        <w:t xml:space="preserve">[19]</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[38]</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[39]</w:t>
      </w:r>
      <w:r>
        <w:t xml:space="preserve">,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Acknowledgements:</w:t>
      </w:r>
      <w:r>
        <w:t xml:space="preserve"> </w:t>
      </w:r>
      <w:r>
        <w:t xml:space="preserve">The authors thank the Great Lakes-New England Early Detection Research Network for providing the fecal samples that were used in this study.</w:t>
      </w:r>
    </w:p>
    <w:p>
      <w:r>
        <w:rPr>
          <w:b/>
        </w:rPr>
        <w:t xml:space="preserve">Data and materials availability:</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28">
        <w:r>
          <w:rPr>
            <w:rStyle w:val="Link"/>
          </w:rPr>
          <w:t xml:space="preserve">http://www.github.com/SchlossLab/Baxter_glne007Modeling_2015</w:t>
        </w:r>
      </w:hyperlink>
      <w:r>
        <w:t xml:space="preserve">.</w:t>
      </w:r>
    </w:p>
    <w:p>
      <w:pPr>
        <w:pStyle w:val="Heading3"/>
      </w:pPr>
      <w:bookmarkStart w:id="29" w:name="figures"/>
      <w:bookmarkEnd w:id="29"/>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drawing>
          <wp:inline>
            <wp:extent cx="1524000" cy="1524000"/>
            <wp:effectExtent b="0" l="0" r="0" t="0"/>
            <wp:docPr descr="" id="1" name="Picture"/>
            <a:graphic>
              <a:graphicData uri="http://schemas.openxmlformats.org/drawingml/2006/picture">
                <pic:pic>
                  <pic:nvPicPr>
                    <pic:cNvPr descr="results/tables/table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2.</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6" w:name="supplementary-figures"/>
      <w:bookmarkEnd w:id="36"/>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 MMT performance by sex.</w:t>
      </w:r>
      <w:r>
        <w:t xml:space="preserve"> </w:t>
      </w:r>
      <w:r>
        <w:t xml:space="preserve">ROC curves (left) and stripchart (right) of MMT results separated by sex.</w:t>
      </w:r>
    </w:p>
    <w:p>
      <w:pPr>
        <w:pStyle w:val="Heading3"/>
      </w:pPr>
      <w:bookmarkStart w:id="41" w:name="references-and-notes"/>
      <w:bookmarkEnd w:id="41"/>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21.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22.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23.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24.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25.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26.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27.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28.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29.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30.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31.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32.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33.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34.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35.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36.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37.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38.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39.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4fe99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