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1.pdf" ContentType="application/pdf"/>
  <Override PartName="/word/media/rId32.pdf" ContentType="application/pdf"/>
  <Override PartName="/word/media/rId34.pdf" ContentType="application/pdf"/>
  <Override PartName="/word/media/rId35.pdf" ContentType="application/pdf"/>
  <Override PartName="/word/media/rId36.pdf" ContentType="application/pdf"/>
  <Override PartName="/word/media/rId37.pdf" ContentType="application/pdf"/>
  <Override PartName="/word/media/rId38.pdf" ContentType="application/pdf"/>
  <Override PartName="/word/media/rId29.pdf" ContentType="application/pdf"/>
  <Override PartName="/word/media/rId3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Using stool samples from 490 patients we developed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 Pophyromonas, Fusobacterium, Parvimonas, Peptostreptococcus, Gemella, and 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p=0.0046,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One of the problems with FIT and other stool-based is their inability to detect adenomas. Therefrore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manufacturer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one of the two tests (Fig. 1D). Therefore combining FIT with microbiota biomarkers should be especially effective at improving the detection of adenomas.</w:t>
      </w:r>
    </w:p>
    <w:p>
      <w:r>
        <w:rPr>
          <w:i/>
        </w:rPr>
        <w:t xml:space="preserve">Multitarget Microbiota Test for colonic lesions.</w:t>
      </w:r>
      <w:r>
        <w:t xml:space="preserve"> </w:t>
      </w:r>
      <w:r>
        <w:t xml:space="preserve">Based on these observations, we hypothesized that a single model that combined bacterial abundances and FIT would have improved sensitivity for colonic lesions compared to FIT alone. Therefore we developed a random forest model using both the microbiota and FIT that would differentiate normal individuals from those with any type of colonic lesion (i.e. adenoma or carcinoma). The optimal model, referred to as the Multitarget Microbiota Test (MMT), used 23 OTUs (Fig. S3). Of those OTUs, 16 were members of the Firmicutes phylum, including 3 from the Ruminococcaceae family and 10 from the Lachnospiraceae family, the predominant producers of butyrate in the gut</w:t>
      </w:r>
      <w:r>
        <w:t xml:space="preserve"> </w:t>
      </w:r>
      <w:r>
        <w:t xml:space="preserve">[25]</w:t>
      </w:r>
      <w:r>
        <w:t xml:space="preserve"> </w:t>
      </w:r>
      <w:r>
        <w:t xml:space="preserve">(Fig.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26]</w:t>
      </w:r>
      <w:r>
        <w:t xml:space="preserve">. Like other studies</w:t>
      </w:r>
      <w:r>
        <w:t xml:space="preserve">[11, 16]</w:t>
      </w:r>
      <w:r>
        <w:t xml:space="preserve"> </w:t>
      </w:r>
      <w:r>
        <w:t xml:space="preserve">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 Interestingly the majority of OTUs used in the model, especially the Lachnospiraceae, were enriched in normal patients, suggesting that a loss of beneficial organisms in addition to the emergence of pathogens may be indicative of CRC development.</w:t>
      </w:r>
    </w:p>
    <w:p>
      <w:r>
        <w:rPr>
          <w:i/>
        </w:rPr>
        <w:t xml:space="preserve">Comparison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p=0.091)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the manufacturer recommended threshold of 100 ng/ml of hemoglobin. At these cutoffs the MMT detected 95.0% of cancers and 57.1% of adenomas compared to 75.0% and 15.7% for FIT (Table 1, Fig. 2B).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 All samples that tested positive by FIT also tested positive by the MMT, indicating that the MMT did not miss any of the lesions that FIT was able to detect. However the MMT was able to detect 80% of cancers and 49.1% of adenomas that FIT had failed to detect, while maintaining a specificity of 86.2% (Fig. S5).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[27]</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[28–30]</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(p=0.016;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(p=0.0057, two-way ANOVA), but not on the overall structure of the microbiome(p=0.063,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[31]</w:t>
      </w:r>
      <w:r>
        <w:t xml:space="preserve">. Such models are likely to be useful as microbiota sequencing gains traction as a tool for characterizing health.</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Variable selection for MMT.</w:t>
      </w:r>
      <w:r>
        <w:br w:type="textWrapping"/>
      </w:r>
      <w:r>
        <w:t xml:space="preserve">Fig. S2. Bacterial OTUs in MMT.</w:t>
      </w:r>
      <w:r>
        <w:br w:type="textWrapping"/>
      </w:r>
      <w:r>
        <w:t xml:space="preserve">Fig. S3. MMT Probabilities based on FIT results.</w:t>
      </w:r>
      <w:r>
        <w:br w:type="textWrapping"/>
      </w:r>
      <w:r>
        <w:t xml:space="preserve">Fig. S4. Effect of sex on MMT performance.</w:t>
      </w:r>
      <w:r>
        <w:br w:type="textWrapping"/>
      </w:r>
      <w:r>
        <w:t xml:space="preserve">Table S1. Estimated MMT performance on average risk population.</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A data analysis pipeline and all necessary scripts are available at github.com/SchlossLab/Baxter_glne007Modeling_2015.</w:t>
      </w:r>
    </w:p>
    <w:p>
      <w:pPr>
        <w:pStyle w:val="Heading3"/>
      </w:pPr>
      <w:bookmarkStart w:id="28" w:name="figures"/>
      <w:bookmarkEnd w:id="28"/>
      <w:r>
        <w:t xml:space="preserve">Figures</w:t>
      </w:r>
    </w:p>
    <w:p>
      <w:r>
        <w:rPr>
          <w:b/>
        </w:rPr>
        <w:t xml:space="preserve">Figures:</w:t>
      </w:r>
      <w:r>
        <w:br w:type="textWrapping"/>
      </w:r>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rPr>
          <w:b/>
        </w:rPr>
        <w:t xml:space="preserve">Figure 1. Figure title.</w:t>
      </w:r>
      <w:r>
        <w:t xml:space="preserve"> </w:t>
      </w:r>
      <w:r>
        <w:t xml:space="preserve">Figure description.</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(blue). Filled dots show the sensitivity and specificity of the MMT at the optimal cutoff (0.622). Open dots show the sensitivity and specificity of FIT at the 100ng/ml cutoff. (B) Strip charts showing the results for FIT and the MMT. Dashed lines show the cutoff for each test. Points with a FIT result of 0 are jittered to improve visibility.</w:t>
      </w:r>
    </w:p>
    <w:p>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pPr>
        <w:pStyle w:val="Heading3"/>
      </w:pPr>
      <w:bookmarkStart w:id="33" w:name="supplementary-figures"/>
      <w:bookmarkEnd w:id="33"/>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MMT Probabilities based on FIT results. Stripchart of MMT results for samples with a positive or negative FIT result.</w:t>
      </w:r>
    </w:p>
    <w:p>
      <w:r>
        <w:drawing>
          <wp:inline>
            <wp:extent cx="1524000" cy="1524000"/>
            <wp:effectExtent b="0" l="0" r="0" t="0"/>
            <wp:docPr descr="" id="1" name="Picture"/>
            <a:graphic>
              <a:graphicData uri="http://schemas.openxmlformats.org/drawingml/2006/picture">
                <pic:pic>
                  <pic:nvPicPr>
                    <pic:cNvPr descr="results/figures/figS5.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5.</w:t>
      </w:r>
      <w:r>
        <w:t xml:space="preserve"> </w:t>
      </w:r>
      <w:r>
        <w:t xml:space="preserve">Effect of sex on MMT performance. ROC curves (left) and stripchart (right) of MMT results separated by sex.</w:t>
      </w:r>
    </w:p>
    <w:p>
      <w:r>
        <w:br w:type="textWrapping"/>
      </w:r>
      <w:r>
        <w:rPr>
          <w:b/>
        </w:rPr>
        <w:t xml:space="preserve">Supplementary Table 6.</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r>
        <w:rPr>
          <w:b/>
        </w:rP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26.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27.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28.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29.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30.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31.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f5430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1" Target="media/rId31.pdf" /><Relationship Type="http://schemas.openxmlformats.org/officeDocument/2006/relationships/image" Id="rId32" Target="media/rId32.pdf"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