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7.png" ContentType="image/png"/>
  <Override PartName="/word/media/rId28.png" ContentType="image/png"/>
  <Override PartName="/word/media/rId29.png" ContentType="image/png"/>
  <Override PartName="/word/media/rId3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w:t>
      </w:r>
      <w:r>
        <w:t xml:space="preserve"> </w:t>
      </w:r>
      <w:r>
        <w:t xml:space="preserve">analysis</w:t>
      </w:r>
      <w:r>
        <w:t xml:space="preserve"> </w:t>
      </w:r>
      <w:r>
        <w:t xml:space="preserve">complements</w:t>
      </w:r>
      <w:r>
        <w:t xml:space="preserve"> </w:t>
      </w:r>
      <w:r>
        <w:t xml:space="preserve">fecal</w:t>
      </w:r>
      <w:r>
        <w:t xml:space="preserve"> </w:t>
      </w:r>
      <w:r>
        <w:t xml:space="preserve">immunochemical</w:t>
      </w:r>
      <w:r>
        <w:t xml:space="preserve"> </w:t>
      </w:r>
      <w:r>
        <w:t xml:space="preserve">test</w:t>
      </w:r>
      <w:r>
        <w:t xml:space="preserve"> </w:t>
      </w:r>
      <w:r>
        <w:t xml:space="preserve">for</w:t>
      </w:r>
      <w:r>
        <w:t xml:space="preserve"> </w:t>
      </w:r>
      <w:r>
        <w:t xml:space="preserve">detection</w:t>
      </w:r>
      <w:r>
        <w:t xml:space="preserve"> </w:t>
      </w:r>
      <w:r>
        <w:t xml:space="preserve">of</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model AUC=0.829, p&lt;0.001), but not cancer from normal (FIT AUC=0.929, model AUC=0.952, p=0.091) (Fig. 1A). Comparison of the ROC curves for the combined model and FIT showed that the combined model did not outperform FIT for detecting lesions until the specificity dropped below approximately 93%, at which point the sensitivity of the combined model greatly exceeded that of FIT.</w:t>
      </w:r>
    </w:p>
    <w:p>
      <w:r>
        <w:t xml:space="preserve">To generate a categorical prediction from the combined model, we determined that the optimal threshold for the combined model's probability was 0.622 using Youden's J statisitc</w:t>
      </w:r>
      <w:r>
        <w:rPr>
          <w:vertAlign w:val="superscript"/>
        </w:rPr>
        <w:t xml:space="preserve">21</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2). These results indicate that the combined model would be highly effective at identifying individuals that would not need a more invasive test.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 Despite performing more poorly overall for males, the combined model did have a higher sensitivity for cancer among males (98.5%) than females (90.4%), consistent with the observations of previous studies</w:t>
      </w:r>
      <w:r>
        <w:rPr>
          <w:vertAlign w:val="superscript"/>
        </w:rPr>
        <w:t xml:space="preserve">23,24</w:t>
      </w:r>
      <w:r>
        <w:t xml:space="preserve">.</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The sensitivity of the host-associated DNA screen was 92.3% for CRC and 42.4% for adenomas, which are both slightly lower than what we observed with our combined model. Regardless,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tbl>
      <w:tblPr>
        <w:tblStyle w:val="TableNormal"/>
        <w:tblW w:type="pct" w:w="0.0"/>
      </w:tblPr>
      <w:tblGrid/>
      <w:tr>
        <w:tc>
          <w:tcPr>
            <w:tcBorders>
              <w:bottom w:val="single"/>
            </w:tcBorders>
            <w:vAlign w:val="bottom"/>
          </w:tcPr>
          <w:p>
            <w:pPr>
              <w:pStyle w:val="Compact"/>
              <w:jc w:val="left"/>
            </w:pPr>
            <w:r>
              <w:t xml:space="preserve">Most Advanced Finding</w:t>
            </w:r>
          </w:p>
        </w:tc>
        <w:tc>
          <w:tcPr>
            <w:tcBorders>
              <w:bottom w:val="single"/>
            </w:tcBorders>
            <w:vAlign w:val="bottom"/>
          </w:tcPr>
          <w:p>
            <w:pPr>
              <w:pStyle w:val="Compact"/>
            </w:pPr>
          </w:p>
        </w:tc>
        <w:tc>
          <w:tcPr>
            <w:tcBorders>
              <w:bottom w:val="single"/>
            </w:tcBorders>
            <w:vAlign w:val="bottom"/>
          </w:tcPr>
          <w:p>
            <w:pPr>
              <w:pStyle w:val="Compact"/>
              <w:jc w:val="left"/>
            </w:pPr>
            <w:r>
              <w:t xml:space="preserve">combined model</w:t>
            </w:r>
          </w:p>
        </w:tc>
        <w:tc>
          <w:tcPr>
            <w:tcBorders>
              <w:bottom w:val="single"/>
            </w:tcBorders>
            <w:vAlign w:val="bottom"/>
          </w:tcPr>
          <w:p>
            <w:pPr>
              <w:pStyle w:val="Compact"/>
            </w:pPr>
          </w:p>
        </w:tc>
        <w:tc>
          <w:tcPr>
            <w:tcBorders>
              <w:bottom w:val="single"/>
            </w:tcBorders>
            <w:vAlign w:val="bottom"/>
          </w:tcPr>
          <w:p>
            <w:pPr>
              <w:pStyle w:val="Compact"/>
              <w:jc w:val="left"/>
            </w:pPr>
            <w:r>
              <w:t xml:space="preserve">FIT</w:t>
            </w:r>
          </w:p>
        </w:tc>
        <w:tc>
          <w:tcPr>
            <w:tcBorders>
              <w:bottom w:val="single"/>
            </w:tcBorders>
            <w:vAlign w:val="bottom"/>
          </w:tcPr>
          <w:p>
            <w:pPr>
              <w:pStyle w:val="Compact"/>
            </w:pPr>
          </w:p>
        </w:tc>
      </w:tr>
      <w:tr>
        <w:tc>
          <w:p>
            <w:pPr>
              <w:pStyle w:val="Compact"/>
            </w:pPr>
          </w:p>
        </w:tc>
        <w:tc>
          <w:p>
            <w:pPr>
              <w:pStyle w:val="Compact"/>
            </w:pPr>
          </w:p>
        </w:tc>
        <w:tc>
          <w:p>
            <w:pPr>
              <w:pStyle w:val="Compact"/>
              <w:jc w:val="left"/>
            </w:pPr>
            <w:r>
              <w:t xml:space="preserve">Positive Results</w:t>
            </w:r>
          </w:p>
        </w:tc>
        <w:tc>
          <w:p>
            <w:pPr>
              <w:pStyle w:val="Compact"/>
              <w:jc w:val="left"/>
            </w:pPr>
            <w:r>
              <w:t xml:space="preserve">Sensitivity (95% CI)</w:t>
            </w:r>
          </w:p>
        </w:tc>
        <w:tc>
          <w:p>
            <w:pPr>
              <w:pStyle w:val="Compact"/>
              <w:jc w:val="left"/>
            </w:pPr>
            <w:r>
              <w:t xml:space="preserve">Positive Results</w:t>
            </w:r>
          </w:p>
        </w:tc>
        <w:tc>
          <w:p>
            <w:pPr>
              <w:pStyle w:val="Compact"/>
              <w:jc w:val="left"/>
            </w:pPr>
            <w:r>
              <w:t xml:space="preserve">Sensitivity (95% CI)</w:t>
            </w:r>
          </w:p>
        </w:tc>
      </w:tr>
      <w:tr>
        <w:tc>
          <w:p>
            <w:pPr>
              <w:pStyle w:val="Compact"/>
            </w:pPr>
          </w:p>
        </w:tc>
        <w:tc>
          <w:p>
            <w:pPr>
              <w:pStyle w:val="Compact"/>
              <w:jc w:val="left"/>
            </w:pPr>
            <w:r>
              <w:t xml:space="preserve">no.</w:t>
            </w:r>
          </w:p>
        </w:tc>
        <w:tc>
          <w:p>
            <w:pPr>
              <w:pStyle w:val="Compact"/>
              <w:jc w:val="left"/>
            </w:pPr>
            <w:r>
              <w:t xml:space="preserve">no.</w:t>
            </w:r>
          </w:p>
        </w:tc>
        <w:tc>
          <w:p>
            <w:pPr>
              <w:pStyle w:val="Compact"/>
              <w:jc w:val="left"/>
            </w:pPr>
            <w:r>
              <w:t xml:space="preserve">%</w:t>
            </w:r>
          </w:p>
        </w:tc>
        <w:tc>
          <w:p>
            <w:pPr>
              <w:pStyle w:val="Compact"/>
              <w:jc w:val="left"/>
            </w:pPr>
            <w:r>
              <w:t xml:space="preserve">no.</w:t>
            </w:r>
          </w:p>
        </w:tc>
        <w:tc>
          <w:p>
            <w:pPr>
              <w:pStyle w:val="Compact"/>
              <w:jc w:val="left"/>
            </w:pPr>
            <w:r>
              <w:t xml:space="preserve">%</w:t>
            </w:r>
          </w:p>
        </w:tc>
      </w:tr>
      <w:tr>
        <w:tc>
          <w:p>
            <w:pPr>
              <w:pStyle w:val="Compact"/>
              <w:jc w:val="left"/>
            </w:pPr>
            <w:r>
              <w:t xml:space="preserve">Cancer</w:t>
            </w:r>
          </w:p>
        </w:tc>
        <w:tc>
          <w:p>
            <w:pPr>
              <w:pStyle w:val="Compact"/>
              <w:jc w:val="left"/>
            </w:pPr>
            <w:r>
              <w:t xml:space="preserve">120</w:t>
            </w:r>
          </w:p>
        </w:tc>
        <w:tc>
          <w:p>
            <w:pPr>
              <w:pStyle w:val="Compact"/>
              <w:jc w:val="left"/>
            </w:pPr>
            <w:r>
              <w:t xml:space="preserve">114</w:t>
            </w:r>
          </w:p>
        </w:tc>
        <w:tc>
          <w:p>
            <w:pPr>
              <w:pStyle w:val="Compact"/>
              <w:jc w:val="left"/>
            </w:pPr>
            <w:r>
              <w:t xml:space="preserve">95 (90.8-98.3)</w:t>
            </w:r>
          </w:p>
        </w:tc>
        <w:tc>
          <w:p>
            <w:pPr>
              <w:pStyle w:val="Compact"/>
              <w:jc w:val="left"/>
            </w:pPr>
            <w:r>
              <w:t xml:space="preserve">90</w:t>
            </w:r>
          </w:p>
        </w:tc>
        <w:tc>
          <w:p>
            <w:pPr>
              <w:pStyle w:val="Compact"/>
              <w:jc w:val="left"/>
            </w:pPr>
            <w:r>
              <w:t xml:space="preserve">75 (67.5-82.5)</w:t>
            </w:r>
          </w:p>
        </w:tc>
      </w:tr>
      <w:tr>
        <w:tc>
          <w:p>
            <w:pPr>
              <w:pStyle w:val="Compact"/>
              <w:jc w:val="left"/>
            </w:pPr>
            <w:r>
              <w:t xml:space="preserve">Advanced Adenoma</w:t>
            </w:r>
          </w:p>
        </w:tc>
        <w:tc>
          <w:p>
            <w:pPr>
              <w:pStyle w:val="Compact"/>
              <w:jc w:val="left"/>
            </w:pPr>
            <w:r>
              <w:t xml:space="preserve">109</w:t>
            </w:r>
          </w:p>
        </w:tc>
        <w:tc>
          <w:p>
            <w:pPr>
              <w:pStyle w:val="Compact"/>
              <w:jc w:val="left"/>
            </w:pPr>
            <w:r>
              <w:t xml:space="preserve">64</w:t>
            </w:r>
          </w:p>
        </w:tc>
        <w:tc>
          <w:p>
            <w:pPr>
              <w:pStyle w:val="Compact"/>
              <w:jc w:val="left"/>
            </w:pPr>
            <w:r>
              <w:t xml:space="preserve">58.7 (49.5-67.9)</w:t>
            </w:r>
          </w:p>
        </w:tc>
        <w:tc>
          <w:p>
            <w:pPr>
              <w:pStyle w:val="Compact"/>
              <w:jc w:val="left"/>
            </w:pPr>
            <w:r>
              <w:t xml:space="preserve">21</w:t>
            </w:r>
          </w:p>
        </w:tc>
        <w:tc>
          <w:p>
            <w:pPr>
              <w:pStyle w:val="Compact"/>
              <w:jc w:val="left"/>
            </w:pPr>
            <w:r>
              <w:t xml:space="preserve">19.3 (11.9-26.6)</w:t>
            </w:r>
          </w:p>
        </w:tc>
      </w:tr>
      <w:tr>
        <w:tc>
          <w:p>
            <w:pPr>
              <w:pStyle w:val="Compact"/>
              <w:jc w:val="left"/>
            </w:pPr>
            <w:r>
              <w:t xml:space="preserve">Nonadvanced Adenoma</w:t>
            </w:r>
          </w:p>
        </w:tc>
        <w:tc>
          <w:p>
            <w:pPr>
              <w:pStyle w:val="Compact"/>
              <w:jc w:val="left"/>
            </w:pPr>
            <w:r>
              <w:t xml:space="preserve">89</w:t>
            </w:r>
          </w:p>
        </w:tc>
        <w:tc>
          <w:p>
            <w:pPr>
              <w:pStyle w:val="Compact"/>
              <w:jc w:val="left"/>
            </w:pPr>
            <w:r>
              <w:t xml:space="preserve">49</w:t>
            </w:r>
          </w:p>
        </w:tc>
        <w:tc>
          <w:p>
            <w:pPr>
              <w:pStyle w:val="Compact"/>
              <w:jc w:val="left"/>
            </w:pPr>
            <w:r>
              <w:t xml:space="preserve">55.1 (43.8-65.2)</w:t>
            </w:r>
          </w:p>
        </w:tc>
        <w:tc>
          <w:p>
            <w:pPr>
              <w:pStyle w:val="Compact"/>
              <w:jc w:val="left"/>
            </w:pPr>
            <w:r>
              <w:t xml:space="preserve">10</w:t>
            </w:r>
          </w:p>
        </w:tc>
        <w:tc>
          <w:p>
            <w:pPr>
              <w:pStyle w:val="Compact"/>
              <w:jc w:val="left"/>
            </w:pPr>
            <w:r>
              <w:t xml:space="preserve">11.2 (5.62-18)</w:t>
            </w:r>
          </w:p>
        </w:tc>
      </w:tr>
      <w:tr>
        <w:tc>
          <w:p>
            <w:pPr>
              <w:pStyle w:val="Compact"/>
              <w:jc w:val="left"/>
            </w:pPr>
            <w:r>
              <w:t xml:space="preserve">Any Lesion</w:t>
            </w:r>
          </w:p>
        </w:tc>
        <w:tc>
          <w:p>
            <w:pPr>
              <w:pStyle w:val="Compact"/>
              <w:jc w:val="left"/>
            </w:pPr>
            <w:r>
              <w:t xml:space="preserve">318</w:t>
            </w:r>
          </w:p>
        </w:tc>
        <w:tc>
          <w:p>
            <w:pPr>
              <w:pStyle w:val="Compact"/>
              <w:jc w:val="left"/>
            </w:pPr>
            <w:r>
              <w:t xml:space="preserve">227</w:t>
            </w:r>
          </w:p>
        </w:tc>
        <w:tc>
          <w:p>
            <w:pPr>
              <w:pStyle w:val="Compact"/>
              <w:jc w:val="left"/>
            </w:pPr>
            <w:r>
              <w:t xml:space="preserve">71.4 (66.4-76.4)</w:t>
            </w:r>
          </w:p>
        </w:tc>
        <w:tc>
          <w:p>
            <w:pPr>
              <w:pStyle w:val="Compact"/>
              <w:jc w:val="left"/>
            </w:pPr>
            <w:r>
              <w:t xml:space="preserve">121</w:t>
            </w:r>
          </w:p>
        </w:tc>
        <w:tc>
          <w:p>
            <w:pPr>
              <w:pStyle w:val="Compact"/>
              <w:jc w:val="left"/>
            </w:pPr>
            <w:r>
              <w:t xml:space="preserve">38.1 (32.7-43.4)</w:t>
            </w:r>
          </w:p>
        </w:tc>
      </w:tr>
      <w:tr>
        <w:tc>
          <w:p>
            <w:pPr>
              <w:pStyle w:val="Compact"/>
            </w:pPr>
          </w:p>
        </w:tc>
        <w:tc>
          <w:p>
            <w:pPr>
              <w:pStyle w:val="Compact"/>
            </w:pPr>
          </w:p>
        </w:tc>
        <w:tc>
          <w:p>
            <w:pPr>
              <w:pStyle w:val="Compact"/>
              <w:jc w:val="left"/>
            </w:pPr>
            <w:r>
              <w:t xml:space="preserve">Negative Results</w:t>
            </w:r>
          </w:p>
        </w:tc>
        <w:tc>
          <w:p>
            <w:pPr>
              <w:pStyle w:val="Compact"/>
              <w:jc w:val="left"/>
            </w:pPr>
            <w:r>
              <w:t xml:space="preserve">Specificity (95% CI)</w:t>
            </w:r>
          </w:p>
        </w:tc>
        <w:tc>
          <w:p>
            <w:pPr>
              <w:pStyle w:val="Compact"/>
              <w:jc w:val="left"/>
            </w:pPr>
            <w:r>
              <w:t xml:space="preserve">Negative Results</w:t>
            </w:r>
          </w:p>
        </w:tc>
        <w:tc>
          <w:p>
            <w:pPr>
              <w:pStyle w:val="Compact"/>
              <w:jc w:val="left"/>
            </w:pPr>
            <w:r>
              <w:t xml:space="preserve">Specificity (95% CI)</w:t>
            </w:r>
          </w:p>
        </w:tc>
      </w:tr>
      <w:tr>
        <w:tc>
          <w:p>
            <w:pPr>
              <w:pStyle w:val="Compact"/>
              <w:jc w:val="left"/>
            </w:pPr>
            <w:r>
              <w:t xml:space="preserve">Negative Colonosopies</w:t>
            </w:r>
          </w:p>
        </w:tc>
        <w:tc>
          <w:p>
            <w:pPr>
              <w:pStyle w:val="Compact"/>
              <w:jc w:val="left"/>
            </w:pPr>
            <w:r>
              <w:t xml:space="preserve">172</w:t>
            </w:r>
          </w:p>
        </w:tc>
        <w:tc>
          <w:p>
            <w:pPr>
              <w:pStyle w:val="Compact"/>
              <w:jc w:val="left"/>
            </w:pPr>
            <w:r>
              <w:t xml:space="preserve">144</w:t>
            </w:r>
          </w:p>
        </w:tc>
        <w:tc>
          <w:p>
            <w:pPr>
              <w:pStyle w:val="Compact"/>
              <w:jc w:val="left"/>
            </w:pPr>
            <w:r>
              <w:t xml:space="preserve">83.7 (77.9-89)</w:t>
            </w:r>
          </w:p>
        </w:tc>
        <w:tc>
          <w:p>
            <w:pPr>
              <w:pStyle w:val="Compact"/>
              <w:jc w:val="left"/>
            </w:pPr>
            <w:r>
              <w:t xml:space="preserve">167</w:t>
            </w:r>
          </w:p>
        </w:tc>
        <w:tc>
          <w:p>
            <w:pPr>
              <w:pStyle w:val="Compact"/>
              <w:jc w:val="left"/>
            </w:pPr>
            <w:r>
              <w:t xml:space="preserve">97.1 (94.2-99.4)</w:t>
            </w:r>
          </w:p>
        </w:tc>
      </w:tr>
    </w:tbl>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1"/>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3878">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59dea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
</cp:coreProperties>
</file>