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31.png" ContentType="image/png"/>
  <Override PartName="/word/media/rId32.png" ContentType="image/png"/>
  <Override PartName="/word/media/rId33.png" ContentType="image/png"/>
  <Override PartName="/word/media/rId35.png" ContentType="image/png"/>
  <Override PartName="/word/media/rId26.png" ContentType="image/png"/>
  <Override PartName="/word/media/rId28.png" ContentType="image/png"/>
  <Override PartName="/word/media/rId29.png" ContentType="image/png"/>
  <Override PartName="/word/media/rId34.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Microbiota</w:t>
      </w:r>
      <w:r>
        <w:t xml:space="preserve"> </w:t>
      </w:r>
      <w:r>
        <w:t xml:space="preserve">analysis</w:t>
      </w:r>
      <w:r>
        <w:t xml:space="preserve"> </w:t>
      </w:r>
      <w:r>
        <w:t xml:space="preserve">complements</w:t>
      </w:r>
      <w:r>
        <w:t xml:space="preserve"> </w:t>
      </w:r>
      <w:r>
        <w:t xml:space="preserve">fecal</w:t>
      </w:r>
      <w:r>
        <w:t xml:space="preserve"> </w:t>
      </w:r>
      <w:r>
        <w:t xml:space="preserve">immunochemical</w:t>
      </w:r>
      <w:r>
        <w:t xml:space="preserve"> </w:t>
      </w:r>
      <w:r>
        <w:t xml:space="preserve">test</w:t>
      </w:r>
      <w:r>
        <w:t xml:space="preserve"> </w:t>
      </w:r>
      <w:r>
        <w:t xml:space="preserve">for</w:t>
      </w:r>
      <w:r>
        <w:t xml:space="preserve"> </w:t>
      </w:r>
      <w:r>
        <w:t xml:space="preserve">detection</w:t>
      </w:r>
      <w:r>
        <w:t xml:space="preserve"> </w:t>
      </w:r>
      <w:r>
        <w:t xml:space="preserve">of</w:t>
      </w:r>
      <w:r>
        <w:t xml:space="preserve"> </w:t>
      </w:r>
      <w:r>
        <w:t xml:space="preserve">colonic</w:t>
      </w:r>
      <w:r>
        <w:t xml:space="preserve"> </w:t>
      </w:r>
      <w:r>
        <w:t xml:space="preserve">lesions</w:t>
      </w:r>
    </w:p>
    <w:p>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Correspondence to:</w:t>
      </w:r>
      <w:r>
        <w:t xml:space="preserve"> </w:t>
      </w:r>
      <w:hyperlink r:id="rId21">
        <w:r>
          <w:rPr>
            <w:rStyle w:val="Link"/>
          </w:rPr>
          <w:t xml:space="preserve">pschloss@umich.edu</w:t>
        </w:r>
      </w:hyperlink>
    </w:p>
    <w:p>
      <w:r>
        <w:rPr>
          <w:b/>
        </w:rPr>
        <w:t xml:space="preserve">Colorectal cancer is the second leading cause of death among cancers in the United States</w:t>
      </w:r>
      <w:r>
        <w:rPr>
          <w:vertAlign w:val="superscript"/>
          <w:b/>
        </w:rPr>
        <w:t xml:space="preserve">1</w:t>
      </w:r>
      <w:r>
        <w:rPr>
          <w:b/>
        </w:rPr>
        <w:t xml:space="preserve">. Although individuals diagnosed early have a greater than 90% chance of survival, more than one-third of individuals do not adhere to screening recommendations partly because the standard diagnostics, colonoscopy and sigmoidocsopy, are expensive and invasive</w:t>
      </w:r>
      <w:r>
        <w:rPr>
          <w:vertAlign w:val="superscript"/>
          <w:b/>
        </w:rPr>
        <w:t xml:space="preserve">1–4</w:t>
      </w:r>
      <w:r>
        <w:rPr>
          <w:b/>
        </w:rPr>
        <w:t xml:space="preserve">. Thus, there is a great need to improve the sensitivity of non-invasive tests to detect early stage cancers and adenomas. Numerous studies have demonstrated a causal link between the formation of colonic lesions and the activity of the gut microbiota in tissue culture and animal models</w:t>
      </w:r>
      <w:r>
        <w:rPr>
          <w:vertAlign w:val="superscript"/>
          <w:b/>
        </w:rPr>
        <w:t xml:space="preserve">5–8</w:t>
      </w:r>
      <w:r>
        <w:rPr>
          <w:b/>
        </w:rPr>
        <w:t xml:space="preserve">. These findings have been complemented by studies in human populations identifying shifts in the composition of the gut microbiota associated with the progression of colorectal cancer</w:t>
      </w:r>
      <w:r>
        <w:rPr>
          <w:vertAlign w:val="superscript"/>
          <w:b/>
        </w:rPr>
        <w:t xml:space="preserve">9–13</w:t>
      </w:r>
      <w:r>
        <w:rPr>
          <w:b/>
        </w:rPr>
        <w:t xml:space="preserve">. These results suggest that the gut microbiota may represent a reservoir of biomarkers that would complement existing non-invasive methods such as the widely used fecal immunochemical test (FIT). Using stool samples from 490 patients we developed a cross-validated random forest classification model that detects colonic lesions using the relative abundance of gut microbiota and the concentration of hemoglobin in stool. The microbiota-based random forest model detected 95.0% of cancers and 57.1% of adenomas while FIT alone only detected 75.0% and 15.7%, respectively. Of the colonic lesions missed by FIT, the model detected 80.0% of cancers and 49.1% of adenomas. These findings demonstrate the potential for microbiota analysis to complement existing screening methods to improve detection of colonic lesions. With a negative predictive value of 99.98%, our model could be used to accurately identify those patients for whom a colonoscopy is unnecessary, potentially reducing healthcare costs and complications due to invasive screening.</w:t>
      </w:r>
    </w:p>
    <w:p>
      <w:r>
        <w:t xml:space="preserve">CRC incidence and mortality have steadily declined in recent decades, due in large part to increased screening</w:t>
      </w:r>
      <w:r>
        <w:rPr>
          <w:vertAlign w:val="superscript"/>
        </w:rPr>
        <w:t xml:space="preserve">1</w:t>
      </w:r>
      <w:r>
        <w:t xml:space="preserve">. Further progress is possible by increasing access to and accuracy of diagnostic tests. Although structural exams including colonoscopy and sigmoidoscopy are able to detect both adenomas and carcinomas, the high cost and invasive nature are barriers for many people. For example, fear, discomfort, and embarrassment are among the most cited reasons patients choose to forego CRC screening</w:t>
      </w:r>
      <w:r>
        <w:rPr>
          <w:vertAlign w:val="superscript"/>
        </w:rPr>
        <w:t xml:space="preserve">4</w:t>
      </w:r>
      <w:r>
        <w:t xml:space="preserve">. Likewise the large disparity in screening rates between those with and without health insurance highlights the need for inexpensive screening methods</w:t>
      </w:r>
      <w:r>
        <w:rPr>
          <w:vertAlign w:val="superscript"/>
        </w:rPr>
        <w:t xml:space="preserve">1–3</w:t>
      </w:r>
      <w:r>
        <w:t xml:space="preserve">. Unfortunately cheaper, less invasive stool-based tests like guaic fecal occult blood test and FIT are unable to reliably detect adenomas</w:t>
      </w:r>
      <w:r>
        <w:rPr>
          <w:vertAlign w:val="superscript"/>
        </w:rPr>
        <w:t xml:space="preserve">14</w:t>
      </w:r>
      <w:r>
        <w:t xml:space="preserve">. Thus there is need for novel screening methods that are inexpensive and capable of detecting both cancer and adenomas.</w:t>
      </w:r>
    </w:p>
    <w:p>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w:t>
      </w:r>
      <w:r>
        <w:rPr>
          <w:vertAlign w:val="superscript"/>
        </w:rPr>
        <w:t xml:space="preserve">9–13</w:t>
      </w:r>
      <w:r>
        <w:t xml:space="preserve">. Experiments in animal models have demonstrated that such alterations have the potential to accelerate tumorigenesis</w:t>
      </w:r>
      <w:r>
        <w:rPr>
          <w:vertAlign w:val="superscript"/>
        </w:rPr>
        <w:t xml:space="preserve">5</w:t>
      </w:r>
      <w:r>
        <w:t xml:space="preserve">. Furthermore several members of the gut microbiota have been shown to potentiate both the development and progression of CRC by a variety of mechanisms</w:t>
      </w:r>
      <w:r>
        <w:rPr>
          <w:vertAlign w:val="superscript"/>
        </w:rPr>
        <w:t xml:space="preserve">6–8</w:t>
      </w:r>
      <w:r>
        <w:t xml:space="preserve">. Although each of these organisms may play a role in certain cases of CRC, none of them is present in every case. Therefore no one organism is an effective biomarker on its own, and focusing on a single bacterial population excludes the potential that the microbial etiology of the disease is actually polymicrobial.</w:t>
      </w:r>
    </w:p>
    <w:p>
      <w:r>
        <w:t xml:space="preserve">We and others have shown that statistical models that take into account the abundances of multiple bacteria species can be used to distinguish healthy individuals from those with CRC</w:t>
      </w:r>
      <w:r>
        <w:rPr>
          <w:vertAlign w:val="superscript"/>
        </w:rPr>
        <w:t xml:space="preserve">15,16</w:t>
      </w:r>
      <w:r>
        <w:t xml:space="preserve">. In the present study we expanded upon those findings by demonstrating the potential for microbiota analysis to complement FIT for improved detection of colonic lesions, including adenomas. We also improved upon previous studies by utilizing random forest, a decision tree-based machine algorithm for classification, which includes an internal cross-validation to prevent overfitting</w:t>
      </w:r>
      <w:r>
        <w:rPr>
          <w:vertAlign w:val="superscript"/>
        </w:rPr>
        <w:t xml:space="preserve">17</w:t>
      </w:r>
      <w:r>
        <w:t xml:space="preserve">. By incorporating both FIT and bacterial abundances into a single model, we were able to improve the sensitivity for adenomas and cancer compared to FIT alone.</w:t>
      </w:r>
    </w:p>
    <w:p>
      <w:r>
        <w:t xml:space="preserve">We characterized the bacterial communities of stool samples from 490 patients using 16S rRNA gene sequencing. Among these patients, 120 had CRC, 198 had colonic adenomas, and 172 had no colonic lesions. We also tested each sample for the concentraion of occult blood using FIT. With these data we developed a random forest model that incorporated the microbiota and FIT data and would differentiate normal individuals from those with any type of colonic lesion (i.e. adenoma or carcinoma). We determined the optimal model using the AUC-RF algorithm for maximizing the area under the curve (AUC) of the receiver operator characteristic (ROC) curve for the combined model</w:t>
      </w:r>
      <w:r>
        <w:rPr>
          <w:vertAlign w:val="superscript"/>
        </w:rPr>
        <w:t xml:space="preserve">18</w:t>
      </w:r>
      <w:r>
        <w:t xml:space="preserve">. The optimal model combining FIT and the microbiota used 23 bacterial populations, or operational taxonomic units (OTUs) (Extended Data Fig. 1). Of those OTUs, 16 were members of the Firmicutes phylum, including 3 from the Ruminococcaceae family and 10 from the Lachnospiraceae family, the predominant producers of butyrate in the gut</w:t>
      </w:r>
      <w:r>
        <w:rPr>
          <w:vertAlign w:val="superscript"/>
        </w:rPr>
        <w:t xml:space="preserve">19</w:t>
      </w:r>
      <w:r>
        <w:t xml:space="preserve">. Three OTUs were associated with the genus</w:t>
      </w:r>
      <w:r>
        <w:t xml:space="preserve"> </w:t>
      </w:r>
      <w:r>
        <w:rPr>
          <w:i/>
        </w:rPr>
        <w:t xml:space="preserve">Bacteroides</w:t>
      </w:r>
      <w:r>
        <w:t xml:space="preserve">. The remaining OTUs were associated with</w:t>
      </w:r>
      <w:r>
        <w:t xml:space="preserve"> </w:t>
      </w:r>
      <w:r>
        <w:rPr>
          <w:i/>
        </w:rPr>
        <w:t xml:space="preserve">Porphyromonas</w:t>
      </w:r>
      <w:r>
        <w:t xml:space="preserve">,</w:t>
      </w:r>
      <w:r>
        <w:t xml:space="preserve"> </w:t>
      </w:r>
      <w:r>
        <w:rPr>
          <w:i/>
        </w:rPr>
        <w:t xml:space="preserve">Parabacteroides</w:t>
      </w:r>
      <w:r>
        <w:t xml:space="preserve">,</w:t>
      </w:r>
      <w:r>
        <w:t xml:space="preserve"> </w:t>
      </w:r>
      <w:r>
        <w:rPr>
          <w:i/>
        </w:rPr>
        <w:t xml:space="preserve">Collinsella</w:t>
      </w:r>
      <w:r>
        <w:t xml:space="preserve">, and Enterobacteriaceae. The OTU associated with</w:t>
      </w:r>
      <w:r>
        <w:t xml:space="preserve"> </w:t>
      </w:r>
      <w:r>
        <w:rPr>
          <w:i/>
        </w:rPr>
        <w:t xml:space="preserve">Porphyromonas</w:t>
      </w:r>
      <w:r>
        <w:t xml:space="preserve"> </w:t>
      </w:r>
      <w:r>
        <w:t xml:space="preserve">was most closely related to</w:t>
      </w:r>
      <w:r>
        <w:t xml:space="preserve"> </w:t>
      </w:r>
      <w:r>
        <w:rPr>
          <w:i/>
        </w:rPr>
        <w:t xml:space="preserve">Porphyromonas asaccharolytica</w:t>
      </w:r>
      <w:r>
        <w:t xml:space="preserve">, which has been previously shown to be predictive of CRC</w:t>
      </w:r>
      <w:r>
        <w:rPr>
          <w:vertAlign w:val="superscript"/>
        </w:rPr>
        <w:t xml:space="preserve">15,20</w:t>
      </w:r>
      <w:r>
        <w:t xml:space="preserve">. Like many other studies we observed an OTU associated</w:t>
      </w:r>
      <w:r>
        <w:t xml:space="preserve"> </w:t>
      </w:r>
      <w:r>
        <w:rPr>
          <w:i/>
        </w:rPr>
        <w:t xml:space="preserve">Fusobacterium nucleatum</w:t>
      </w:r>
      <w:r>
        <w:t xml:space="preserve"> </w:t>
      </w:r>
      <w:r>
        <w:t xml:space="preserve">that was enriched in cancer samples, however its relative abundance did not add sufficient information to be inclued in the model. Interestingly the majority of OTUs used in the model, especially the Lachnospiraceae, were enriched in normal patients, suggesting that a loss of beneficial organisms in addition to the emergence of pathogens may be indicative of CRC development.</w:t>
      </w:r>
    </w:p>
    <w:p>
      <w:r>
        <w:t xml:space="preserve">To determine whether microbiota sequence data could be used to complement FIT, we compared the performance of the combined model to using FIT alone. The AUC for the combined model (AUC=0.755) was significantly higher than FIT alone (AUC=0.639) for distinguishing adenoma from normal (p&lt;0.001) or all lesions from normal (FIT AUC=0.749, model AUC=0.829, p&lt;0.001), but not cancer from normal (FIT AUC=0.929, model AUC=0.952, p=0.091) (Fig. 1A). Comparison of the ROC curves for the combined model and FIT showed that the combined model did not outperform FIT for detecting lesions until the specificity dropped below approximately 93%, at which point the sensitivity of the combined model greatly exceeded that of FIT.</w:t>
      </w:r>
    </w:p>
    <w:p>
      <w:r>
        <w:t xml:space="preserve">To generate a categorical prediction from the combined model, we determined that the optimal threshold for the combined model's probability was 0.622 using Youden's J statisitc</w:t>
      </w:r>
      <w:r>
        <w:rPr>
          <w:vertAlign w:val="superscript"/>
        </w:rPr>
        <w:t xml:space="preserve">21</w:t>
      </w:r>
      <w:r>
        <w:t xml:space="preserve">. Samples scoring above this cutoff were classified as lesions, and those below the cutoff were classified as normal. We then compared the sensitivity and specificity of the combined model to those of FIT using the manufacturer recommended threshold of 100 ng/ml of hemoglobin. At these cutoffs the combined model detected 95.0% of cancers and 57.1% of adenomas compared to 75.0% and 15.7% for FIT (Table 1, Fig. 1B). When adenomas and cancers were pooled together, the combined model detected 71.4% of lesions, while FIT only detected 38.1%. The combined model significantly improved sensitivity for both advanced and non-advanced adenomas as well as multiple stages of cancer (Fig. 2). The increased sensitivity of the combined model was accompanied by a decrease in specificity (83.7%) compared to FIT (97.1%).</w:t>
      </w:r>
    </w:p>
    <w:p>
      <w:r>
        <w:t xml:space="preserve">To better understand the relationship between the combined model and FIT, we compared the results of the two tests for each sample (Fig. 3). All samples that tested positive by FIT also tested positive in the combined model, indicating that the combined model did not miss any of the lesions that FIT was able to detect. However the combined model was able to detect 80% of cancers and 49.1% of adenomas that FIT had failed to detect, while maintaining a specificity of 86.2% (Extended Data Fig. 3). This result demonstrated that incorporation of data from a subject's microbiota complemented FIT to improve its sensitivity.</w:t>
      </w:r>
    </w:p>
    <w:p>
      <w:r>
        <w:t xml:space="preserve">As a final metric of our model's performance, we estimated the positive predictive value (PPV) and negative predictive value (NPV) by extrapolating its performance on an average-risk population using previously published values for CRC prevalence</w:t>
      </w:r>
      <w:r>
        <w:rPr>
          <w:vertAlign w:val="superscript"/>
        </w:rPr>
        <w:t xml:space="preserve">22</w:t>
      </w:r>
      <w:r>
        <w:t xml:space="preserve"> </w:t>
      </w:r>
      <w:r>
        <w:t xml:space="preserve">(Extended Data Table 2). Based on a prevalence of 0.3% for CRC, the model would have a relatively low PPV of 1.73%, but a high NPV of 99.98%. Based on a prevalence of 5.7% for advanced adenomas the model would have a PPV of 17.9% and NPV of 97.1%. Based on a prevalence of 17.7% for nonadvanced adenomas, the PPV for the model would be 42.1% and the NPV would be 89.6%. Although the PPV is quite low relative to FIT, its NPV was higher than that of FIT (Extended Data Table 2). These results indicate that the combined model would be highly effective at identifying individuals that would not need a more invasive test.</w:t>
      </w:r>
    </w:p>
    <w:p>
      <w:r>
        <w:t xml:space="preserve">Previous studies have identified differences in diagnostic test performance for certain demographic groups or for people taking certain medications</w:t>
      </w:r>
      <w:r>
        <w:rPr>
          <w:vertAlign w:val="superscript"/>
        </w:rPr>
        <w:t xml:space="preserve">23–25</w:t>
      </w:r>
      <w:r>
        <w:t xml:space="preserve">. Therefore we tested whether the combined model performance differed between patient populations. We found no difference in model performance according to age, BMI, NSAID usage, diabetes, smoking, or previous history of polyps (all p&gt;0.05). However the model was significantly better at differentiating normal from lesion for females than for males (p=0.016; Extended Data Fig. 4). For females the model detected 73.5% of lesions with a specificity of 89.2%. For males the model detected 69.9% of lesions with a specificity of 73.8%. However the model did have a higher sensitivity for cancer among males (98.5%) than females (90.4%).</w:t>
      </w:r>
    </w:p>
    <w:p>
      <w:r>
        <w:t xml:space="preserve">Similar to our results, it has recently been shown that when FIT was combined with host-associated DNA biomarkers the ability to detect adenomas and carcinomas was significantly improved over FIT alone</w:t>
      </w:r>
      <w:r>
        <w:rPr>
          <w:vertAlign w:val="superscript"/>
        </w:rPr>
        <w:t xml:space="preserve">26</w:t>
      </w:r>
      <w:r>
        <w:t xml:space="preserve">. Such results support the assertion that because of the large interpersonal variation in markers for adenomas and carcinomas, it is necessary to employ a panel of biomarkers and to use a model that integrates across the biomarkers. The accuracy of our model may be further improved by incorporating additional biomarkers such as the host-associated biomarkers or those targeting specific genes that encode for toxins</w:t>
      </w:r>
      <w:r>
        <w:rPr>
          <w:vertAlign w:val="superscript"/>
        </w:rPr>
        <w:t xml:space="preserve">7,8,16</w:t>
      </w:r>
      <w:r>
        <w:t xml:space="preserve">. More generally, predictive and diagnostic models for other diseases with a microbial etiology may benefit from a similar approach. For example, we recently demonstrated the ability to detect</w:t>
      </w:r>
      <w:r>
        <w:t xml:space="preserve"> </w:t>
      </w:r>
      <w:r>
        <w:rPr>
          <w:i/>
        </w:rPr>
        <w:t xml:space="preserve">Clostridium difficile</w:t>
      </w:r>
      <w:r>
        <w:t xml:space="preserve"> </w:t>
      </w:r>
      <w:r>
        <w:t xml:space="preserve">infection based on the composition of the microbiota</w:t>
      </w:r>
      <w:r>
        <w:rPr>
          <w:vertAlign w:val="superscript"/>
        </w:rPr>
        <w:t xml:space="preserve">27</w:t>
      </w:r>
      <w:r>
        <w:t xml:space="preserve">. Such models are likely to be useful as microbiota sequencing gains traction as a tool for characterizing health.</w:t>
      </w:r>
    </w:p>
    <w:p>
      <w:r>
        <w:t xml:space="preserve">Our findings demonstrate the potential for combining the analysis of a patient's microbiota with conventional stool-based tests to improve CRC detection. Using the random forest algorithm it was possible to interpret FIT results in the context of the microbiota. The combined model had significantly higher sensitivity for lesions at almost all stages of tumorigenesis. Moreover the model detected the majority of lesions that FIT was unable to detect. The shortcomings of the combined model were its lack of specificity and low PPV. However in the case of CRC, all individuals at average risk in the United States are encouraged to receive regular colonoscopies once they reach the age of 50</w:t>
      </w:r>
      <w:r>
        <w:rPr>
          <w:vertAlign w:val="superscript"/>
        </w:rPr>
        <w:t xml:space="preserve">20</w:t>
      </w:r>
      <w:r>
        <w:t xml:space="preserve">. Therefore the potential value of the combined model is in its high sensitivity and NPV. With a NPV of 99.98%, the model could be used to identify people for whom a colonoscopy is unnecessary. This strategy could result in a decrease in the number of colonoscopies, thereby reducing both the financial costs and potential health risks of more invasive screening methods.</w:t>
      </w:r>
    </w:p>
    <w:p>
      <w:r>
        <w:rPr>
          <w:b/>
        </w:rPr>
        <w:t xml:space="preserve">Methods Summary.</w:t>
      </w:r>
      <w:r>
        <w:t xml:space="preserve"> </w:t>
      </w:r>
      <w:r>
        <w:t xml:space="preserve">Fecal samples were collected from 490 subjects in 4 locations: Toronto (Ontario, Canada), Boston (Massachusetts, USA), Houston (Texas, USA), and Ann Arbor (Michigan, USA). Patient diagnoses were determined by colonoscopy and subsequent histopathological examination. FIT was performed using OC FIT-CHEK sampling bottles and processed using an OC-Auto Micro 80 automated system (Polymedco Inc.). The V4 region of the bacterial 16S rRNA gene was amplified using custom barcoded primers and sequenced as described previously using an Illumina MiSeq sequencer</w:t>
      </w:r>
      <w:r>
        <w:rPr>
          <w:vertAlign w:val="superscript"/>
        </w:rPr>
        <w:t xml:space="preserve">28</w:t>
      </w:r>
      <w:r>
        <w:t xml:space="preserve">. A data analysis pipeline and all necessary scripts to generate this paper are available at github.com/SchlossLab/Baxter_glne007Modeling_2015. The sequence data are available in the Sequence Read Archive under Bioproject Accession XXXXXXXXXXXXX.</w:t>
      </w:r>
    </w:p>
    <w:p>
      <w:pPr>
        <w:pStyle w:val="Heading3"/>
      </w:pPr>
      <w:bookmarkStart w:id="22" w:name="methods-online-only"/>
      <w:bookmarkEnd w:id="22"/>
      <w:r>
        <w:t xml:space="preserve">Methods (online only)</w:t>
      </w:r>
    </w:p>
    <w:p>
      <w:r>
        <w:rPr>
          <w:b/>
          <w:i/>
        </w:rPr>
        <w:t xml:space="preserve">Study Design/Patient sampling.</w:t>
      </w:r>
      <w:r>
        <w:t xml:space="preserve"> </w:t>
      </w:r>
      <w:r>
        <w:t xml:space="preserve">Eligible patients for this study were at least 18 years old, willing to sign informed consent, able to tolerate removal of 58 ml of blood, and willing to collect a stool sample. Patients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Lesions were biopsied and diagnosed as adenoma or cancer based on subsequent histopathological examination. While colonic lesions were still intact, whole evacuated stool was collected from each patient 1 to 2 weeks after their colonoscopy. This has been shown to be sufficient time for the microbiota to recover from colnoscopy preparation</w:t>
      </w:r>
      <w:r>
        <w:rPr>
          <w:vertAlign w:val="superscript"/>
        </w:rPr>
        <w:t xml:space="preserve">29</w:t>
      </w:r>
      <w:r>
        <w:t xml:space="preserve">. Stool samples were packed in ice, shipped to a processing center via next day delivery and stored at -80˚C.</w:t>
      </w:r>
    </w:p>
    <w:p>
      <w:r>
        <w:rPr>
          <w:b/>
          <w:i/>
        </w:rPr>
        <w:t xml:space="preserve">Fecal Immunochemical Tests.</w:t>
      </w:r>
      <w:r>
        <w:t xml:space="preserve"> </w:t>
      </w:r>
      <w:r>
        <w:t xml:space="preserve">Fecal material for FIT was collected from frozen stool aliquots using OC FIT-CHEK sampling bottles (Polymedco Inc.) and processed using an OC-Auto Micro 80 automated system (Polymedco Inc.). Raw FIT results were used for generating ROC curves and for building combined models. Sensitivities and specificities reported for FIT are based on a cutoff of 100 ng/ml.</w:t>
      </w:r>
    </w:p>
    <w:p>
      <w:r>
        <w:rPr>
          <w:b/>
          <w:i/>
        </w:rPr>
        <w:t xml:space="preserve">16S rRNA Sequencing.</w:t>
      </w:r>
      <w:r>
        <w:t xml:space="preserve"> </w:t>
      </w:r>
      <w:r>
        <w:t xml:space="preserve">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rPr>
          <w:vertAlign w:val="superscript"/>
        </w:rPr>
        <w:t xml:space="preserve">28</w:t>
      </w:r>
      <w:r>
        <w:t xml:space="preserve">. The 490 samples were divided into three sequencing runs to increase the per sample sequencing depth. Samples were randomly assigned to the sequencing runs to avoid biasing based on diagnosis or demographics.</w:t>
      </w:r>
    </w:p>
    <w:p>
      <w:r>
        <w:rPr>
          <w:b/>
          <w:i/>
        </w:rPr>
        <w:t xml:space="preserve">Sequence Curation.</w:t>
      </w:r>
      <w:r>
        <w:t xml:space="preserve"> </w:t>
      </w:r>
      <w:r>
        <w:t xml:space="preserve">The 16S rRNA gene sequences were curated using the mothur software package, as described previously</w:t>
      </w:r>
      <w:r>
        <w:rPr>
          <w:vertAlign w:val="superscript"/>
        </w:rPr>
        <w:t xml:space="preserve">28</w:t>
      </w:r>
      <w:r>
        <w:t xml:space="preserve">. Briefly, paired-end reads were merged into contigs, screened for quality, aligned to SILVA 16S rRNA sequence database, and screened for chimeras. Curated sequences were clustered in to operational taxonomic units (OTUs) using a 97% similarity cutoff. The number of sequences in each sample was rarefied to 10,000 per sample to minimize the effects of uneven sampling.</w:t>
      </w:r>
    </w:p>
    <w:p>
      <w:r>
        <w:rPr>
          <w:b/>
          <w:i/>
        </w:rPr>
        <w:t xml:space="preserve">Statistical Methods.</w:t>
      </w:r>
      <w:r>
        <w:t xml:space="preserve"> </w:t>
      </w:r>
      <w:r>
        <w:t xml:space="preserve">All statistical analyses were performed using R. Random Forest models were generated using the AUCRF package</w:t>
      </w:r>
      <w:r>
        <w:rPr>
          <w:vertAlign w:val="superscript"/>
        </w:rPr>
        <w:t xml:space="preserve">18</w:t>
      </w:r>
      <w:r>
        <w:t xml:space="preserve">. The AUC of ROC curves was compared using the method described by DeLong et al.</w:t>
      </w:r>
      <w:r>
        <w:rPr>
          <w:vertAlign w:val="superscript"/>
        </w:rPr>
        <w:t xml:space="preserve">30</w:t>
      </w:r>
      <w:r>
        <w:t xml:space="preserve">. The optimal cutoff for the combined model was determined using Youden's</w:t>
      </w:r>
      <w:r>
        <w:t xml:space="preserve"> </w:t>
      </w:r>
      <w:r>
        <w:rPr>
          <w:i/>
        </w:rPr>
        <w:t xml:space="preserve">J</w:t>
      </w:r>
      <w:r>
        <w:t xml:space="preserve"> </w:t>
      </w:r>
      <w:r>
        <w:t xml:space="preserve">statistic as implemented in the pROC package in R</w:t>
      </w:r>
      <w:r>
        <w:rPr>
          <w:vertAlign w:val="superscript"/>
        </w:rPr>
        <w:t xml:space="preserve">21</w:t>
      </w:r>
      <w:r>
        <w:t xml:space="preserve">. The sensitivities of FIT and the combined model were compared using McNemar's chi-squared test.</w:t>
      </w:r>
    </w:p>
    <w:p>
      <w:r>
        <w:rPr>
          <w:b/>
          <w:i/>
        </w:rPr>
        <w:t xml:space="preserve">Data Availability.</w:t>
      </w:r>
      <w:r>
        <w:t xml:space="preserve"> </w:t>
      </w:r>
      <w:r>
        <w:t xml:space="preserve">Raw fastq files and MIMARKS file are available through the NCBI Sequence Read Archive [insert accession number]. A data analysis pipeline and all necessary scripts are available at github.com/SchlossLab/Baxter_glne007Modeling_2015.</w:t>
      </w:r>
    </w:p>
    <w:p>
      <w:pPr>
        <w:pStyle w:val="Heading3"/>
      </w:pPr>
      <w:bookmarkStart w:id="23" w:name="author-contributions"/>
      <w:bookmarkEnd w:id="23"/>
      <w:r>
        <w:t xml:space="preserve">Author Contributions</w:t>
      </w:r>
    </w:p>
    <w:p>
      <w:r>
        <w:t xml:space="preserve">All authors were involved in the conception and design of the study. NTB processed samples and analyzed the data. All authors interpreted the data. NTB and PDS wrote the manuscript. All authors reviewed and revised the manuscript.</w:t>
      </w:r>
    </w:p>
    <w:p>
      <w:pPr>
        <w:pStyle w:val="Heading3"/>
      </w:pPr>
      <w:bookmarkStart w:id="24" w:name="author-information"/>
      <w:bookmarkEnd w:id="24"/>
      <w:r>
        <w:t xml:space="preserve">Author Information</w:t>
      </w:r>
    </w:p>
    <w:p>
      <w:r>
        <w:t xml:space="preserve">The authors declare no competing financial interests.</w:t>
      </w:r>
    </w:p>
    <w:p>
      <w:pPr>
        <w:pStyle w:val="Heading3"/>
      </w:pPr>
      <w:bookmarkStart w:id="25" w:name="figures"/>
      <w:bookmarkEnd w:id="25"/>
      <w:r>
        <w:t xml:space="preserve">Figures</w:t>
      </w:r>
    </w:p>
    <w:p>
      <w:r>
        <w:drawing>
          <wp:inline>
            <wp:extent cx="6489700" cy="2998059"/>
            <wp:effectExtent b="0" l="0" r="0" t="0"/>
            <wp:docPr descr="" id="1" name="Picture"/>
            <a:graphic>
              <a:graphicData uri="http://schemas.openxmlformats.org/drawingml/2006/picture">
                <pic:pic>
                  <pic:nvPicPr>
                    <pic:cNvPr descr="results/figures/Schloss_fig1.png" id="0" name="Picture"/>
                    <pic:cNvPicPr>
                      <a:picLocks noChangeArrowheads="1" noChangeAspect="1"/>
                    </pic:cNvPicPr>
                  </pic:nvPicPr>
                  <pic:blipFill>
                    <a:blip r:embed="rId26"/>
                    <a:stretch>
                      <a:fillRect/>
                    </a:stretch>
                  </pic:blipFill>
                  <pic:spPr bwMode="auto">
                    <a:xfrm>
                      <a:off x="0" y="0"/>
                      <a:ext cx="6489700" cy="2998059"/>
                    </a:xfrm>
                    <a:prstGeom prst="rect">
                      <a:avLst/>
                    </a:prstGeom>
                    <a:noFill/>
                    <a:ln w="9525">
                      <a:noFill/>
                      <a:headEnd/>
                      <a:tailEnd/>
                    </a:ln>
                  </pic:spPr>
                </pic:pic>
              </a:graphicData>
            </a:graphic>
          </wp:inline>
        </w:drawing>
      </w:r>
      <w:r>
        <w:br w:type="textWrapping"/>
      </w:r>
      <w:r>
        <w:rPr>
          <w:b/>
        </w:rPr>
        <w:t xml:space="preserve">Figure 1.</w:t>
      </w:r>
      <w:r>
        <w:t xml:space="preserve"> </w:t>
      </w:r>
      <w:r>
        <w:t xml:space="preserve">(A) ROC Curves for the combined model (solid lines) and FIT (dashed lines) for distinguishing normal from any lesion (purple), normal from cancer (red) and normal from adenoma (blue). Filled dots show the sensitivity and specificity of the combined model at the optimal cutoff (0.622). Open dots show the sensitivity and specificity of FIT at the 100ng/ml cutoff. (B) Strip charts showing the results for FIT and the combined model. Dashed lines show the cutoff for each test. Points with a FIT result of 0 are jittered to improve visibility.</w:t>
      </w:r>
    </w:p>
    <w:p>
      <w:r>
        <w:drawing>
          <wp:inline>
            <wp:extent cx="6489700" cy="2442117"/>
            <wp:effectExtent b="0" l="0" r="0" t="0"/>
            <wp:docPr descr="" id="1" name="Picture"/>
            <a:graphic>
              <a:graphicData uri="http://schemas.openxmlformats.org/drawingml/2006/picture">
                <pic:pic>
                  <pic:nvPicPr>
                    <pic:cNvPr descr="results/tables/Schloss_table1.png" id="0" name="Picture"/>
                    <pic:cNvPicPr>
                      <a:picLocks noChangeArrowheads="1" noChangeAspect="1"/>
                    </pic:cNvPicPr>
                  </pic:nvPicPr>
                  <pic:blipFill>
                    <a:blip r:embed="rId27"/>
                    <a:stretch>
                      <a:fillRect/>
                    </a:stretch>
                  </pic:blipFill>
                  <pic:spPr bwMode="auto">
                    <a:xfrm>
                      <a:off x="0" y="0"/>
                      <a:ext cx="6489700" cy="2442117"/>
                    </a:xfrm>
                    <a:prstGeom prst="rect">
                      <a:avLst/>
                    </a:prstGeom>
                    <a:noFill/>
                    <a:ln w="9525">
                      <a:noFill/>
                      <a:headEnd/>
                      <a:tailEnd/>
                    </a:ln>
                  </pic:spPr>
                </pic:pic>
              </a:graphicData>
            </a:graphic>
          </wp:inline>
        </w:drawing>
      </w:r>
      <w:r>
        <w:br w:type="textWrapping"/>
      </w:r>
      <w:r>
        <w:rPr>
          <w:b/>
        </w:rPr>
        <w:t xml:space="preserve">Table 1.</w:t>
      </w:r>
      <w:r>
        <w:t xml:space="preserve"> </w:t>
      </w:r>
      <w:r>
        <w:t xml:space="preserve">Table of sensitivities and specificities for the combined model and FIT. The 95% confidence intervals were computed with 2000 stratified bootstrap replicates</w:t>
      </w:r>
    </w:p>
    <w:p>
      <w:r>
        <w:drawing>
          <wp:inline>
            <wp:extent cx="6489700" cy="4326467"/>
            <wp:effectExtent b="0" l="0" r="0" t="0"/>
            <wp:docPr descr="" id="1" name="Picture"/>
            <a:graphic>
              <a:graphicData uri="http://schemas.openxmlformats.org/drawingml/2006/picture">
                <pic:pic>
                  <pic:nvPicPr>
                    <pic:cNvPr descr="results/figures/Schloss_fig2.png" id="0" name="Picture"/>
                    <pic:cNvPicPr>
                      <a:picLocks noChangeArrowheads="1" noChangeAspect="1"/>
                    </pic:cNvPicPr>
                  </pic:nvPicPr>
                  <pic:blipFill>
                    <a:blip r:embed="rId28"/>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Figure 2.</w:t>
      </w:r>
      <w:r>
        <w:t xml:space="preserve"> </w:t>
      </w:r>
      <w:r>
        <w:t xml:space="preserve">Barplot of sensitivities for the combined model and FIT for each stage of tumor development. P-values based on McNemar's chi-squared test.</w:t>
      </w:r>
    </w:p>
    <w:p>
      <w:r>
        <w:drawing>
          <wp:inline>
            <wp:extent cx="6489700" cy="5562600"/>
            <wp:effectExtent b="0" l="0" r="0" t="0"/>
            <wp:docPr descr="" id="1" name="Picture"/>
            <a:graphic>
              <a:graphicData uri="http://schemas.openxmlformats.org/drawingml/2006/picture">
                <pic:pic>
                  <pic:nvPicPr>
                    <pic:cNvPr descr="results/figures/Schloss_fig3.png" id="0" name="Picture"/>
                    <pic:cNvPicPr>
                      <a:picLocks noChangeArrowheads="1" noChangeAspect="1"/>
                    </pic:cNvPicPr>
                  </pic:nvPicPr>
                  <pic:blipFill>
                    <a:blip r:embed="rId29"/>
                    <a:stretch>
                      <a:fillRect/>
                    </a:stretch>
                  </pic:blipFill>
                  <pic:spPr bwMode="auto">
                    <a:xfrm>
                      <a:off x="0" y="0"/>
                      <a:ext cx="6489700" cy="5562600"/>
                    </a:xfrm>
                    <a:prstGeom prst="rect">
                      <a:avLst/>
                    </a:prstGeom>
                    <a:noFill/>
                    <a:ln w="9525">
                      <a:noFill/>
                      <a:headEnd/>
                      <a:tailEnd/>
                    </a:ln>
                  </pic:spPr>
                </pic:pic>
              </a:graphicData>
            </a:graphic>
          </wp:inline>
        </w:drawing>
      </w:r>
      <w:r>
        <w:br w:type="textWrapping"/>
      </w:r>
      <w:r>
        <w:rPr>
          <w:b/>
        </w:rPr>
        <w:t xml:space="preserve">Figure 3.</w:t>
      </w:r>
      <w:r>
        <w:t xml:space="preserve"> </w:t>
      </w:r>
      <w:r>
        <w:t xml:space="preserve">Scatter plot of the results of the combined model and FIT for each sample. Dashed lines show the cutoff for each test.</w:t>
      </w:r>
    </w:p>
    <w:p>
      <w:pPr>
        <w:pStyle w:val="Heading3"/>
      </w:pPr>
      <w:bookmarkStart w:id="30" w:name="extended-data-figures"/>
      <w:bookmarkEnd w:id="30"/>
      <w:r>
        <w:t xml:space="preserve">Extended Data Figures</w:t>
      </w:r>
    </w:p>
    <w:p>
      <w:r>
        <w:drawing>
          <wp:inline>
            <wp:extent cx="6489700" cy="6489700"/>
            <wp:effectExtent b="0" l="0" r="0" t="0"/>
            <wp:docPr descr="" id="1" name="Picture"/>
            <a:graphic>
              <a:graphicData uri="http://schemas.openxmlformats.org/drawingml/2006/picture">
                <pic:pic>
                  <pic:nvPicPr>
                    <pic:cNvPr descr="results/figures/Schloss_EDfig1.png" id="0" name="Picture"/>
                    <pic:cNvPicPr>
                      <a:picLocks noChangeArrowheads="1" noChangeAspect="1"/>
                    </pic:cNvPicPr>
                  </pic:nvPicPr>
                  <pic:blipFill>
                    <a:blip r:embed="rId31"/>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1.</w:t>
      </w:r>
      <w:r>
        <w:t xml:space="preserve"> </w:t>
      </w:r>
      <w:r>
        <w:t xml:space="preserve">Change in out-of-bag AUC with number of features in the random forest model. The optimal model contains 24 features and has an AUC of 0.8292.</w:t>
      </w:r>
    </w:p>
    <w:p>
      <w:r>
        <w:drawing>
          <wp:inline>
            <wp:extent cx="6489700" cy="11125200"/>
            <wp:effectExtent b="0" l="0" r="0" t="0"/>
            <wp:docPr descr="" id="1" name="Picture"/>
            <a:graphic>
              <a:graphicData uri="http://schemas.openxmlformats.org/drawingml/2006/picture">
                <pic:pic>
                  <pic:nvPicPr>
                    <pic:cNvPr descr="results/figures/Schloss_EDfig2.png" id="0" name="Picture"/>
                    <pic:cNvPicPr>
                      <a:picLocks noChangeArrowheads="1" noChangeAspect="1"/>
                    </pic:cNvPicPr>
                  </pic:nvPicPr>
                  <pic:blipFill>
                    <a:blip r:embed="rId32"/>
                    <a:stretch>
                      <a:fillRect/>
                    </a:stretch>
                  </pic:blipFill>
                  <pic:spPr bwMode="auto">
                    <a:xfrm>
                      <a:off x="0" y="0"/>
                      <a:ext cx="6489700" cy="11125200"/>
                    </a:xfrm>
                    <a:prstGeom prst="rect">
                      <a:avLst/>
                    </a:prstGeom>
                    <a:noFill/>
                    <a:ln w="9525">
                      <a:noFill/>
                      <a:headEnd/>
                      <a:tailEnd/>
                    </a:ln>
                  </pic:spPr>
                </pic:pic>
              </a:graphicData>
            </a:graphic>
          </wp:inline>
        </w:drawing>
      </w:r>
      <w:r>
        <w:br w:type="textWrapping"/>
      </w:r>
      <w:r>
        <w:rPr>
          <w:b/>
        </w:rPr>
        <w:t xml:space="preserve">Extended Data Figure 2.</w:t>
      </w:r>
      <w:r>
        <w:t xml:space="preserve"> </w:t>
      </w:r>
      <w:r>
        <w:t xml:space="preserve">Stripchart of the relative abundances of each OTU in the combined model.</w:t>
      </w:r>
    </w:p>
    <w:p>
      <w:r>
        <w:drawing>
          <wp:inline>
            <wp:extent cx="6489700" cy="6489700"/>
            <wp:effectExtent b="0" l="0" r="0" t="0"/>
            <wp:docPr descr="" id="1" name="Picture"/>
            <a:graphic>
              <a:graphicData uri="http://schemas.openxmlformats.org/drawingml/2006/picture">
                <pic:pic>
                  <pic:nvPicPr>
                    <pic:cNvPr descr="results/figures/Schloss_EDfig3.png" id="0" name="Picture"/>
                    <pic:cNvPicPr>
                      <a:picLocks noChangeArrowheads="1" noChangeAspect="1"/>
                    </pic:cNvPicPr>
                  </pic:nvPicPr>
                  <pic:blipFill>
                    <a:blip r:embed="rId33"/>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3.</w:t>
      </w:r>
      <w:r>
        <w:t xml:space="preserve"> </w:t>
      </w:r>
      <w:r>
        <w:t xml:space="preserve">Stripchart of combined model results for each sample based on FIT result.</w:t>
      </w:r>
    </w:p>
    <w:p>
      <w:r>
        <w:drawing>
          <wp:inline>
            <wp:extent cx="4267200" cy="1257300"/>
            <wp:effectExtent b="0" l="0" r="0" t="0"/>
            <wp:docPr descr="" id="1" name="Picture"/>
            <a:graphic>
              <a:graphicData uri="http://schemas.openxmlformats.org/drawingml/2006/picture">
                <pic:pic>
                  <pic:nvPicPr>
                    <pic:cNvPr descr="results/tables/Schloss_EDtable1.png" id="0" name="Picture"/>
                    <pic:cNvPicPr>
                      <a:picLocks noChangeArrowheads="1" noChangeAspect="1"/>
                    </pic:cNvPicPr>
                  </pic:nvPicPr>
                  <pic:blipFill>
                    <a:blip r:embed="rId34"/>
                    <a:stretch>
                      <a:fillRect/>
                    </a:stretch>
                  </pic:blipFill>
                  <pic:spPr bwMode="auto">
                    <a:xfrm>
                      <a:off x="0" y="0"/>
                      <a:ext cx="4267200" cy="1257300"/>
                    </a:xfrm>
                    <a:prstGeom prst="rect">
                      <a:avLst/>
                    </a:prstGeom>
                    <a:noFill/>
                    <a:ln w="9525">
                      <a:noFill/>
                      <a:headEnd/>
                      <a:tailEnd/>
                    </a:ln>
                  </pic:spPr>
                </pic:pic>
              </a:graphicData>
            </a:graphic>
          </wp:inline>
        </w:drawing>
      </w:r>
      <w:r>
        <w:br w:type="textWrapping"/>
      </w:r>
      <w:r>
        <w:rPr>
          <w:b/>
        </w:rPr>
        <w:t xml:space="preserve">Extended Data Table 1.</w:t>
      </w:r>
      <w:r>
        <w:t xml:space="preserve"> </w:t>
      </w:r>
      <w:r>
        <w:t xml:space="preserve">Positive and negative predictive values for the combined model and FIT based on published estimates of CRC prevalence.</w:t>
      </w:r>
    </w:p>
    <w:p>
      <w:r>
        <w:drawing>
          <wp:inline>
            <wp:extent cx="6489700" cy="4326467"/>
            <wp:effectExtent b="0" l="0" r="0" t="0"/>
            <wp:docPr descr="" id="1" name="Picture"/>
            <a:graphic>
              <a:graphicData uri="http://schemas.openxmlformats.org/drawingml/2006/picture">
                <pic:pic>
                  <pic:nvPicPr>
                    <pic:cNvPr descr="results/figures/Schloss_EDfig4.png" id="0" name="Picture"/>
                    <pic:cNvPicPr>
                      <a:picLocks noChangeArrowheads="1" noChangeAspect="1"/>
                    </pic:cNvPicPr>
                  </pic:nvPicPr>
                  <pic:blipFill>
                    <a:blip r:embed="rId35"/>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Extended Data Figure 4.</w:t>
      </w:r>
      <w:r>
        <w:t xml:space="preserve"> </w:t>
      </w:r>
      <w:r>
        <w:t xml:space="preserve">ROC curves of combined model separated by gender (left). Stripchart of combined model results by gender (right).</w:t>
      </w:r>
    </w:p>
    <w:p>
      <w:pPr>
        <w:pStyle w:val="Heading3"/>
      </w:pPr>
      <w:bookmarkStart w:id="36" w:name="literature-cited"/>
      <w:bookmarkEnd w:id="36"/>
      <w:r>
        <w:t xml:space="preserve">Literature cited</w:t>
      </w:r>
    </w:p>
    <w:p>
      <w:pPr>
        <w:pStyle w:val="Bibliography"/>
      </w:pPr>
      <w:r>
        <w:t xml:space="preserve">1. Siegel, R., DeSantis, C. &amp; Jemal, A. Colorectal cancer statistics, 2014.</w:t>
      </w:r>
      <w:r>
        <w:t xml:space="preserve"> </w:t>
      </w:r>
      <w:r>
        <w:rPr>
          <w:i/>
        </w:rPr>
        <w:t xml:space="preserve">CA: A Cancer Journal for Clinicians</w:t>
      </w:r>
      <w:r>
        <w:t xml:space="preserve"> </w:t>
      </w:r>
      <w:r>
        <w:rPr>
          <w:b/>
        </w:rPr>
        <w:t xml:space="preserve">64,</w:t>
      </w:r>
      <w:r>
        <w:t xml:space="preserve"> </w:t>
      </w:r>
      <w:r>
        <w:t xml:space="preserve">104–117 (2014).</w:t>
      </w:r>
    </w:p>
    <w:p>
      <w:pPr>
        <w:pStyle w:val="Bibliography"/>
      </w:pPr>
      <w:r>
        <w:t xml:space="preserve">2. Centers for Disease Control and Prevention. Vital signs: colorectal cancer screening among adults aged 50-75 years-United States, 2008.</w:t>
      </w:r>
      <w:r>
        <w:t xml:space="preserve"> </w:t>
      </w:r>
      <w:r>
        <w:rPr>
          <w:i/>
        </w:rPr>
        <w:t xml:space="preserve">MMWR. Morbidity and Mortality Weekly Report</w:t>
      </w:r>
      <w:r>
        <w:t xml:space="preserve"> </w:t>
      </w:r>
      <w:r>
        <w:rPr>
          <w:b/>
        </w:rPr>
        <w:t xml:space="preserve">59,</w:t>
      </w:r>
      <w:r>
        <w:t xml:space="preserve"> </w:t>
      </w:r>
      <w:r>
        <w:t xml:space="preserve">808 (2010).</w:t>
      </w:r>
    </w:p>
    <w:p>
      <w:pPr>
        <w:pStyle w:val="Bibliography"/>
      </w:pPr>
      <w:r>
        <w:t xml:space="preserve">3. Hsia, J.</w:t>
      </w:r>
      <w:r>
        <w:t xml:space="preserve"> </w:t>
      </w:r>
      <w:r>
        <w:rPr>
          <w:i/>
        </w:rPr>
        <w:t xml:space="preserve">et al.</w:t>
      </w:r>
      <w:r>
        <w:t xml:space="preserve"> </w:t>
      </w:r>
      <w:r>
        <w:t xml:space="preserve">The importance of health insurance as a determinant of cancer screening: evidence from the Women’s Health Initiative.</w:t>
      </w:r>
      <w:r>
        <w:t xml:space="preserve"> </w:t>
      </w:r>
      <w:r>
        <w:rPr>
          <w:i/>
        </w:rPr>
        <w:t xml:space="preserve">Preventive Medicine</w:t>
      </w:r>
      <w:r>
        <w:t xml:space="preserve"> </w:t>
      </w:r>
      <w:r>
        <w:rPr>
          <w:b/>
        </w:rPr>
        <w:t xml:space="preserve">31,</w:t>
      </w:r>
      <w:r>
        <w:t xml:space="preserve"> </w:t>
      </w:r>
      <w:r>
        <w:t xml:space="preserve">261–270 (2000).</w:t>
      </w:r>
    </w:p>
    <w:p>
      <w:pPr>
        <w:pStyle w:val="Bibliography"/>
      </w:pPr>
      <w:r>
        <w:t xml:space="preserve">4. Jones, R. M., Devers, K. J., Kuzel, A. J. &amp; Woolf, S. H. Patient-reported barriers to colorectal cancer screening: a mixed-methods analysis.</w:t>
      </w:r>
      <w:r>
        <w:t xml:space="preserve"> </w:t>
      </w:r>
      <w:r>
        <w:rPr>
          <w:i/>
        </w:rPr>
        <w:t xml:space="preserve">American Journal of Preventive Medicine</w:t>
      </w:r>
      <w:r>
        <w:t xml:space="preserve"> </w:t>
      </w:r>
      <w:r>
        <w:rPr>
          <w:b/>
        </w:rPr>
        <w:t xml:space="preserve">38,</w:t>
      </w:r>
      <w:r>
        <w:t xml:space="preserve"> </w:t>
      </w:r>
      <w:r>
        <w:t xml:space="preserve">508–516 (2010).</w:t>
      </w:r>
    </w:p>
    <w:p>
      <w:pPr>
        <w:pStyle w:val="Bibliography"/>
      </w:pPr>
      <w:r>
        <w:t xml:space="preserve">5. Zackular, J. P.</w:t>
      </w:r>
      <w:r>
        <w:t xml:space="preserve"> </w:t>
      </w:r>
      <w:r>
        <w:rPr>
          <w:i/>
        </w:rPr>
        <w:t xml:space="preserve">et al.</w:t>
      </w:r>
      <w:r>
        <w:t xml:space="preserve"> </w:t>
      </w:r>
      <w:r>
        <w:t xml:space="preserve">The gut microbiome modulates colon tumorigenesis.</w:t>
      </w:r>
      <w:r>
        <w:t xml:space="preserve"> </w:t>
      </w:r>
      <w:r>
        <w:rPr>
          <w:i/>
        </w:rPr>
        <w:t xml:space="preserve">MBio</w:t>
      </w:r>
      <w:r>
        <w:t xml:space="preserve"> </w:t>
      </w:r>
      <w:r>
        <w:rPr>
          <w:b/>
        </w:rPr>
        <w:t xml:space="preserve">4,</w:t>
      </w:r>
      <w:r>
        <w:t xml:space="preserve"> </w:t>
      </w:r>
      <w:r>
        <w:t xml:space="preserve">e00692–13 (2013).</w:t>
      </w:r>
    </w:p>
    <w:p>
      <w:pPr>
        <w:pStyle w:val="Bibliography"/>
      </w:pPr>
      <w:r>
        <w:t xml:space="preserve">6. Kostic, A. D.</w:t>
      </w:r>
      <w:r>
        <w:t xml:space="preserve"> </w:t>
      </w:r>
      <w:r>
        <w:rPr>
          <w:i/>
        </w:rPr>
        <w:t xml:space="preserve">et al.</w:t>
      </w:r>
      <w:r>
        <w:t xml:space="preserve"> </w:t>
      </w:r>
      <w:r>
        <w:t xml:space="preserve">Fusobacterium nucleatum potentiates intestinal tumorigenesis and modulates the tumor-immune microenvironment.</w:t>
      </w:r>
      <w:r>
        <w:t xml:space="preserve"> </w:t>
      </w:r>
      <w:r>
        <w:rPr>
          <w:i/>
        </w:rPr>
        <w:t xml:space="preserve">Cell Host &amp; Microbe</w:t>
      </w:r>
      <w:r>
        <w:t xml:space="preserve"> </w:t>
      </w:r>
      <w:r>
        <w:rPr>
          <w:b/>
        </w:rPr>
        <w:t xml:space="preserve">14,</w:t>
      </w:r>
      <w:r>
        <w:t xml:space="preserve"> </w:t>
      </w:r>
      <w:r>
        <w:t xml:space="preserve">207–215 (2013).</w:t>
      </w:r>
    </w:p>
    <w:p>
      <w:pPr>
        <w:pStyle w:val="Bibliography"/>
      </w:pPr>
      <w:r>
        <w:t xml:space="preserve">7. Wu, S.</w:t>
      </w:r>
      <w:r>
        <w:t xml:space="preserve"> </w:t>
      </w:r>
      <w:r>
        <w:rPr>
          <w:i/>
        </w:rPr>
        <w:t xml:space="preserve">et al.</w:t>
      </w:r>
      <w:r>
        <w:t xml:space="preserve"> </w:t>
      </w:r>
      <w:r>
        <w:t xml:space="preserve">A human colonic commensal promotes colon tumorigenesis via activation of T helper type 17 T cell responses.</w:t>
      </w:r>
      <w:r>
        <w:t xml:space="preserve"> </w:t>
      </w:r>
      <w:r>
        <w:rPr>
          <w:i/>
        </w:rPr>
        <w:t xml:space="preserve">Nature Medicine</w:t>
      </w:r>
      <w:r>
        <w:t xml:space="preserve"> </w:t>
      </w:r>
      <w:r>
        <w:rPr>
          <w:b/>
        </w:rPr>
        <w:t xml:space="preserve">15,</w:t>
      </w:r>
      <w:r>
        <w:t xml:space="preserve"> </w:t>
      </w:r>
      <w:r>
        <w:t xml:space="preserve">1016–1022 (2009).</w:t>
      </w:r>
    </w:p>
    <w:p>
      <w:pPr>
        <w:pStyle w:val="Bibliography"/>
      </w:pPr>
      <w:r>
        <w:t xml:space="preserve">8. Arthur, J. C.</w:t>
      </w:r>
      <w:r>
        <w:t xml:space="preserve"> </w:t>
      </w:r>
      <w:r>
        <w:rPr>
          <w:i/>
        </w:rPr>
        <w:t xml:space="preserve">et al.</w:t>
      </w:r>
      <w:r>
        <w:t xml:space="preserve"> </w:t>
      </w:r>
      <w:r>
        <w:t xml:space="preserve">Intestinal inflammation targets cancer-inducing activity of the microbiota.</w:t>
      </w:r>
      <w:r>
        <w:t xml:space="preserve"> </w:t>
      </w:r>
      <w:r>
        <w:rPr>
          <w:i/>
        </w:rPr>
        <w:t xml:space="preserve">Science</w:t>
      </w:r>
      <w:r>
        <w:t xml:space="preserve"> </w:t>
      </w:r>
      <w:r>
        <w:rPr>
          <w:b/>
        </w:rPr>
        <w:t xml:space="preserve">338,</w:t>
      </w:r>
      <w:r>
        <w:t xml:space="preserve"> </w:t>
      </w:r>
      <w:r>
        <w:t xml:space="preserve">120–123 (2012).</w:t>
      </w:r>
    </w:p>
    <w:p>
      <w:pPr>
        <w:pStyle w:val="Bibliography"/>
      </w:pPr>
      <w:r>
        <w:t xml:space="preserve">9. Wang, T.</w:t>
      </w:r>
      <w:r>
        <w:t xml:space="preserve"> </w:t>
      </w:r>
      <w:r>
        <w:rPr>
          <w:i/>
        </w:rPr>
        <w:t xml:space="preserve">et al.</w:t>
      </w:r>
      <w:r>
        <w:t xml:space="preserve"> </w:t>
      </w:r>
      <w:r>
        <w:t xml:space="preserve">Structural segregation of gut microbiota between colorectal cancer patients and healthy volunteers.</w:t>
      </w:r>
      <w:r>
        <w:t xml:space="preserve"> </w:t>
      </w:r>
      <w:r>
        <w:rPr>
          <w:i/>
        </w:rPr>
        <w:t xml:space="preserve">The ISME Journal</w:t>
      </w:r>
      <w:r>
        <w:t xml:space="preserve"> </w:t>
      </w:r>
      <w:r>
        <w:rPr>
          <w:b/>
        </w:rPr>
        <w:t xml:space="preserve">6,</w:t>
      </w:r>
      <w:r>
        <w:t xml:space="preserve"> </w:t>
      </w:r>
      <w:r>
        <w:t xml:space="preserve">320–329 (2012).</w:t>
      </w:r>
    </w:p>
    <w:p>
      <w:pPr>
        <w:pStyle w:val="Bibliography"/>
      </w:pPr>
      <w:r>
        <w:t xml:space="preserve">10. Chen, H.-M.</w:t>
      </w:r>
      <w:r>
        <w:t xml:space="preserve"> </w:t>
      </w:r>
      <w:r>
        <w:rPr>
          <w:i/>
        </w:rPr>
        <w:t xml:space="preserve">et al.</w:t>
      </w:r>
      <w:r>
        <w:t xml:space="preserve"> </w:t>
      </w:r>
      <w:r>
        <w:t xml:space="preserve">Decreased dietary fiber intake and structural alteration of gut microbiota in patients with advanced colorectal adenoma.</w:t>
      </w:r>
      <w:r>
        <w:t xml:space="preserve"> </w:t>
      </w:r>
      <w:r>
        <w:rPr>
          <w:i/>
        </w:rPr>
        <w:t xml:space="preserve">The American Journal of Clinical Nutrition</w:t>
      </w:r>
      <w:r>
        <w:t xml:space="preserve"> </w:t>
      </w:r>
      <w:r>
        <w:rPr>
          <w:b/>
        </w:rPr>
        <w:t xml:space="preserve">97,</w:t>
      </w:r>
      <w:r>
        <w:t xml:space="preserve"> </w:t>
      </w:r>
      <w:r>
        <w:t xml:space="preserve">1044–1052 (2013).</w:t>
      </w:r>
    </w:p>
    <w:p>
      <w:pPr>
        <w:pStyle w:val="Bibliography"/>
      </w:pPr>
      <w:r>
        <w:t xml:space="preserve">11. Chen, W., Liu, F., Ling, Z., Tong, X. &amp; Xiang, C. Human intestinal lumen and mucosa-associated microbiota in patients with colorectal cancer.</w:t>
      </w:r>
      <w:r>
        <w:t xml:space="preserve"> </w:t>
      </w:r>
      <w:r>
        <w:rPr>
          <w:i/>
        </w:rPr>
        <w:t xml:space="preserve">PloS One</w:t>
      </w:r>
      <w:r>
        <w:t xml:space="preserve"> </w:t>
      </w:r>
      <w:r>
        <w:rPr>
          <w:b/>
        </w:rPr>
        <w:t xml:space="preserve">7,</w:t>
      </w:r>
      <w:r>
        <w:t xml:space="preserve"> </w:t>
      </w:r>
      <w:r>
        <w:t xml:space="preserve">e39743 (2012).</w:t>
      </w:r>
    </w:p>
    <w:p>
      <w:pPr>
        <w:pStyle w:val="Bibliography"/>
      </w:pPr>
      <w:r>
        <w:t xml:space="preserve">12. Shen, X. J.</w:t>
      </w:r>
      <w:r>
        <w:t xml:space="preserve"> </w:t>
      </w:r>
      <w:r>
        <w:rPr>
          <w:i/>
        </w:rPr>
        <w:t xml:space="preserve">et al.</w:t>
      </w:r>
      <w:r>
        <w:t xml:space="preserve"> </w:t>
      </w:r>
      <w:r>
        <w:t xml:space="preserve">Molecular characterization of mucosal adherent bacteria and associations with colorectal adenomas.</w:t>
      </w:r>
      <w:r>
        <w:t xml:space="preserve"> </w:t>
      </w:r>
      <w:r>
        <w:rPr>
          <w:i/>
        </w:rPr>
        <w:t xml:space="preserve">Gut Microbes</w:t>
      </w:r>
      <w:r>
        <w:t xml:space="preserve"> </w:t>
      </w:r>
      <w:r>
        <w:rPr>
          <w:b/>
        </w:rPr>
        <w:t xml:space="preserve">1,</w:t>
      </w:r>
      <w:r>
        <w:t xml:space="preserve"> </w:t>
      </w:r>
      <w:r>
        <w:t xml:space="preserve">138–147 (2010).</w:t>
      </w:r>
    </w:p>
    <w:p>
      <w:pPr>
        <w:pStyle w:val="Bibliography"/>
      </w:pPr>
      <w:r>
        <w:t xml:space="preserve">13. Kostic, A. D.</w:t>
      </w:r>
      <w:r>
        <w:t xml:space="preserve"> </w:t>
      </w:r>
      <w:r>
        <w:rPr>
          <w:i/>
        </w:rPr>
        <w:t xml:space="preserve">et al.</w:t>
      </w:r>
      <w:r>
        <w:t xml:space="preserve"> </w:t>
      </w:r>
      <w:r>
        <w:t xml:space="preserve">Genomic analysis identifies association of Fusobacterium with colorectal carcinoma.</w:t>
      </w:r>
      <w:r>
        <w:t xml:space="preserve"> </w:t>
      </w:r>
      <w:r>
        <w:rPr>
          <w:i/>
        </w:rPr>
        <w:t xml:space="preserve">Genome Research</w:t>
      </w:r>
      <w:r>
        <w:t xml:space="preserve"> </w:t>
      </w:r>
      <w:r>
        <w:rPr>
          <w:b/>
        </w:rPr>
        <w:t xml:space="preserve">22,</w:t>
      </w:r>
      <w:r>
        <w:t xml:space="preserve"> </w:t>
      </w:r>
      <w:r>
        <w:t xml:space="preserve">292–298 (2012).</w:t>
      </w:r>
    </w:p>
    <w:p>
      <w:pPr>
        <w:pStyle w:val="Bibliography"/>
      </w:pPr>
      <w:r>
        <w:t xml:space="preserve">14. Hundt, S., Haug, U. &amp; Brenner, H. Comparative evaluation of immunochemical fecal occult blood tests for colorectal adenoma detection.</w:t>
      </w:r>
      <w:r>
        <w:t xml:space="preserve"> </w:t>
      </w:r>
      <w:r>
        <w:rPr>
          <w:i/>
        </w:rPr>
        <w:t xml:space="preserve">Annals of Internal Medicine</w:t>
      </w:r>
      <w:r>
        <w:t xml:space="preserve"> </w:t>
      </w:r>
      <w:r>
        <w:rPr>
          <w:b/>
        </w:rPr>
        <w:t xml:space="preserve">150,</w:t>
      </w:r>
      <w:r>
        <w:t xml:space="preserve"> </w:t>
      </w:r>
      <w:r>
        <w:t xml:space="preserve">162–169 (2009).</w:t>
      </w:r>
    </w:p>
    <w:p>
      <w:pPr>
        <w:pStyle w:val="Bibliography"/>
      </w:pPr>
      <w:r>
        <w:t xml:space="preserve">15. Zackular, J. P., Rogers, M. A., Ruffin, M. T. &amp; Schloss, P. D. The human gut microbiome as a screening tool for colorectal cancer.</w:t>
      </w:r>
      <w:r>
        <w:t xml:space="preserve"> </w:t>
      </w:r>
      <w:r>
        <w:rPr>
          <w:i/>
        </w:rPr>
        <w:t xml:space="preserve">Cancer Prevention Research</w:t>
      </w:r>
      <w:r>
        <w:t xml:space="preserve"> </w:t>
      </w:r>
      <w:r>
        <w:rPr>
          <w:b/>
        </w:rPr>
        <w:t xml:space="preserve">7,</w:t>
      </w:r>
      <w:r>
        <w:t xml:space="preserve"> </w:t>
      </w:r>
      <w:r>
        <w:t xml:space="preserve">1112–1121 (2014).</w:t>
      </w:r>
    </w:p>
    <w:p>
      <w:pPr>
        <w:pStyle w:val="Bibliography"/>
      </w:pPr>
      <w:r>
        <w:t xml:space="preserve">16. Zeller, G.</w:t>
      </w:r>
      <w:r>
        <w:t xml:space="preserve"> </w:t>
      </w:r>
      <w:r>
        <w:rPr>
          <w:i/>
        </w:rPr>
        <w:t xml:space="preserve">et al.</w:t>
      </w:r>
      <w:r>
        <w:t xml:space="preserve"> </w:t>
      </w:r>
      <w:r>
        <w:t xml:space="preserve">Potential of fecal microbiota for early-stage detection of colorectal cancer.</w:t>
      </w:r>
      <w:r>
        <w:t xml:space="preserve"> </w:t>
      </w:r>
      <w:r>
        <w:rPr>
          <w:i/>
        </w:rPr>
        <w:t xml:space="preserve">Molecular Systems Biology</w:t>
      </w:r>
      <w:r>
        <w:t xml:space="preserve"> </w:t>
      </w:r>
      <w:r>
        <w:rPr>
          <w:b/>
        </w:rPr>
        <w:t xml:space="preserve">10,</w:t>
      </w:r>
      <w:r>
        <w:t xml:space="preserve"> </w:t>
      </w:r>
      <w:r>
        <w:t xml:space="preserve">766 (2014).</w:t>
      </w:r>
    </w:p>
    <w:p>
      <w:pPr>
        <w:pStyle w:val="Bibliography"/>
      </w:pPr>
      <w:r>
        <w:t xml:space="preserve">17. Liaw, A. &amp; Wiener, M. Classification and regression by randomForest.</w:t>
      </w:r>
      <w:r>
        <w:t xml:space="preserve"> </w:t>
      </w:r>
      <w:r>
        <w:rPr>
          <w:i/>
        </w:rPr>
        <w:t xml:space="preserve">R News</w:t>
      </w:r>
      <w:r>
        <w:t xml:space="preserve"> </w:t>
      </w:r>
      <w:r>
        <w:rPr>
          <w:b/>
        </w:rPr>
        <w:t xml:space="preserve">2,</w:t>
      </w:r>
      <w:r>
        <w:t xml:space="preserve"> </w:t>
      </w:r>
      <w:r>
        <w:t xml:space="preserve">18–22 (2002).</w:t>
      </w:r>
    </w:p>
    <w:p>
      <w:pPr>
        <w:pStyle w:val="Bibliography"/>
      </w:pPr>
      <w:r>
        <w:t xml:space="preserve">18. Calle, M. L., Urrea, V., Boulesteix, A.-L. &amp; Malats, N. AUC-RF: A new strategy for genomic profiling with random forest.</w:t>
      </w:r>
      <w:r>
        <w:t xml:space="preserve"> </w:t>
      </w:r>
      <w:r>
        <w:rPr>
          <w:i/>
        </w:rPr>
        <w:t xml:space="preserve">Human Heredity</w:t>
      </w:r>
      <w:r>
        <w:t xml:space="preserve"> </w:t>
      </w:r>
      <w:r>
        <w:rPr>
          <w:b/>
        </w:rPr>
        <w:t xml:space="preserve">72,</w:t>
      </w:r>
      <w:r>
        <w:t xml:space="preserve"> </w:t>
      </w:r>
      <w:r>
        <w:t xml:space="preserve">121–132 (2011).</w:t>
      </w:r>
    </w:p>
    <w:p>
      <w:pPr>
        <w:pStyle w:val="Bibliography"/>
      </w:pPr>
      <w:r>
        <w:t xml:space="preserve">19. Pryde, S. E., Duncan, S. H., Hold, G. L., Stewart, C. S. &amp; Flint, H. J. The microbiology of butyrate formation in the human colon.</w:t>
      </w:r>
      <w:r>
        <w:t xml:space="preserve"> </w:t>
      </w:r>
      <w:r>
        <w:rPr>
          <w:i/>
        </w:rPr>
        <w:t xml:space="preserve">FEMS Microbiology Letters</w:t>
      </w:r>
      <w:r>
        <w:t xml:space="preserve"> </w:t>
      </w:r>
      <w:r>
        <w:rPr>
          <w:b/>
        </w:rPr>
        <w:t xml:space="preserve">217,</w:t>
      </w:r>
      <w:r>
        <w:t xml:space="preserve"> </w:t>
      </w:r>
      <w:r>
        <w:t xml:space="preserve">133–139 (2002).</w:t>
      </w:r>
    </w:p>
    <w:p>
      <w:pPr>
        <w:pStyle w:val="Bibliography"/>
      </w:pPr>
      <w:r>
        <w:t xml:space="preserve">20. Rex, D. K.</w:t>
      </w:r>
      <w:r>
        <w:t xml:space="preserve"> </w:t>
      </w:r>
      <w:r>
        <w:rPr>
          <w:i/>
        </w:rPr>
        <w:t xml:space="preserve">et al.</w:t>
      </w:r>
      <w:r>
        <w:t xml:space="preserve"> </w:t>
      </w:r>
      <w:r>
        <w:t xml:space="preserve">American College of Gastroenterology guidelines for colorectal cancer screening 2008.</w:t>
      </w:r>
      <w:r>
        <w:t xml:space="preserve"> </w:t>
      </w:r>
      <w:r>
        <w:rPr>
          <w:i/>
        </w:rPr>
        <w:t xml:space="preserve">The American Journal of Gastroenterology</w:t>
      </w:r>
      <w:r>
        <w:t xml:space="preserve"> </w:t>
      </w:r>
      <w:r>
        <w:rPr>
          <w:b/>
        </w:rPr>
        <w:t xml:space="preserve">104,</w:t>
      </w:r>
      <w:r>
        <w:t xml:space="preserve"> </w:t>
      </w:r>
      <w:r>
        <w:t xml:space="preserve">739–750 (2009).</w:t>
      </w:r>
    </w:p>
    <w:p>
      <w:pPr>
        <w:pStyle w:val="Bibliography"/>
      </w:pPr>
      <w:r>
        <w:t xml:space="preserve">21. Youden, W. J. Index for rating diagnostic tests.</w:t>
      </w:r>
      <w:r>
        <w:t xml:space="preserve"> </w:t>
      </w:r>
      <w:r>
        <w:rPr>
          <w:i/>
        </w:rPr>
        <w:t xml:space="preserve">Cancer</w:t>
      </w:r>
      <w:r>
        <w:t xml:space="preserve"> </w:t>
      </w:r>
      <w:r>
        <w:rPr>
          <w:b/>
        </w:rPr>
        <w:t xml:space="preserve">3,</w:t>
      </w:r>
      <w:r>
        <w:t xml:space="preserve"> </w:t>
      </w:r>
      <w:r>
        <w:t xml:space="preserve">32–35 (1950).</w:t>
      </w:r>
    </w:p>
    <w:p>
      <w:pPr>
        <w:pStyle w:val="Bibliography"/>
      </w:pPr>
      <w:r>
        <w:t xml:space="preserve">22. Heitman, S. J.</w:t>
      </w:r>
      <w:r>
        <w:t xml:space="preserve"> </w:t>
      </w:r>
      <w:r>
        <w:rPr>
          <w:i/>
        </w:rPr>
        <w:t xml:space="preserve">et al.</w:t>
      </w:r>
      <w:r>
        <w:t xml:space="preserve"> </w:t>
      </w:r>
      <w:r>
        <w:t xml:space="preserve">Prevalence of adenomas and colorectal cancer in average risk individuals: a systematic review and meta-analysis.</w:t>
      </w:r>
      <w:r>
        <w:t xml:space="preserve"> </w:t>
      </w:r>
      <w:r>
        <w:rPr>
          <w:i/>
        </w:rPr>
        <w:t xml:space="preserve">Clinical Gastroenterology and Hepatology</w:t>
      </w:r>
      <w:r>
        <w:t xml:space="preserve"> </w:t>
      </w:r>
      <w:r>
        <w:rPr>
          <w:b/>
        </w:rPr>
        <w:t xml:space="preserve">7,</w:t>
      </w:r>
      <w:r>
        <w:t xml:space="preserve"> </w:t>
      </w:r>
      <w:r>
        <w:t xml:space="preserve">1272–1278 (2009).</w:t>
      </w:r>
    </w:p>
    <w:p>
      <w:pPr>
        <w:pStyle w:val="Bibliography"/>
      </w:pPr>
      <w:r>
        <w:t xml:space="preserve">23. Symonds, E. L.</w:t>
      </w:r>
      <w:r>
        <w:t xml:space="preserve"> </w:t>
      </w:r>
      <w:r>
        <w:rPr>
          <w:i/>
        </w:rPr>
        <w:t xml:space="preserve">et al.</w:t>
      </w:r>
      <w:r>
        <w:t xml:space="preserve"> </w:t>
      </w:r>
      <w:r>
        <w:t xml:space="preserve">Factors affecting faecal immunochemical test positive rates: demographic, pathological, behavioural and environmental variables.</w:t>
      </w:r>
      <w:r>
        <w:t xml:space="preserve"> </w:t>
      </w:r>
      <w:r>
        <w:rPr>
          <w:i/>
        </w:rPr>
        <w:t xml:space="preserve">Journal of Medical Screening</w:t>
      </w:r>
      <w:r>
        <w:t xml:space="preserve"> </w:t>
      </w:r>
      <w:r>
        <w:t xml:space="preserve">0969141315584783 (2015).</w:t>
      </w:r>
    </w:p>
    <w:p>
      <w:pPr>
        <w:pStyle w:val="Bibliography"/>
      </w:pPr>
      <w:r>
        <w:t xml:space="preserve">24. Kapidzic, A.</w:t>
      </w:r>
      <w:r>
        <w:t xml:space="preserve"> </w:t>
      </w:r>
      <w:r>
        <w:rPr>
          <w:i/>
        </w:rPr>
        <w:t xml:space="preserve">et al.</w:t>
      </w:r>
      <w:r>
        <w:t xml:space="preserve"> </w:t>
      </w:r>
      <w:r>
        <w:t xml:space="preserve">Gender differences in fecal immunochemical test performance for early detection of colorectal neoplasia.</w:t>
      </w:r>
      <w:r>
        <w:t xml:space="preserve"> </w:t>
      </w:r>
      <w:r>
        <w:rPr>
          <w:i/>
        </w:rPr>
        <w:t xml:space="preserve">Clinical Gastroenterology and Hepatology</w:t>
      </w:r>
      <w:r>
        <w:t xml:space="preserve"> </w:t>
      </w:r>
      <w:r>
        <w:t xml:space="preserve">(2015).</w:t>
      </w:r>
    </w:p>
    <w:p>
      <w:pPr>
        <w:pStyle w:val="Bibliography"/>
      </w:pPr>
      <w:r>
        <w:t xml:space="preserve">25. Levi, Z.</w:t>
      </w:r>
      <w:r>
        <w:t xml:space="preserve"> </w:t>
      </w:r>
      <w:r>
        <w:rPr>
          <w:i/>
        </w:rPr>
        <w:t xml:space="preserve">et al.</w:t>
      </w:r>
      <w:r>
        <w:t xml:space="preserve"> </w:t>
      </w:r>
      <w:r>
        <w:t xml:space="preserve">Sensitivity, but not specificity, of a quantitative immunochemical fecal occult blood test for neoplasia is slightly increased by the use of low-dose aspirin, NSAIDs, and anticoagulants.</w:t>
      </w:r>
      <w:r>
        <w:t xml:space="preserve"> </w:t>
      </w:r>
      <w:r>
        <w:rPr>
          <w:i/>
        </w:rPr>
        <w:t xml:space="preserve">The American Journal of Gastroenterology</w:t>
      </w:r>
      <w:r>
        <w:t xml:space="preserve"> </w:t>
      </w:r>
      <w:r>
        <w:rPr>
          <w:b/>
        </w:rPr>
        <w:t xml:space="preserve">104,</w:t>
      </w:r>
      <w:r>
        <w:t xml:space="preserve"> </w:t>
      </w:r>
      <w:r>
        <w:t xml:space="preserve">933–938 (2009).</w:t>
      </w:r>
    </w:p>
    <w:p>
      <w:pPr>
        <w:pStyle w:val="Bibliography"/>
      </w:pPr>
      <w:r>
        <w:t xml:space="preserve">26. Imperiale, T. F.</w:t>
      </w:r>
      <w:r>
        <w:t xml:space="preserve"> </w:t>
      </w:r>
      <w:r>
        <w:rPr>
          <w:i/>
        </w:rPr>
        <w:t xml:space="preserve">et al.</w:t>
      </w:r>
      <w:r>
        <w:t xml:space="preserve"> </w:t>
      </w:r>
      <w:r>
        <w:t xml:space="preserve">Multitarget stool DNA testing for colorectal-cancer screening.</w:t>
      </w:r>
      <w:r>
        <w:t xml:space="preserve"> </w:t>
      </w:r>
      <w:r>
        <w:rPr>
          <w:i/>
        </w:rPr>
        <w:t xml:space="preserve">New England Journal of Medicine</w:t>
      </w:r>
      <w:r>
        <w:t xml:space="preserve"> </w:t>
      </w:r>
      <w:r>
        <w:rPr>
          <w:b/>
        </w:rPr>
        <w:t xml:space="preserve">370,</w:t>
      </w:r>
      <w:r>
        <w:t xml:space="preserve"> </w:t>
      </w:r>
      <w:r>
        <w:t xml:space="preserve">1287–1297 (2014).</w:t>
      </w:r>
    </w:p>
    <w:p>
      <w:pPr>
        <w:pStyle w:val="Bibliography"/>
      </w:pPr>
      <w:r>
        <w:t xml:space="preserve">27. Schubert, A. M., Sinani, H. &amp; Schloss, P. D. Antibiotic-Induced Alterations of the Murine Gut Microbiota and Subsequent Effects on Colonization Resistance against Clostridium difficile.</w:t>
      </w:r>
      <w:r>
        <w:t xml:space="preserve"> </w:t>
      </w:r>
      <w:r>
        <w:rPr>
          <w:i/>
        </w:rPr>
        <w:t xml:space="preserve">MBio</w:t>
      </w:r>
      <w:r>
        <w:t xml:space="preserve"> </w:t>
      </w:r>
      <w:r>
        <w:rPr>
          <w:b/>
        </w:rPr>
        <w:t xml:space="preserve">6,</w:t>
      </w:r>
      <w:r>
        <w:t xml:space="preserve"> </w:t>
      </w:r>
      <w:r>
        <w:t xml:space="preserve">(2015).</w:t>
      </w:r>
    </w:p>
    <w:p>
      <w:pPr>
        <w:pStyle w:val="Bibliography"/>
      </w:pPr>
      <w:r>
        <w:t xml:space="preserve">28. Kozich, J. J., Westcott, S. L., Baxter, N. T., Highlander, S. K. &amp; Schloss, P. D.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 </w:t>
      </w:r>
      <w:r>
        <w:rPr>
          <w:b/>
        </w:rPr>
        <w:t xml:space="preserve">79,</w:t>
      </w:r>
      <w:r>
        <w:t xml:space="preserve"> </w:t>
      </w:r>
      <w:r>
        <w:t xml:space="preserve">5112–5120 (2013).</w:t>
      </w:r>
    </w:p>
    <w:p>
      <w:pPr>
        <w:pStyle w:val="Bibliography"/>
      </w:pPr>
      <w:r>
        <w:t xml:space="preserve">29. O’Brien, C. L., Allison, G. E., Grimpen, F. &amp; Pavli, P. Impact of Colonoscopy Bowel Preparation on Intestinal Microbiota.</w:t>
      </w:r>
      <w:r>
        <w:t xml:space="preserve"> </w:t>
      </w:r>
      <w:r>
        <w:rPr>
          <w:i/>
        </w:rPr>
        <w:t xml:space="preserve">PLoS ONE</w:t>
      </w:r>
      <w:r>
        <w:t xml:space="preserve"> </w:t>
      </w:r>
      <w:r>
        <w:rPr>
          <w:b/>
        </w:rPr>
        <w:t xml:space="preserve">8,</w:t>
      </w:r>
      <w:r>
        <w:t xml:space="preserve"> </w:t>
      </w:r>
      <w:r>
        <w:t xml:space="preserve">e62815 (2013).</w:t>
      </w:r>
    </w:p>
    <w:p>
      <w:pPr>
        <w:pStyle w:val="Bibliography"/>
      </w:pPr>
      <w:r>
        <w:t xml:space="preserve">30. DeLong, E. R., DeLong, D. M. &amp; Clarke-Pearson, D. L. Comparing the areas under two or more correlated receiver operating characteristic curves: a nonparametric approach.</w:t>
      </w:r>
      <w:r>
        <w:t xml:space="preserve"> </w:t>
      </w:r>
      <w:r>
        <w:rPr>
          <w:i/>
        </w:rPr>
        <w:t xml:space="preserve">Biometrics</w:t>
      </w:r>
      <w:r>
        <w:t xml:space="preserve"> </w:t>
      </w:r>
      <w:r>
        <w:t xml:space="preserve">837–845 (1988).</w:t>
      </w:r>
    </w:p>
    <w:sectPr w:rsidR="00935249" w:rsidSect="00263878">
      <w:footerReference w:type="even" r:id="rId8"/>
      <w:footerReference w:type="default" r:id="rId9"/>
      <w:pgSz w:w="12240" w:h="15840"/>
      <w:pgMar w:top="864" w:right="864" w:bottom="864" w:left="1152"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63878">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d536cf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27" Target="media/rId27.png"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 analysis complements fecal immunochemical test for detection of colonic lesions</dc:title>
  <dc:creator/>
</cp:coreProperties>
</file>