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9.pdf" ContentType="application/pdf"/>
  <Override PartName="/word/media/rId30.pdf" ContentType="application/pdf"/>
  <Override PartName="/word/media/rId32.pdf" ContentType="application/pdf"/>
  <Override PartName="/word/media/rId33.pdf" ContentType="application/pdf"/>
  <Override PartName="/word/media/rId35.pdf" ContentType="application/pdf"/>
  <Override PartName="/word/media/rId36.pdf" ContentType="application/pdf"/>
  <Override PartName="/word/media/rId37.pdf" ContentType="application/pdf"/>
  <Override PartName="/word/media/rId38.pdf" ContentType="application/pdf"/>
  <Override PartName="/word/media/rId39.pdf" ContentType="application/pdf"/>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 These findings have been complemented by studies in human populations identifying shifts in the composition of the gut microbiota associated with the progression of colorectal cancer. These results suggest that the gut microbiota may represent a reservoir of biomarkers that would complement existing non-invasive methods such as the widely used fecal immunochemical test (FIT).</w:t>
      </w:r>
    </w:p>
    <w:p>
      <w:r>
        <w:rPr>
          <w:b/>
        </w:rPr>
        <w:t xml:space="preserve">Methods</w:t>
      </w:r>
      <w:r>
        <w:br w:type="textWrapping"/>
      </w:r>
      <w:r>
        <w:t xml:space="preserve">Using stool samples from 490 patients we developed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We and others have shown that statistical models that take into account the abundances of multiple bacterial species can be used to distinguish healthy individuals from those with CRC</w:t>
      </w:r>
      <w:r>
        <w:t xml:space="preserve"> </w:t>
      </w:r>
      <w:r>
        <w:t xml:space="preserve">[16, 17]</w:t>
      </w:r>
      <w:r>
        <w:t xml:space="preserve">. In the present study we expanded upon those findings by demonstrating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This study was approved by the University of Michigan Institutional Review Board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Curated sequences were clustered in to operational taxonomic units (OTUs) using a 97% similarity cutoff with the average neighbor clustering algorithm.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Random Forest models were generated using the AUCRF package</w:t>
      </w:r>
      <w:r>
        <w:t xml:space="preserve"> </w:t>
      </w:r>
      <w:r>
        <w:t xml:space="preserve">[21]</w:t>
      </w:r>
      <w:r>
        <w:t xml:space="preserve">. The AUC of ROC curves was compared using the method described by DeLong et al.</w:t>
      </w:r>
      <w:r>
        <w:t xml:space="preserve"> </w:t>
      </w:r>
      <w:r>
        <w:t xml:space="preserve">[22]</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[23]</w:t>
      </w:r>
      <w:r>
        <w:t xml:space="preserve">. The sensitivities of FIT and the MMT were compared using McNemar's chi-squared test. To control for diagnosis while testing the effects of sex on the microbiome we used PERMANOVA as implemented in the adonis funciton in the vegan package.</w:t>
      </w:r>
    </w:p>
    <w:p>
      <w:pPr>
        <w:pStyle w:val="Heading3"/>
      </w:pPr>
      <w:bookmarkStart w:id="25" w:name="results"/>
      <w:bookmarkEnd w:id="25"/>
      <w:r>
        <w:t xml:space="preserve">Results</w:t>
      </w:r>
    </w:p>
    <w:p>
      <w:r>
        <w:rPr>
          <w:i/>
        </w:rPr>
        <w:t xml:space="preserve">Complementary detection of lesions by FIT and the microbiota</w:t>
      </w:r>
      <w:r>
        <w:br w:type="textWrapping"/>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cancer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[21]</w:t>
      </w:r>
      <w:r>
        <w:t xml:space="preserve">. The optimal model utilized 34 bacterial populations (Fig. S1B,Fig. S1C). Consistent with previous observations, the bacteria most strongly associated with CRC belonged to taxa commonly associated with the oral cavity, including Pophyromonas, Fusobacterium, Parvimonas, Peptostreptococcus, Gemella, and Prevotella</w:t>
      </w:r>
      <w:r>
        <w:t xml:space="preserve"> </w:t>
      </w:r>
      <w:r>
        <w:t xml:space="preserve">[17, 24]</w:t>
      </w:r>
      <w:r>
        <w:t xml:space="preserve"> </w:t>
      </w:r>
      <w:r>
        <w:t xml:space="preserve">(Fig. S1A). The ROC curve for the model had an AUC of 0.837, which is similar to AUCs reported for other microbiota-based models for CRC</w:t>
      </w:r>
      <w:r>
        <w:t xml:space="preserve"> </w:t>
      </w:r>
      <w:r>
        <w:t xml:space="preserve">[16, 17]</w:t>
      </w:r>
      <w:r>
        <w:t xml:space="preserve">, but significantly lower than that of FIT (FIT AUC:0.929, p=0.0046, Fig. 1A). At the manufacturer recommended cutoff of 100ng/ml FIT detected 75% of cancers with a specificity of 97.1%. At its optimal cutoff (0.46) the microbiota model detected 69.2% of cancers with a specificity of 89%.</w:t>
      </w:r>
    </w:p>
    <w:p>
      <w:r>
        <w:t xml:space="preserve">To determine whether FIT and the microbiota model were detecting the same lesions, we compared the results of the two tests for each sample. Most cancers (53.3%) were detected by both FIT and the microbiota model, while 37.5% of cancers were only detected by one of the two tests (Fig. 1B). Thus each test detected cancers that the other failed to detect, suggesting the two methods could complement each other if combined into a single test.</w:t>
      </w:r>
    </w:p>
    <w:p>
      <w:r>
        <w:t xml:space="preserve">One of the problems with FIT and other stool-based is their inability to detect adenomas. Therefrore we generated a random forest model for differentiating normal individuals from those with adenomas using the relative abundance 22 bacterial populations. The AUC for the microbiota model (0.673) was slightly, but not significantly, higer than that of FIT (FIT AUC:0.639, p&gt;0.05, Fig. 1C). At the manufacturer the 100ng/ml cutoff FIT detected 15.7% of cancers with a specificity of 97.1%. Setting the microbiota model to the same 97.1% specificity resulted 18.2% sensitivity for adenomas. When comparing the results of the tests for each sample, only 2.5% of adenomas were detected by both tests, while 28.8% were detected by one of the two tests (Fig. 1D). Therefore combining FIT with microbiota biomarkers should be especially effective at improving the detection of adenomas.</w:t>
      </w:r>
    </w:p>
    <w:p>
      <w:r>
        <w:rPr>
          <w:i/>
        </w:rPr>
        <w:t xml:space="preserve">Multitarget Microbiota Test for colonic lesions.</w:t>
      </w:r>
      <w:r>
        <w:t xml:space="preserve"> </w:t>
      </w:r>
      <w:r>
        <w:t xml:space="preserve">Based on these observations, we hypothesized that a single model that combined bacterial abundances and FIT would have improved sensitivity for colonic lesions compared to FIT alone. Therefore we developed a random forest model using both the microbiota and FIT that would differentiate normal individuals from those with any type of colonic lesion (i.e. adenoma or carcinoma). The optimal model, referred to as the Multitarget Microbiota Test (MMT), used 23 OTUs (Fig. S3). Of those OTUs, 16 were members of the Firmicutes phylum, including 3 from the Ruminococcaceae family and 10 from the Lachnospiraceae family, the predominant producers of butyrate in the gut</w:t>
      </w:r>
      <w:r>
        <w:t xml:space="preserve"> </w:t>
      </w:r>
      <w:r>
        <w:t xml:space="preserve">[25]</w:t>
      </w:r>
      <w:r>
        <w:t xml:space="preserve"> </w:t>
      </w:r>
      <w:r>
        <w:t xml:space="preserve">(Fig.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26]</w:t>
      </w:r>
      <w:r>
        <w:t xml:space="preserve">. Like other studies</w:t>
      </w:r>
      <w:r>
        <w:t xml:space="preserve">[11, 16]</w:t>
      </w:r>
      <w:r>
        <w:t xml:space="preserve"> </w:t>
      </w:r>
      <w:r>
        <w:t xml:space="preserve">we also observed an OTU associated with</w:t>
      </w:r>
      <w:r>
        <w:t xml:space="preserve"> </w:t>
      </w:r>
      <w:r>
        <w:rPr>
          <w:i/>
        </w:rPr>
        <w:t xml:space="preserve">Fusobacterium nucleatum</w:t>
      </w:r>
      <w:r>
        <w:t xml:space="preserve"> </w:t>
      </w:r>
      <w:r>
        <w:t xml:space="preserve">that was enriched in cancer samples, however its relative abundance did not add sufficient information to be included in the model. Interestingly the majority of OTUs used in the model, especially the Lachnospiraceae, were enriched in normal patients, suggesting that a loss of beneficial organisms in addition to the emergence of pathogens may be indicative of CRC development.</w:t>
      </w:r>
    </w:p>
    <w:p>
      <w:r>
        <w:rPr>
          <w:i/>
        </w:rPr>
        <w:t xml:space="preserve">Comparison to FIT.</w:t>
      </w:r>
      <w:r>
        <w:br w:type="textWrapping"/>
      </w:r>
      <w:r>
        <w:t xml:space="preserve">To determine whether microbiota sequence data could be used to complement FIT, we compared the performance of the MMT to FIT. The AUC for the MMT (AUC=0.755) was significantly higher than FIT (AUC=0.639) for distinguishing adenoma from normal (p&lt;0.001) or all lesions from normal (FIT AUC=0.749, MMT AUC=0.829, p&lt;0.001), but not cancer from normal (FIT AUC=0.929, MMT AUC=0.952, p=0.091) (Fig. 2A). To generate a categorical prediction from the MMT, we determined that the optimal threshold for the models's probability was 0.622 using Youden's J statisitc</w:t>
      </w:r>
      <w:r>
        <w:t xml:space="preserve"> </w:t>
      </w:r>
      <w:r>
        <w:t xml:space="preserve">[23]</w:t>
      </w:r>
      <w:r>
        <w:t xml:space="preserve">. Samples scoring above this cutoff were classified as lesions, and those below the cutoff were classified as normal. We then compared the sensitivity and specificity of the MMT to those of FIT using the manufacturer recommended threshold of 100 ng/ml of hemoglobin. At these cutoffs the MMT detected 95.0% of cancers and 57.1% of adenomas compared to 75.0% and 15.7% for FIT (Table 1, Fig. 2B).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 All samples that tested positive by FIT also tested positive by the MMT, indicating that the MMT did not miss any of the lesions that FIT was able to detect. However the MMT was able to detect 80% of cancers and 49.1% of adenomas that FIT had failed to detect, while maintaining a specificity of 86.2% (Fig. S5).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[27]</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(Supplementary Table 1). MMT was able to identify a large proportion of true positives among individuals with a negative FIT result (55.1% for cancer, 72.0% for advanced adenoma, 82.5% for non-advanced adenoma).</w:t>
      </w:r>
    </w:p>
    <w:p>
      <w:r>
        <w:rPr>
          <w:i/>
        </w:rPr>
        <w:t xml:space="preserve">Effect of sex on model performance.</w:t>
      </w:r>
      <w:r>
        <w:br w:type="textWrapping"/>
      </w:r>
      <w:r>
        <w:t xml:space="preserve">Previous studies have identified differences in diagnostic test performance for certain demographic groups or for people taking certain medications</w:t>
      </w:r>
      <w:r>
        <w:t xml:space="preserve"> </w:t>
      </w:r>
      <w:r>
        <w:t xml:space="preserve">[28–30]</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(p=0.016;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seems to be due to differences in FIT results rather than differences in the microbiome. After correcting for diagnosis, there was a significant effect of sex on FIT result (p=0.0057, two-way ANOVA), but not on the overall structure of the microbiome(p=0.063, PERMANOVA).</w:t>
      </w:r>
    </w:p>
    <w:p>
      <w:pPr>
        <w:pStyle w:val="Heading3"/>
      </w:pPr>
      <w:bookmarkStart w:id="26" w:name="discussion"/>
      <w:bookmarkEnd w:id="26"/>
      <w:r>
        <w:t xml:space="preserve">Discussion</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CRC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biomarkers such as the host-associated biomarkers or those targeting specific genes involved in the underlying mechanism of tumorigenesis such as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[31]</w:t>
      </w:r>
      <w:r>
        <w:t xml:space="preserve">. Such models are likely to be useful as microbiota sequencing gains traction as a tool for characterizing health.</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significantly higher sensitivity for lesions at almost all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at its core, is the purpose of preventive screening – finding lesions earlier so that cancer would be avoided.</w:t>
      </w:r>
    </w:p>
    <w:p>
      <w:r>
        <w:rPr>
          <w:b/>
        </w:rPr>
        <w:t xml:space="preserve">Supplementary Materials:</w:t>
      </w:r>
      <w:r>
        <w:br w:type="textWrapping"/>
      </w:r>
      <w:r>
        <w:t xml:space="preserve">Fig. S1. Variable selection for MMT.</w:t>
      </w:r>
      <w:r>
        <w:br w:type="textWrapping"/>
      </w:r>
      <w:r>
        <w:t xml:space="preserve">Fig. S2. Bacterial OTUs in MMT.</w:t>
      </w:r>
      <w:r>
        <w:br w:type="textWrapping"/>
      </w:r>
      <w:r>
        <w:t xml:space="preserve">Fig. S3. MMT Probabilities based on FIT results.</w:t>
      </w:r>
      <w:r>
        <w:br w:type="textWrapping"/>
      </w:r>
      <w:r>
        <w:t xml:space="preserve">Fig. S4. Effect of sex on MMT performance.</w:t>
      </w:r>
      <w:r>
        <w:br w:type="textWrapping"/>
      </w:r>
      <w:r>
        <w:t xml:space="preserve">Table S1. Estimated MMT performance on average risk population.</w:t>
      </w:r>
    </w:p>
    <w:p>
      <w:r>
        <w:rPr>
          <w:b/>
        </w:rPr>
        <w:t xml:space="preserve">Competing interests:</w:t>
      </w:r>
      <w:r>
        <w:t xml:space="preserve"> </w:t>
      </w:r>
      <w:r>
        <w:t xml:space="preserve">The authors declare no competing financial interests.</w:t>
      </w:r>
    </w:p>
    <w:p>
      <w:r>
        <w:rPr>
          <w:b/>
        </w:rPr>
        <w:t xml:space="preserve">Author Contributions:</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Data and materials availability:</w:t>
      </w:r>
      <w:r>
        <w:t xml:space="preserve"> </w:t>
      </w:r>
      <w:r>
        <w:t xml:space="preserve">Raw fastq files and a MIMARKS file are available through the NCBI Sequence Read Archive [SRP062005]. A data analysis pipeline and all necessary scripts are available at github.com/SchlossLab/Baxter_glne007Modeling_2015.</w:t>
      </w:r>
    </w:p>
    <w:p>
      <w:pPr>
        <w:pStyle w:val="Heading3"/>
      </w:pPr>
      <w:bookmarkStart w:id="28" w:name="figures"/>
      <w:bookmarkEnd w:id="28"/>
      <w:r>
        <w:t xml:space="preserve">Figures</w:t>
      </w:r>
    </w:p>
    <w:p>
      <w:r>
        <w:rPr>
          <w:b/>
        </w:rPr>
        <w:t xml:space="preserve">Figures:</w:t>
      </w:r>
    </w:p>
    <w:p>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2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1. Figure title.</w:t>
      </w:r>
      <w:r>
        <w:t xml:space="preserve"> </w:t>
      </w:r>
      <w:r>
        <w:t xml:space="preserve">Figure description.</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(purple), normal from cancer (red) and normal from adenoma (blue). Filled dots show the sensitivity and specificity of the MMT at the optimal cutoff (0.622). Open dots show the sensitivity and specificity of FIT at the 100ng/ml cutoff. (B) Strip charts showing the results for FIT and the MMT. Dashed lines show the cutoff for each test. Points with a FIT result of 0 are jittered to improve visibility.</w:t>
      </w:r>
    </w:p>
    <w:p>
      <w:r>
        <w:drawing>
          <wp:inline>
            <wp:extent cx="6489700" cy="2442117"/>
            <wp:effectExtent b="0" l="0" r="0" t="0"/>
            <wp:docPr descr="" id="1" name="Picture"/>
            <a:graphic>
              <a:graphicData uri="http://schemas.openxmlformats.org/drawingml/2006/picture">
                <pic:pic>
                  <pic:nvPicPr>
                    <pic:cNvPr descr="results/tables/Schloss_table1.png" id="0" name="Picture"/>
                    <pic:cNvPicPr>
                      <a:picLocks noChangeArrowheads="1" noChangeAspect="1"/>
                    </pic:cNvPicPr>
                  </pic:nvPicPr>
                  <pic:blipFill>
                    <a:blip r:embed="rId31"/>
                    <a:stretch>
                      <a:fillRect/>
                    </a:stretch>
                  </pic:blipFill>
                  <pic:spPr bwMode="auto">
                    <a:xfrm>
                      <a:off x="0" y="0"/>
                      <a:ext cx="6489700" cy="2442117"/>
                    </a:xfrm>
                    <a:prstGeom prst="rect">
                      <a:avLst/>
                    </a:prstGeom>
                    <a:noFill/>
                    <a:ln w="9525">
                      <a:noFill/>
                      <a:headEnd/>
                      <a:tailEnd/>
                    </a:ln>
                  </pic:spPr>
                </pic:pic>
              </a:graphicData>
            </a:graphic>
          </wp:inline>
        </w:drawing>
      </w:r>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Results of FIT and MMT for each sample.</w:t>
      </w:r>
      <w:r>
        <w:t xml:space="preserve"> </w:t>
      </w:r>
      <w:r>
        <w:t xml:space="preserve">Dashed lines show the cutoff for each test. Points with a FIT result of 0 are jittered to improve visibility.</w:t>
      </w:r>
    </w:p>
    <w:p>
      <w:pPr>
        <w:pStyle w:val="Heading3"/>
      </w:pPr>
      <w:bookmarkStart w:id="34" w:name="supplementary-figures"/>
      <w:bookmarkEnd w:id="34"/>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6"/>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w:t>
      </w:r>
      <w:r>
        <w:t xml:space="preserve"> </w:t>
      </w:r>
      <w:r>
        <w:t xml:space="preserve">Bacterial OTUs in MMT. 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w:t>
      </w:r>
      <w:r>
        <w:t xml:space="preserve"> </w:t>
      </w:r>
      <w:r>
        <w:t xml:space="preserve">Effect of sex on MMT performance. ROC curves (left) and stripchart (right) of MMT results separated by sex.</w:t>
      </w:r>
    </w:p>
    <w:p>
      <w:r>
        <w:drawing>
          <wp:inline>
            <wp:extent cx="1524000" cy="1524000"/>
            <wp:effectExtent b="0" l="0" r="0" t="0"/>
            <wp:docPr descr="" id="1" name="Picture"/>
            <a:graphic>
              <a:graphicData uri="http://schemas.openxmlformats.org/drawingml/2006/picture">
                <pic:pic>
                  <pic:nvPicPr>
                    <pic:cNvPr descr="results/tables/Schloss_EDtable1.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Table 6.</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r>
        <w:rPr>
          <w:b/>
        </w:rP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w:t>
      </w:r>
      <w:r>
        <w:t xml:space="preserve">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w:t>
      </w:r>
      <w:r>
        <w:t xml:space="preserve">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w:t>
      </w:r>
      <w:r>
        <w:t xml:space="preserve">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w:t>
      </w:r>
      <w:r>
        <w:t xml:space="preserve">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w:t>
      </w:r>
      <w:r>
        <w:t xml:space="preserve">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w:t>
      </w:r>
      <w:r>
        <w:t xml:space="preserve">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w:t>
      </w:r>
      <w:r>
        <w:t xml:space="preserve">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w:t>
      </w:r>
      <w:r>
        <w:t xml:space="preserve">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w:t>
      </w:r>
      <w:r>
        <w:t xml:space="preserve">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w:t>
      </w:r>
      <w:r>
        <w:t xml:space="preserve">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w:t>
      </w:r>
      <w:r>
        <w:t xml:space="preserve">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w:t>
      </w:r>
      <w:r>
        <w:t xml:space="preserve">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w:t>
      </w:r>
      <w:r>
        <w:t xml:space="preserve">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w:t>
      </w:r>
      <w:r>
        <w:t xml:space="preserve">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w:t>
      </w:r>
      <w:r>
        <w:t xml:space="preserve">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w:t>
      </w:r>
      <w:r>
        <w:t xml:space="preserve">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w:t>
      </w:r>
      <w:r>
        <w:t xml:space="preserve">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w:t>
      </w:r>
      <w:r>
        <w:t xml:space="preserve">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w:t>
      </w:r>
      <w:r>
        <w:t xml:space="preserve">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w:t>
      </w:r>
      <w:r>
        <w:t xml:space="preserve">2013,</w:t>
      </w:r>
      <w:r>
        <w:t xml:space="preserve"> </w:t>
      </w:r>
      <w:r>
        <w:rPr>
          <w:b/>
        </w:rPr>
        <w:t xml:space="preserve">79</w:t>
      </w:r>
      <w:r>
        <w:t xml:space="preserve">:5112–5120.</w:t>
      </w:r>
    </w:p>
    <w:p>
      <w:pPr>
        <w:pStyle w:val="Bibliography"/>
      </w:pPr>
      <w:r>
        <w:t xml:space="preserve">21.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w:t>
      </w:r>
      <w:r>
        <w:t xml:space="preserve">2011,</w:t>
      </w:r>
      <w:r>
        <w:t xml:space="preserve"> </w:t>
      </w:r>
      <w:r>
        <w:rPr>
          <w:b/>
        </w:rPr>
        <w:t xml:space="preserve">72</w:t>
      </w:r>
      <w:r>
        <w:t xml:space="preserve">:121–132.</w:t>
      </w:r>
    </w:p>
    <w:p>
      <w:pPr>
        <w:pStyle w:val="Bibliography"/>
      </w:pPr>
      <w:r>
        <w:t xml:space="preserve">22.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w:t>
      </w:r>
      <w:r>
        <w:t xml:space="preserve">1988:837–845.</w:t>
      </w:r>
    </w:p>
    <w:p>
      <w:pPr>
        <w:pStyle w:val="Bibliography"/>
      </w:pPr>
      <w:r>
        <w:t xml:space="preserve">23. Youden WJ:</w:t>
      </w:r>
      <w:r>
        <w:t xml:space="preserve"> </w:t>
      </w:r>
      <w:r>
        <w:rPr>
          <w:b/>
        </w:rPr>
        <w:t xml:space="preserve">Index for rating diagnostic tests</w:t>
      </w:r>
      <w:r>
        <w:t xml:space="preserve">.</w:t>
      </w:r>
      <w:r>
        <w:t xml:space="preserve"> </w:t>
      </w:r>
      <w:r>
        <w:rPr>
          <w:i/>
        </w:rPr>
        <w:t xml:space="preserve">Cancer</w:t>
      </w:r>
      <w:r>
        <w:t xml:space="preserve"> </w:t>
      </w:r>
      <w:r>
        <w:t xml:space="preserve">1950,</w:t>
      </w:r>
      <w:r>
        <w:t xml:space="preserve"> </w:t>
      </w:r>
      <w:r>
        <w:rPr>
          <w:b/>
        </w:rPr>
        <w:t xml:space="preserve">3</w:t>
      </w:r>
      <w:r>
        <w:t xml:space="preserve">:32–35.</w:t>
      </w:r>
    </w:p>
    <w:p>
      <w:pPr>
        <w:pStyle w:val="Bibliography"/>
      </w:pPr>
      <w:r>
        <w:t xml:space="preserve">24.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w:t>
      </w:r>
      <w:r>
        <w:t xml:space="preserve">2013,</w:t>
      </w:r>
      <w:r>
        <w:t xml:space="preserve"> </w:t>
      </w:r>
      <w:r>
        <w:rPr>
          <w:b/>
        </w:rPr>
        <w:t xml:space="preserve">1</w:t>
      </w:r>
      <w:r>
        <w:t xml:space="preserve">:16.</w:t>
      </w:r>
    </w:p>
    <w:p>
      <w:pPr>
        <w:pStyle w:val="Bibliography"/>
      </w:pPr>
      <w:r>
        <w:t xml:space="preserve">25.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w:t>
      </w:r>
      <w:r>
        <w:t xml:space="preserve">2002,</w:t>
      </w:r>
      <w:r>
        <w:t xml:space="preserve"> </w:t>
      </w:r>
      <w:r>
        <w:rPr>
          <w:b/>
        </w:rPr>
        <w:t xml:space="preserve">217</w:t>
      </w:r>
      <w:r>
        <w:t xml:space="preserve">:133–139.</w:t>
      </w:r>
    </w:p>
    <w:p>
      <w:pPr>
        <w:pStyle w:val="Bibliography"/>
      </w:pPr>
      <w:r>
        <w:t xml:space="preserve">26.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:739–750.</w:t>
      </w:r>
    </w:p>
    <w:p>
      <w:pPr>
        <w:pStyle w:val="Bibliography"/>
      </w:pPr>
      <w:r>
        <w:t xml:space="preserve">27.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w:t>
      </w:r>
      <w:r>
        <w:t xml:space="preserve">2009,</w:t>
      </w:r>
      <w:r>
        <w:t xml:space="preserve"> </w:t>
      </w:r>
      <w:r>
        <w:rPr>
          <w:b/>
        </w:rPr>
        <w:t xml:space="preserve">7</w:t>
      </w:r>
      <w:r>
        <w:t xml:space="preserve">:1272–1278.</w:t>
      </w:r>
    </w:p>
    <w:p>
      <w:pPr>
        <w:pStyle w:val="Bibliography"/>
      </w:pPr>
      <w:r>
        <w:t xml:space="preserve">28.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w:t>
      </w:r>
      <w:r>
        <w:t xml:space="preserve">2015:0969141315584783.</w:t>
      </w:r>
    </w:p>
    <w:p>
      <w:pPr>
        <w:pStyle w:val="Bibliography"/>
      </w:pPr>
      <w:r>
        <w:t xml:space="preserve">29.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w:t>
      </w:r>
      <w:r>
        <w:t xml:space="preserve">2015.</w:t>
      </w:r>
    </w:p>
    <w:p>
      <w:pPr>
        <w:pStyle w:val="Bibliography"/>
      </w:pPr>
      <w:r>
        <w:t xml:space="preserve">30.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:933–938.</w:t>
      </w:r>
    </w:p>
    <w:p>
      <w:pPr>
        <w:pStyle w:val="Bibliography"/>
      </w:pPr>
      <w:r>
        <w:t xml:space="preserve">31.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w:t>
      </w:r>
      <w:r>
        <w:t xml:space="preserve">2015,</w:t>
      </w:r>
      <w:r>
        <w:t xml:space="preserve"> </w:t>
      </w:r>
      <w:r>
        <w:rPr>
          <w:b/>
        </w:rPr>
        <w:t xml:space="preserve">6</w:t>
      </w:r>
      <w:r>
        <w:t xml:space="preserve">.</w:t>
      </w:r>
    </w:p>
    <w:sectPr w:rsidR="00935249" w:rsidSect="00263878">
      <w:footerReference w:type="even" r:id="rId8"/>
      <w:footerReference w:type="default" r:id="rId9"/>
      <w:pgSz w:w="12240" w:h="15840"/>
      <w:pgMar w:top="864" w:right="864" w:bottom="864" w:left="1152"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487">
      <w:rPr>
        <w:rStyle w:val="PageNumber"/>
        <w:noProof/>
      </w:rPr>
      <w:t>1</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2a0b5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2" Target="media/rId32.pdf" /><Relationship Type="http://schemas.openxmlformats.org/officeDocument/2006/relationships/image" Id="rId33" Target="media/rId33.pdf" /><Relationship Type="http://schemas.openxmlformats.org/officeDocument/2006/relationships/image" Id="rId35" Target="media/rId35.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31" Target="media/rId31.png"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