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One Sentence Summary:</w:t>
      </w:r>
      <w:r>
        <w:t xml:space="preserve"> </w:t>
      </w:r>
      <w:r>
        <w:t xml:space="preserve">A microbiota-based model complements the fecal immunochemcial test to improve the sensitivity for detecting colonic lesions.</w:t>
      </w:r>
    </w:p>
    <w:p>
      <w:r>
        <w:rPr>
          <w:b/>
        </w:rPr>
        <w:t xml:space="preserve">Abstract:</w:t>
      </w:r>
      <w:r>
        <w:t xml:space="preserve"> </w:t>
      </w:r>
      <w:r>
        <w:t xml:space="preserve">Colorectal cancer is the second leading cause of death among cancers in the United States</w:t>
      </w:r>
      <w:r>
        <w:t xml:space="preserve"> </w:t>
      </w:r>
      <w:r>
        <w:rPr>
          <w:i/>
        </w:rPr>
        <w:t xml:space="preserve">(1)</w:t>
      </w:r>
      <w:r>
        <w:t xml:space="preserve">. Although individuals diagnosed early have a greater than 90% chance of survival, more than one-third of individuals do not adhere to screening recommendations partly because the standard diagnostics, colonoscopy and sigmoidoscopy, are expensive and invasive</w:t>
      </w:r>
      <w:r>
        <w:t xml:space="preserve"> </w:t>
      </w:r>
      <w:r>
        <w:rPr>
          <w:i/>
        </w:rPr>
        <w:t xml:space="preserve">(1–4)</w:t>
      </w:r>
      <w: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t xml:space="preserve"> </w:t>
      </w:r>
      <w:r>
        <w:rPr>
          <w:i/>
        </w:rPr>
        <w:t xml:space="preserve">(5–8)</w:t>
      </w:r>
      <w:r>
        <w:t xml:space="preserve">. These findings have been complemented by studies in human populations identifying shifts in the composition of the gut microbiota associated with the progression of colorectal cancer</w:t>
      </w:r>
      <w:r>
        <w:t xml:space="preserve"> </w:t>
      </w:r>
      <w:r>
        <w:rPr>
          <w:i/>
        </w:rPr>
        <w:t xml:space="preserve">(9–13)</w:t>
      </w:r>
      <w: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detected 75.0% and 15.7%, respectively. Of the colonic lesions missed by FIT, the model detected 80.0% of cancers and 49.1% of adenomas. These findings demonstrate the potential for microbiota analysis to complement existing screening methods to improve detection of colonic lesions. With a high sensitivity and low rate of false negatives, our model could be used to accurately identify asymptomatic individuals with preclinical disease and, thus, save lives.</w:t>
      </w:r>
    </w:p>
    <w:p>
      <w:pPr>
        <w:pStyle w:val="Heading4"/>
      </w:pPr>
      <w:bookmarkStart w:id="22" w:name="introduction"/>
      <w:bookmarkEnd w:id="22"/>
      <w:r>
        <w:t xml:space="preserve">Introduction</w:t>
      </w:r>
    </w:p>
    <w:p>
      <w:r>
        <w:t xml:space="preserve">Colorectal cancer mortality has steadily declined in recent decades, due in large part to increased screening</w:t>
      </w:r>
      <w:r>
        <w:t xml:space="preserve"> </w:t>
      </w:r>
      <w:r>
        <w:rPr>
          <w:i/>
        </w:rPr>
        <w:t xml:space="preserve">(1)</w:t>
      </w:r>
      <w:r>
        <w:t xml:space="preserve">. Yet current screening tests, the fecal immunochemical test (FIT) and the multitarget DNA test, have a sensitivity of 7.6% and 17.2%, respectively, for detecting non-advanced adenoma – just the type of early lesion that screening is meant to identify</w:t>
      </w:r>
      <w:r>
        <w:rPr>
          <w:i/>
        </w:rPr>
        <w:t xml:space="preserve">(14)</w:t>
      </w:r>
      <w:r>
        <w:t xml:space="preserve">.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w:t>
      </w:r>
      <w:r>
        <w:t xml:space="preserve"> </w:t>
      </w:r>
      <w:r>
        <w:rPr>
          <w:i/>
        </w:rPr>
        <w:t xml:space="preserve">(4)</w:t>
      </w:r>
      <w:r>
        <w:t xml:space="preserve">. Likewise the large disparity in screening rates between those with and without health insurance highlights the need for inexpensive screening methods</w:t>
      </w:r>
      <w:r>
        <w:t xml:space="preserve"> </w:t>
      </w:r>
      <w:r>
        <w:rPr>
          <w:i/>
        </w:rPr>
        <w:t xml:space="preserve">(1–3)</w:t>
      </w:r>
      <w:r>
        <w:t xml:space="preserve">. Unfortunately cheaper, less invasive stool-based tests like guaic fecal occult blood test and FIT are unable to reliably detect adenomas</w:t>
      </w:r>
      <w:r>
        <w:t xml:space="preserve"> </w:t>
      </w:r>
      <w:r>
        <w:rPr>
          <w:i/>
        </w:rPr>
        <w:t xml:space="preserve">(15)</w:t>
      </w:r>
      <w:r>
        <w:t xml:space="preserve">. The newly introduced stool DNA panel has improved accuracy compared to FIT, but is still limited in its ability to accurately detect adenomas</w:t>
      </w:r>
      <w:r>
        <w:t xml:space="preserve"> </w:t>
      </w:r>
      <w:r>
        <w:rPr>
          <w:i/>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t xml:space="preserve"> </w:t>
      </w:r>
      <w:r>
        <w:rPr>
          <w:i/>
        </w:rPr>
        <w:t xml:space="preserve">(9–13)</w:t>
      </w:r>
      <w:r>
        <w:t xml:space="preserve">. Experiments in animal models have demonstrated that such alterations have the potential to accelerate tumorigenesis</w:t>
      </w:r>
      <w:r>
        <w:t xml:space="preserve"> </w:t>
      </w:r>
      <w:r>
        <w:rPr>
          <w:i/>
        </w:rPr>
        <w:t xml:space="preserve">(5)</w:t>
      </w:r>
      <w:r>
        <w:t xml:space="preserve">. Furthermore, several members of the gut microbiota have been shown to potentiate both the development and progression of CRC by a variety of mechanisms</w:t>
      </w:r>
      <w:r>
        <w:t xml:space="preserve"> </w:t>
      </w:r>
      <w:r>
        <w:rPr>
          <w:i/>
        </w:rPr>
        <w:t xml:space="preserve">(6–8)</w:t>
      </w:r>
      <w:r>
        <w:t xml:space="preserve">.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t xml:space="preserve"> </w:t>
      </w:r>
      <w:r>
        <w:rPr>
          <w:i/>
        </w:rPr>
        <w:t xml:space="preserve">(16, 17)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t xml:space="preserve"> </w:t>
      </w:r>
      <w:r>
        <w:rPr>
          <w:i/>
        </w:rPr>
        <w:t xml:space="preserve">(18)</w:t>
      </w:r>
      <w:r>
        <w:t xml:space="preserve">. By incorporating data on hemoglobin and bacterial abundances into a single model (labeled the Multitarget Microbiota Test or MMT), we were able to improve the sensitivity for adenomas and cancer compared to FIT alone.</w:t>
      </w:r>
    </w:p>
    <w:p>
      <w:pPr>
        <w:pStyle w:val="Heading4"/>
      </w:pPr>
      <w:bookmarkStart w:id="23" w:name="results"/>
      <w:bookmarkEnd w:id="23"/>
      <w:r>
        <w:t xml:space="preserve">Results</w:t>
      </w:r>
    </w:p>
    <w:p>
      <w:r>
        <w:rPr>
          <w:i/>
        </w:rPr>
        <w:t xml:space="preserve">Generating the MMT.</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hemoglobin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MMT</w:t>
      </w:r>
      <w:r>
        <w:t xml:space="preserve"> </w:t>
      </w:r>
      <w:r>
        <w:rPr>
          <w:i/>
        </w:rPr>
        <w:t xml:space="preserve">(19)</w:t>
      </w:r>
      <w:r>
        <w:t xml:space="preserve">. The optimal model combining hemoglobin results and the microbiota used 23 bacterial populations, or operational taxonomic units (OTUs) (Fig. S1). Of those OTUs, 16 were members of the Firmicutes phylum, including 3 from the Ruminococcaceae family and 10 from the Lachnospiraceae family, the predominant producers of butyrate in the gut</w:t>
      </w:r>
      <w:r>
        <w:t xml:space="preserve"> </w:t>
      </w:r>
      <w:r>
        <w:rPr>
          <w:i/>
        </w:rPr>
        <w:t xml:space="preserve">(20)</w:t>
      </w:r>
      <w:r>
        <w:t xml:space="preserve"> </w:t>
      </w:r>
      <w:r>
        <w:t xml:space="preserve">(Fig. S2).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t xml:space="preserve"> </w:t>
      </w:r>
      <w:r>
        <w:rPr>
          <w:i/>
        </w:rPr>
        <w:t xml:space="preserve">(16, 21)</w:t>
      </w:r>
      <w:r>
        <w:t xml:space="preserve">. Like other studies</w:t>
      </w:r>
      <w:r>
        <w:rPr>
          <w:i/>
        </w:rPr>
        <w:t xml:space="preserve">(13, 16)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rPr>
          <w:i/>
        </w:rPr>
        <w:t xml:space="preserve">Comparison to FIT.</w:t>
      </w:r>
    </w:p>
    <w:p>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1A). To generate a categorical prediction from the MMT, we determined that the optimal threshold for the models's probability was 0.622 using Youden's J statisitc</w:t>
      </w:r>
      <w:r>
        <w:t xml:space="preserve"> </w:t>
      </w:r>
      <w:r>
        <w:rPr>
          <w:i/>
        </w:rPr>
        <w:t xml:space="preserve">(22)</w:t>
      </w:r>
      <w:r>
        <w:t xml:space="preserve">.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1B). When adenomas and cancers were pooled together, the MMT detected 71.4% of lesions, while FIT only detected 38.1%. The MMT significantly improved sensitivity for both advanced and non-advanced adenomas as well as multiple stages of cancer (Fig. 2). The increased sensitivity of the MMT was accompanied by a decrease in specificity (83.7%) compared to FIT (97.1%).</w:t>
      </w:r>
    </w:p>
    <w:p>
      <w:r>
        <w:t xml:space="preserve">To better understand the relationship between the MMT and FIT, we compared the results of the two tests for each sample (Fig. 3). All samples that tested positive by FIT also tested positive by the MMT, indicating that the MMT did not miss any of the lesions that FIT was able to detect. However the MMT was able to detect 80% of cancers and 49.1% of adenomas that FIT had failed to detect, while maintaining a specificity of 86.2% (Fig. S3). This result demonstrated that incorporation of data from a subject's microbiota complemented FIT to improve its sensitivity.</w:t>
      </w:r>
    </w:p>
    <w:p>
      <w:r>
        <w:t xml:space="preserve">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w:t>
      </w:r>
      <w:r>
        <w:t xml:space="preserve"> </w:t>
      </w:r>
      <w:r>
        <w:rPr>
          <w:i/>
        </w:rPr>
        <w:t xml:space="preserve">(23)</w:t>
      </w:r>
      <w:r>
        <w:t xml:space="preserve">.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r>
        <w:rPr>
          <w:i/>
        </w:rPr>
        <w:t xml:space="preserve">Effect of sex on model performance.</w:t>
      </w:r>
    </w:p>
    <w:p>
      <w:r>
        <w:t xml:space="preserve">Previous studies have identified differences in diagnostic test performance for certain demographic groups or for people taking certain medications</w:t>
      </w:r>
      <w:r>
        <w:t xml:space="preserve"> </w:t>
      </w:r>
      <w:r>
        <w:rPr>
          <w:i/>
        </w:rPr>
        <w:t xml:space="preserve">(24–26)</w:t>
      </w:r>
      <w:r>
        <w:t xml:space="preserve">.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Fig. S4).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pPr>
        <w:pStyle w:val="Heading4"/>
      </w:pPr>
      <w:bookmarkStart w:id="24" w:name="discussion"/>
      <w:bookmarkEnd w:id="24"/>
      <w:r>
        <w:t xml:space="preserve">Discussion</w:t>
      </w:r>
    </w:p>
    <w:p>
      <w:r>
        <w:t xml:space="preserve">It was recently shown that when FIT was combined with host-associated DNA biomarkers the ability to detect adenomas and carcinomas was significantly improved over FIT alone</w:t>
      </w:r>
      <w:r>
        <w:t xml:space="preserve"> </w:t>
      </w:r>
      <w:r>
        <w:rPr>
          <w:i/>
        </w:rPr>
        <w:t xml:space="preserve">(14)</w:t>
      </w:r>
      <w:r>
        <w:t xml:space="preserve">.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t xml:space="preserve"> </w:t>
      </w:r>
      <w:r>
        <w:rPr>
          <w:i/>
        </w:rPr>
        <w:t xml:space="preserve">(7, 8, 17)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t xml:space="preserve"> </w:t>
      </w:r>
      <w:r>
        <w:rPr>
          <w:i/>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pPr>
        <w:pStyle w:val="Heading4"/>
      </w:pPr>
      <w:bookmarkStart w:id="25" w:name="materials-and-methods"/>
      <w:bookmarkEnd w:id="25"/>
      <w:r>
        <w:t xml:space="preserve">Materials and Methods</w:t>
      </w:r>
    </w:p>
    <w:p>
      <w:r>
        <w:rPr>
          <w:b/>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i/>
        </w:rPr>
        <w:t xml:space="preserve">(28)</w:t>
      </w:r>
      <w:r>
        <w:t xml:space="preserve">. Stool samples were packed in ice, shipped to a processing center via next day delivery and stored at -80˚C. This study was approved by the University of Michigan Institutional Review Board and all subjects provided informed consent.</w:t>
      </w:r>
    </w:p>
    <w:p>
      <w:r>
        <w:rPr>
          <w:b/>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r>
        <w:rPr>
          <w:b/>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rPr>
          <w:i/>
        </w:rPr>
        <w:t xml:space="preserve">(29)</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rPr>
        <w:t xml:space="preserve">Sequence Curation.</w:t>
      </w:r>
      <w:r>
        <w:t xml:space="preserve"> </w:t>
      </w:r>
      <w:r>
        <w:t xml:space="preserve">The 16S rRNA gene sequences were curated using the mothur software package, as described previously</w:t>
      </w:r>
      <w:r>
        <w:t xml:space="preserve"> </w:t>
      </w:r>
      <w:r>
        <w:rPr>
          <w:i/>
        </w:rPr>
        <w:t xml:space="preserve">(29)</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rPr>
        <w:t xml:space="preserve">Statistical Methods.</w:t>
      </w:r>
      <w:r>
        <w:t xml:space="preserve"> </w:t>
      </w:r>
      <w:r>
        <w:t xml:space="preserve">All statistical analyses were performed using R. Random Forest models were generated using the AUCRF package</w:t>
      </w:r>
      <w:r>
        <w:t xml:space="preserve"> </w:t>
      </w:r>
      <w:r>
        <w:rPr>
          <w:i/>
        </w:rPr>
        <w:t xml:space="preserve">(19)</w:t>
      </w:r>
      <w:r>
        <w:t xml:space="preserve">. The AUC of ROC curves was compared using the method described by DeLong et al.</w:t>
      </w:r>
      <w:r>
        <w:t xml:space="preserve"> </w:t>
      </w:r>
      <w:r>
        <w:rPr>
          <w:i/>
        </w:rPr>
        <w:t xml:space="preserve">(30)</w:t>
      </w:r>
      <w:r>
        <w:t xml:space="preserve">. The optimal cutoff for the MMT was determined using Youden's</w:t>
      </w:r>
      <w:r>
        <w:t xml:space="preserve"> </w:t>
      </w:r>
      <w:r>
        <w:rPr>
          <w:i/>
        </w:rPr>
        <w:t xml:space="preserve">J</w:t>
      </w:r>
      <w:r>
        <w:t xml:space="preserve"> </w:t>
      </w:r>
      <w:r>
        <w:t xml:space="preserve">statistic as implemented in the pROC package in R</w:t>
      </w:r>
      <w:r>
        <w:t xml:space="preserve"> </w:t>
      </w:r>
      <w:r>
        <w:rPr>
          <w:i/>
        </w:rPr>
        <w:t xml:space="preserve">(22)</w:t>
      </w:r>
      <w:r>
        <w:t xml:space="preserve">. The sensitivities of FIT and the MMT were compared using McNemar's chi-squared test. To control for diagnosis while testing the effects of sex on the microbiome we used PERMANOVA as implemented in the adonis funciton in the vegan package.</w:t>
      </w:r>
    </w:p>
    <w:p>
      <w:r>
        <w:rPr>
          <w:b/>
        </w:rPr>
        <w:t xml:space="preserve">Supplementary Materials:</w:t>
      </w:r>
      <w:r>
        <w:br w:type="textWrapping"/>
      </w:r>
      <w:r>
        <w:t xml:space="preserve">Fig. S1. Variable selection for MMT. Fig. S2. Bacterial OTUs in MMT. Fig. S3. MMT Probabilities based on FIT results Fig. S4. Effect of sex on MMT performance. Table S1. Estimated MMT performance on average risk population.</w:t>
      </w:r>
    </w:p>
    <w:p>
      <w:r>
        <w:rPr>
          <w:b/>
        </w:rPr>
        <w:t xml:space="preserve">Competing interests:</w:t>
      </w:r>
      <w:r>
        <w:t xml:space="preserve"> </w:t>
      </w:r>
      <w:r>
        <w:t xml:space="preserve">The authors declare no competing financial interests.</w:t>
      </w:r>
    </w:p>
    <w:p>
      <w:r>
        <w:rPr>
          <w:b/>
        </w:rPr>
        <w:t xml:space="preserve">Author Contributions:</w:t>
      </w:r>
      <w:r>
        <w:t xml:space="preserve">All authors were involved in the conception and design of the study. NTB processed samples and analyzed the data. All authors interpreted the data. NTB and PDS wrote the manuscript. All authors reviewed and revised the manuscript. ###Figures</w:t>
      </w:r>
    </w:p>
    <w:p>
      <w:r>
        <w:rPr>
          <w:b/>
        </w:rPr>
        <w:t xml:space="preserve">Data and materials availability:</w:t>
      </w:r>
      <w:r>
        <w:t xml:space="preserve"> </w:t>
      </w:r>
      <w:r>
        <w:t xml:space="preserve">Raw fastq files and a MIMARKS file are available through the NCBI Sequence Read Archive [SRP062005]. A data analysis pipeline and all necessary scripts are available at github.com/SchlossLab/Baxter_glne007Modeling_2015.</w:t>
      </w:r>
    </w:p>
    <w:p>
      <w:r>
        <w:rPr>
          <w:b/>
        </w:rPr>
        <w:t xml:space="preserve">Figures:</w:t>
      </w:r>
      <w:r>
        <w:br w:type="textWrapping"/>
      </w:r>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Sensitivities and specificities for FIT and MMT. The 95% confidence intervals were computed with 2000 stratified bootstrap replicates.</w:t>
      </w:r>
    </w:p>
    <w:p>
      <w:r>
        <w:drawing>
          <wp:inline>
            <wp:extent cx="6489700" cy="3073594"/>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3073594"/>
                    </a:xfrm>
                    <a:prstGeom prst="rect">
                      <a:avLst/>
                    </a:prstGeom>
                    <a:noFill/>
                    <a:ln w="9525">
                      <a:noFill/>
                      <a:headEnd/>
                      <a:tailEnd/>
                    </a:ln>
                  </pic:spPr>
                </pic:pic>
              </a:graphicData>
            </a:graphic>
          </wp:inline>
        </w:drawing>
      </w:r>
      <w:r>
        <w:br w:type="textWrapping"/>
      </w:r>
      <w:r>
        <w:rPr>
          <w:b/>
        </w:rPr>
        <w:t xml:space="preserve">Fig. 1.</w:t>
      </w:r>
      <w:r>
        <w:t xml:space="preserve"> </w:t>
      </w:r>
      <w:r>
        <w:t xml:space="preserve">Comparing MMT to FIT. (A) ROC Curves for the MMT (solid lines) and FIT (dashed lines) for distinguishing normal from any lesion (purple), normal from cancer (red) and normal from adenoma (blue). Filled dots show the sensitivity and specificity of the MMT at the optimal cutoff (0.622). Open dots show the sensitivity and specificity of FIT at the 100ng/ml cutoff. (A) Strip charts showing the results for FIT and the MMT.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 2.</w:t>
      </w:r>
      <w:r>
        <w:t xml:space="preserve"> </w:t>
      </w:r>
      <w:r>
        <w:t xml:space="preserve">Sensitivities for FIT and MMT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 3.</w:t>
      </w:r>
      <w:r>
        <w:t xml:space="preserve"> </w:t>
      </w:r>
      <w:r>
        <w:t xml:space="preserve">Results of FIT and MMT for each sample. Dashed lines show the cutoff for each test. Points with a FIT result of 0 are jittered to improve visibility.</w:t>
      </w:r>
    </w:p>
    <w:p>
      <w:pPr>
        <w:pStyle w:val="Heading4"/>
      </w:pPr>
      <w:bookmarkStart w:id="30" w:name="supplementary-figures"/>
      <w:bookmarkEnd w:id="30"/>
      <w:r>
        <w:t xml:space="preserve">Supplementary Figures</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Supplementary Figure 1.</w:t>
      </w:r>
      <w:r>
        <w:t xml:space="preserve"> </w:t>
      </w:r>
      <w:r>
        <w:t xml:space="preserve">Variable selection for MMT. Change in out-of-bag AUC with number of features in the MMT.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Supplementary Figure 2.</w:t>
      </w:r>
      <w:r>
        <w:t xml:space="preserve"> </w:t>
      </w:r>
      <w:r>
        <w:t xml:space="preserve">Bacterial OTUs in MMT. Stripchart of the relative abundances of each OTU in the MMT with black lines at the medians.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Supplementary Figure 3.</w:t>
      </w:r>
      <w:r>
        <w:t xml:space="preserve"> </w:t>
      </w:r>
      <w:r>
        <w:t xml:space="preserve">MMT Probabilities based on FIT results. Stripchart of MMT results for samples with a positive or negative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4"/>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Supplementary Figure 4.</w:t>
      </w:r>
      <w:r>
        <w:t xml:space="preserve"> </w:t>
      </w:r>
      <w:r>
        <w:t xml:space="preserve">Effect of sex on MMT performance. ROC curves (left) and stripchart (right) of MMT results separated by sex.</w:t>
      </w:r>
    </w:p>
    <w:p>
      <w:r>
        <w:br w:type="textWrapping"/>
      </w:r>
      <w:r>
        <w:rPr>
          <w:b/>
        </w:rPr>
        <w:t xml:space="preserve">Supplementary Table 1.</w:t>
      </w:r>
      <w:r>
        <w:t xml:space="preserve"> </w:t>
      </w:r>
      <w:r>
        <w:t xml:space="preserve">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r>
        <w:rPr>
          <w:b/>
        </w:rPr>
        <w:t xml:space="preserve">References and Notes:</w:t>
      </w:r>
    </w:p>
    <w:p>
      <w:pPr>
        <w:pStyle w:val="Bibliography"/>
      </w:pPr>
      <w:r>
        <w:t xml:space="preserve">1. R. Siegel, C. DeSantis, A. Jemal, Colorectal cancer statistics, 2014.</w:t>
      </w:r>
      <w:r>
        <w:t xml:space="preserve"> </w:t>
      </w:r>
      <w:r>
        <w:rPr>
          <w:i/>
        </w:rPr>
        <w:t xml:space="preserve">CA: A Cancer Journal for Clinicians</w:t>
      </w:r>
      <w:r>
        <w:t xml:space="preserve"> </w:t>
      </w:r>
      <w:r>
        <w:rPr>
          <w:b/>
        </w:rPr>
        <w:t xml:space="preserve">64</w:t>
      </w:r>
      <w:r>
        <w:t xml:space="preserve">, 104–117 (2014).</w:t>
      </w:r>
    </w:p>
    <w:p>
      <w:pPr>
        <w:pStyle w:val="Bibliography"/>
      </w:pPr>
      <w:r>
        <w:t xml:space="preserve">2. Centers for Disease Control and Prevention,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881 (2013).</w:t>
      </w:r>
    </w:p>
    <w:p>
      <w:pPr>
        <w:pStyle w:val="Bibliography"/>
      </w:pPr>
      <w:r>
        <w:t xml:space="preserve">3. J. Hsia, E. Kemper, C. Kiefe, J. Zapka, S. Sofaer, M. Pettinger, D. Bowen, M. Limacher, L. Lillington, E. Mason, others, 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261–270 (2000).</w:t>
      </w:r>
    </w:p>
    <w:p>
      <w:pPr>
        <w:pStyle w:val="Bibliography"/>
      </w:pPr>
      <w:r>
        <w:t xml:space="preserve">4. R. M. Jones, K. J. Devers, A. J. Kuzel, S. H. Woolf,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508–516 (2010).</w:t>
      </w:r>
    </w:p>
    <w:p>
      <w:pPr>
        <w:pStyle w:val="Bibliography"/>
      </w:pPr>
      <w:r>
        <w:t xml:space="preserve">5. J. P. Zackular, N. T. Baxter, K. D. Iverson, W. D. Sadler, J. F. Petrosino, G. Y. Chen, P. D. Schloss, The gut microbiome modulates colon tumorigenesis.</w:t>
      </w:r>
      <w:r>
        <w:t xml:space="preserve"> </w:t>
      </w:r>
      <w:r>
        <w:rPr>
          <w:i/>
        </w:rPr>
        <w:t xml:space="preserve">MBio</w:t>
      </w:r>
      <w:r>
        <w:t xml:space="preserve"> </w:t>
      </w:r>
      <w:r>
        <w:rPr>
          <w:b/>
        </w:rPr>
        <w:t xml:space="preserve">4</w:t>
      </w:r>
      <w:r>
        <w:t xml:space="preserve">, e00692–13 (2013).</w:t>
      </w:r>
    </w:p>
    <w:p>
      <w:pPr>
        <w:pStyle w:val="Bibliography"/>
      </w:pPr>
      <w:r>
        <w:t xml:space="preserve">6. A. D. Kostic, E. Chun, L. Robertson, J. N. Glickman, C. A. Gallini, M. Michaud, T. E. Clancy, D. C. Chung, P. Lochhead, G. L. Hold, others, 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207–215 (2013).</w:t>
      </w:r>
    </w:p>
    <w:p>
      <w:pPr>
        <w:pStyle w:val="Bibliography"/>
      </w:pPr>
      <w:r>
        <w:t xml:space="preserve">7. S. Wu, K.-J. Rhee, E. Albesiano, S. Rabizadeh, X. Wu, H.-R. Yen, D. L. Huso, F. L. Brancati, E. Wick, F. McAllister, others, 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1016–1022 (2009).</w:t>
      </w:r>
    </w:p>
    <w:p>
      <w:pPr>
        <w:pStyle w:val="Bibliography"/>
      </w:pPr>
      <w:r>
        <w:t xml:space="preserve">8. J. C. Arthur, E. Perez-Chanona, M. M</w:t>
      </w:r>
      <w:r>
        <w:t xml:space="preserve">ü</w:t>
      </w:r>
      <w:r>
        <w:t xml:space="preserve">hlbauer, S. Tomkovich, J. M. Uronis, T.-J. Fan, B. J. Campbell, T. Abujamel, B. Dogan, A. B. Rogers, others, Intestinal inflammation targets cancer-inducing activity of the microbiota.</w:t>
      </w:r>
      <w:r>
        <w:t xml:space="preserve"> </w:t>
      </w:r>
      <w:r>
        <w:rPr>
          <w:i/>
        </w:rPr>
        <w:t xml:space="preserve">Science</w:t>
      </w:r>
      <w:r>
        <w:t xml:space="preserve"> </w:t>
      </w:r>
      <w:r>
        <w:rPr>
          <w:b/>
        </w:rPr>
        <w:t xml:space="preserve">338</w:t>
      </w:r>
      <w:r>
        <w:t xml:space="preserve">, 120–123 (2012).</w:t>
      </w:r>
    </w:p>
    <w:p>
      <w:pPr>
        <w:pStyle w:val="Bibliography"/>
      </w:pPr>
      <w:r>
        <w:t xml:space="preserve">9. T. Wang, G. Cai, Y. Qiu, N. Fei, M. Zhang, X. Pang, W. Jia, S. Cai, L. Zhao, 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320–329 (2012).</w:t>
      </w:r>
    </w:p>
    <w:p>
      <w:pPr>
        <w:pStyle w:val="Bibliography"/>
      </w:pPr>
      <w:r>
        <w:t xml:space="preserve">10. H.-M. Chen, Y.-N. Yu, J.-L. Wang, Y.-W. Lin, X. Kong, C.-Q. Yang, L. Yang, Z.-J. Liu, Y.-Z. Yuan, F. Liu, others, 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1044–1052 (2013).</w:t>
      </w:r>
    </w:p>
    <w:p>
      <w:pPr>
        <w:pStyle w:val="Bibliography"/>
      </w:pPr>
      <w:r>
        <w:t xml:space="preserve">11. W. Chen, F. Liu, Z. Ling, X. Tong, C. Xiang, Human intestinal lumen and mucosa-associated microbiota in patients with colorectal cancer.</w:t>
      </w:r>
      <w:r>
        <w:t xml:space="preserve"> </w:t>
      </w:r>
      <w:r>
        <w:rPr>
          <w:i/>
        </w:rPr>
        <w:t xml:space="preserve">PloS One</w:t>
      </w:r>
      <w:r>
        <w:t xml:space="preserve"> </w:t>
      </w:r>
      <w:r>
        <w:rPr>
          <w:b/>
        </w:rPr>
        <w:t xml:space="preserve">7</w:t>
      </w:r>
      <w:r>
        <w:t xml:space="preserve">, e39743 (2012).</w:t>
      </w:r>
    </w:p>
    <w:p>
      <w:pPr>
        <w:pStyle w:val="Bibliography"/>
      </w:pPr>
      <w:r>
        <w:t xml:space="preserve">12. X. J. Shen, J. F. Rawls, T. A. Randall, L. Burcall, C. Mpande, N. Jenkins, B. Jovov, Z. Abdo, R. S. Sandler, T. O. Keku, Molecular characterization of mucosal adherent bacteria and associations with colorectal adenomas.</w:t>
      </w:r>
      <w:r>
        <w:t xml:space="preserve"> </w:t>
      </w:r>
      <w:r>
        <w:rPr>
          <w:i/>
        </w:rPr>
        <w:t xml:space="preserve">Gut Microbes</w:t>
      </w:r>
      <w:r>
        <w:t xml:space="preserve"> </w:t>
      </w:r>
      <w:r>
        <w:rPr>
          <w:b/>
        </w:rPr>
        <w:t xml:space="preserve">1</w:t>
      </w:r>
      <w:r>
        <w:t xml:space="preserve">, 138–147 (2010).</w:t>
      </w:r>
    </w:p>
    <w:p>
      <w:pPr>
        <w:pStyle w:val="Bibliography"/>
      </w:pPr>
      <w:r>
        <w:t xml:space="preserve">13. A. D. Kostic, D. Gevers, C. S. Pedamallu, M. Michaud, F. Duke, A. M. Earl, A. I. Ojesina, J. Jung, A. J. Bass, J. Tabernero, others, Genomic analysis identifies association of Fusobacterium with colorectal carcinoma.</w:t>
      </w:r>
      <w:r>
        <w:t xml:space="preserve"> </w:t>
      </w:r>
      <w:r>
        <w:rPr>
          <w:i/>
        </w:rPr>
        <w:t xml:space="preserve">Genome Research</w:t>
      </w:r>
      <w:r>
        <w:t xml:space="preserve"> </w:t>
      </w:r>
      <w:r>
        <w:rPr>
          <w:b/>
        </w:rPr>
        <w:t xml:space="preserve">22</w:t>
      </w:r>
      <w:r>
        <w:t xml:space="preserve">, 292–298 (2012).</w:t>
      </w:r>
    </w:p>
    <w:p>
      <w:pPr>
        <w:pStyle w:val="Bibliography"/>
      </w:pPr>
      <w:r>
        <w:t xml:space="preserve">14. T. F. Imperiale, D. F. Ransohoff, S. H. Itzkowitz, T. R. Levin, P. Lavin, G. P. Lidgard, D. A. Ahlquist, B. M. Berger, Multitarget stool DNA testing for colorectal-cancer screening.</w:t>
      </w:r>
      <w:r>
        <w:t xml:space="preserve"> </w:t>
      </w:r>
      <w:r>
        <w:rPr>
          <w:i/>
        </w:rPr>
        <w:t xml:space="preserve">New England Journal of Medicine</w:t>
      </w:r>
      <w:r>
        <w:t xml:space="preserve"> </w:t>
      </w:r>
      <w:r>
        <w:rPr>
          <w:b/>
        </w:rPr>
        <w:t xml:space="preserve">370</w:t>
      </w:r>
      <w:r>
        <w:t xml:space="preserve">, 1287–1297 (2014).</w:t>
      </w:r>
    </w:p>
    <w:p>
      <w:pPr>
        <w:pStyle w:val="Bibliography"/>
      </w:pPr>
      <w:r>
        <w:t xml:space="preserve">15. S. Hundt, U. Haug, H. Brenner,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162–169 (2009).</w:t>
      </w:r>
    </w:p>
    <w:p>
      <w:pPr>
        <w:pStyle w:val="Bibliography"/>
      </w:pPr>
      <w:r>
        <w:t xml:space="preserve">16. J. P. Zackular, M. A. Rogers, M. T. Ruffin, P. D. Schloss, The human gut microbiome as a screening tool for colorectal cancer.</w:t>
      </w:r>
      <w:r>
        <w:t xml:space="preserve"> </w:t>
      </w:r>
      <w:r>
        <w:rPr>
          <w:i/>
        </w:rPr>
        <w:t xml:space="preserve">Cancer Prevention Research</w:t>
      </w:r>
      <w:r>
        <w:t xml:space="preserve"> </w:t>
      </w:r>
      <w:r>
        <w:rPr>
          <w:b/>
        </w:rPr>
        <w:t xml:space="preserve">7</w:t>
      </w:r>
      <w:r>
        <w:t xml:space="preserve">, 1112–1121 (2014).</w:t>
      </w:r>
    </w:p>
    <w:p>
      <w:pPr>
        <w:pStyle w:val="Bibliography"/>
      </w:pPr>
      <w:r>
        <w:t xml:space="preserve">17. G. Zeller, J. Tap, A. Y. Voigt, S. Sunagawa, J. R. Kultima, P. I. Costea, A. Amiot, J. B</w:t>
      </w:r>
      <w:r>
        <w:t xml:space="preserve">ö</w:t>
      </w:r>
      <w:r>
        <w:t xml:space="preserve">hm, F. Brunetti, N. Habermann, others, Potential of fecal microbiota for early-stage detection of colorectal cancer.</w:t>
      </w:r>
      <w:r>
        <w:t xml:space="preserve"> </w:t>
      </w:r>
      <w:r>
        <w:rPr>
          <w:i/>
        </w:rPr>
        <w:t xml:space="preserve">Molecular Systems Biology</w:t>
      </w:r>
      <w:r>
        <w:t xml:space="preserve"> </w:t>
      </w:r>
      <w:r>
        <w:rPr>
          <w:b/>
        </w:rPr>
        <w:t xml:space="preserve">10</w:t>
      </w:r>
      <w:r>
        <w:t xml:space="preserve">, 766 (2014).</w:t>
      </w:r>
    </w:p>
    <w:p>
      <w:pPr>
        <w:pStyle w:val="Bibliography"/>
      </w:pPr>
      <w:r>
        <w:t xml:space="preserve">18. A. Liaw, M. Wiener, Classification and regression by randomForest.</w:t>
      </w:r>
      <w:r>
        <w:t xml:space="preserve"> </w:t>
      </w:r>
      <w:r>
        <w:rPr>
          <w:i/>
        </w:rPr>
        <w:t xml:space="preserve">R News</w:t>
      </w:r>
      <w:r>
        <w:t xml:space="preserve"> </w:t>
      </w:r>
      <w:r>
        <w:rPr>
          <w:b/>
        </w:rPr>
        <w:t xml:space="preserve">2</w:t>
      </w:r>
      <w:r>
        <w:t xml:space="preserve">, 18–22 (2002).</w:t>
      </w:r>
    </w:p>
    <w:p>
      <w:pPr>
        <w:pStyle w:val="Bibliography"/>
      </w:pPr>
      <w:r>
        <w:t xml:space="preserve">19. M. L. Calle, V. Urrea, A.-L. Boulesteix, N. Malats, AUC-RF: A new strategy for genomic profiling with random forest.</w:t>
      </w:r>
      <w:r>
        <w:t xml:space="preserve"> </w:t>
      </w:r>
      <w:r>
        <w:rPr>
          <w:i/>
        </w:rPr>
        <w:t xml:space="preserve">Human Heredity</w:t>
      </w:r>
      <w:r>
        <w:t xml:space="preserve"> </w:t>
      </w:r>
      <w:r>
        <w:rPr>
          <w:b/>
        </w:rPr>
        <w:t xml:space="preserve">72</w:t>
      </w:r>
      <w:r>
        <w:t xml:space="preserve">, 121–132 (2011).</w:t>
      </w:r>
    </w:p>
    <w:p>
      <w:pPr>
        <w:pStyle w:val="Bibliography"/>
      </w:pPr>
      <w:r>
        <w:t xml:space="preserve">20. S. E. Pryde, S. H. Duncan, G. L. Hold, C. S. Stewart, H. J. Flint, The microbiology of butyrate formation in the human colon.</w:t>
      </w:r>
      <w:r>
        <w:t xml:space="preserve"> </w:t>
      </w:r>
      <w:r>
        <w:rPr>
          <w:i/>
        </w:rPr>
        <w:t xml:space="preserve">FEMS Microbiology Letters</w:t>
      </w:r>
      <w:r>
        <w:t xml:space="preserve"> </w:t>
      </w:r>
      <w:r>
        <w:rPr>
          <w:b/>
        </w:rPr>
        <w:t xml:space="preserve">217</w:t>
      </w:r>
      <w:r>
        <w:t xml:space="preserve">, 133–139 (2002).</w:t>
      </w:r>
    </w:p>
    <w:p>
      <w:pPr>
        <w:pStyle w:val="Bibliography"/>
      </w:pPr>
      <w:r>
        <w:t xml:space="preserve">21. D. K. Rex, D. A. Johnson, J. C. Anderson, P. S. Schoenfeld, C. A. Burke, J. M. Inadomi, 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739–750 (2009).</w:t>
      </w:r>
    </w:p>
    <w:p>
      <w:pPr>
        <w:pStyle w:val="Bibliography"/>
      </w:pPr>
      <w:r>
        <w:t xml:space="preserve">22. W. J. Youden, Index for rating diagnostic tests.</w:t>
      </w:r>
      <w:r>
        <w:t xml:space="preserve"> </w:t>
      </w:r>
      <w:r>
        <w:rPr>
          <w:i/>
        </w:rPr>
        <w:t xml:space="preserve">Cancer</w:t>
      </w:r>
      <w:r>
        <w:t xml:space="preserve"> </w:t>
      </w:r>
      <w:r>
        <w:rPr>
          <w:b/>
        </w:rPr>
        <w:t xml:space="preserve">3</w:t>
      </w:r>
      <w:r>
        <w:t xml:space="preserve">, 32–35 (1950).</w:t>
      </w:r>
    </w:p>
    <w:p>
      <w:pPr>
        <w:pStyle w:val="Bibliography"/>
      </w:pPr>
      <w:r>
        <w:t xml:space="preserve">23. S. J. Heitman, P. E. Ronksley, R. J. Hilsden, B. J. Manns, A. Rostom, B. R. Hemmelgarn, 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1272–1278 (2009).</w:t>
      </w:r>
    </w:p>
    <w:p>
      <w:pPr>
        <w:pStyle w:val="Bibliography"/>
      </w:pPr>
      <w:r>
        <w:t xml:space="preserve">24. E. L. Symonds, J. M. Osborne, S. R. Cole, P. A. Bampton, R. J. Fraser, G. P. Young, Factors affecting faecal immunochemical test positive rates: demographic, pathological, behavioural and environmental variables.</w:t>
      </w:r>
      <w:r>
        <w:t xml:space="preserve"> </w:t>
      </w:r>
      <w:r>
        <w:rPr>
          <w:i/>
        </w:rPr>
        <w:t xml:space="preserve">Journal of Medical Screening</w:t>
      </w:r>
      <w:r>
        <w:t xml:space="preserve">, 0969141315584783 (2015).</w:t>
      </w:r>
    </w:p>
    <w:p>
      <w:pPr>
        <w:pStyle w:val="Bibliography"/>
      </w:pPr>
      <w:r>
        <w:t xml:space="preserve">25. A. Kapidzic, M. P. van der Meulen, L. Hol, A. H. van Roon, C. W. Looman, I. Lansdorp-Vogelaar, M. van Ballegooijen, A. J. van Vuuren, J. C. Reijerink, M. E. van Leerdam, others, 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Z. Levi, P. Rozen, R. Hazazi, A. Vilkin, A. Waked, E. Maoz, S. Birkenfeld, N. Lieberman, S. Klang, Y. Niv, 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933–938 (2009).</w:t>
      </w:r>
    </w:p>
    <w:p>
      <w:pPr>
        <w:pStyle w:val="Bibliography"/>
      </w:pPr>
      <w:r>
        <w:t xml:space="preserve">27. A. M. Schubert, H. Sinani, P. D. Schloss,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C. L. O’Brien, G. E. Allison, F. Grimpen, P. Pavli, Impact of Colonoscopy Bowel Preparation on Intestinal Microbiota.</w:t>
      </w:r>
      <w:r>
        <w:t xml:space="preserve"> </w:t>
      </w:r>
      <w:r>
        <w:rPr>
          <w:i/>
        </w:rPr>
        <w:t xml:space="preserve">PLoS ONE</w:t>
      </w:r>
      <w:r>
        <w:t xml:space="preserve"> </w:t>
      </w:r>
      <w:r>
        <w:rPr>
          <w:b/>
        </w:rPr>
        <w:t xml:space="preserve">8</w:t>
      </w:r>
      <w:r>
        <w:t xml:space="preserve">, e62815 (2013).</w:t>
      </w:r>
    </w:p>
    <w:p>
      <w:pPr>
        <w:pStyle w:val="Bibliography"/>
      </w:pPr>
      <w:r>
        <w:t xml:space="preserve">29. J. J. Kozich, S. L. Westcott, N. T. Baxter, S. K. Highlander, P. D. Schloss,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5112–5120 (2013).</w:t>
      </w:r>
    </w:p>
    <w:p>
      <w:pPr>
        <w:pStyle w:val="Bibliography"/>
      </w:pPr>
      <w:r>
        <w:t xml:space="preserve">30. E. R. DeLong, D. M. DeLong, D. L. Clarke-Pearson, Comparing the areas under two or more correlated receiver operating characteristic curves: a nonparametric approach.</w:t>
      </w:r>
      <w:r>
        <w:t xml:space="preserve"> </w:t>
      </w:r>
      <w:r>
        <w:rPr>
          <w:i/>
        </w:rPr>
        <w:t xml:space="preserve">Biometrics</w:t>
      </w:r>
      <w:r>
        <w:t xml:space="preserve">, 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e7984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