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9–13</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and remove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14</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9–13</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and others have perviously shown that statistical models that take into account the abundances of multiple bacteria species can be used to distinguish healthy individuals from those with CRC</w:t>
      </w:r>
      <w:r>
        <w:rPr>
          <w:vertAlign w:val="superscript"/>
        </w:rPr>
        <w:t xml:space="preserve">15,16</w:t>
      </w:r>
      <w:r>
        <w:t xml:space="preserve">. In the present study we expanded upon those findings by demonstrating the potential for microbiota analysis to complement FIT for improved detection of colonic lesions, including adenomas. We also improved upon previous studies by utilizing random forest (RF), a decision tree-based machine algorithm for classification, which includes an internal cross-validation to prevent overfitting</w:t>
      </w:r>
      <w:r>
        <w:rPr>
          <w:vertAlign w:val="superscript"/>
        </w:rPr>
        <w:t xml:space="preserve">17</w:t>
      </w:r>
      <w:r>
        <w:t xml:space="preserve">. By incorporating both FIT and bacterial abundances into a single RF model, we were able to improve the sensitivity for adenomas and most stages of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18</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19</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rPr>
          <w:vertAlign w:val="superscript"/>
        </w:rPr>
        <w:t xml:space="preserve">15,20</w:t>
      </w:r>
      <w:r>
        <w:t xml:space="preserve">. Like many other studies we observed an OTU associated</w:t>
      </w:r>
      <w:r>
        <w:t xml:space="preserve"> </w:t>
      </w:r>
      <w:r>
        <w:rPr>
          <w:i/>
        </w:rPr>
        <w:t xml:space="preserve">Fusobacterium nucleatum</w:t>
      </w:r>
      <w:r>
        <w:t xml:space="preserve"> </w:t>
      </w:r>
      <w:r>
        <w:t xml:space="preserve">that was enriched in cancer samples, however it's relative abundance did not add sufficient information to be inclued in the model.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 Comparison of the ROC curves for the RF model and FIT showed that the RF model did not outperform FIT for detecting lesions until the specificity dropped below approximately 93%, at which point the sensitivity of the RF model greatly exceeded that of FIT.</w:t>
      </w:r>
    </w:p>
    <w:p>
      <w:r>
        <w:t xml:space="preserve">Using Youden's J statisitc</w:t>
      </w:r>
      <w:r>
        <w:rPr>
          <w:vertAlign w:val="superscript"/>
        </w:rPr>
        <w:t xml:space="preserve">21</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2A). When adenomas and cancers were pooled together, the RF model detected 71.4% of lesions, while FIT only detected 38.1%. The RF model had significantly improved sensitivity for both advanced and non-advanced adenomas as well as most stages of cancer (Fig. 2B).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improved the sensitivity without affecting the specificity of the test.</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22</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significantly higher than that of FIT.</w:t>
      </w:r>
    </w:p>
    <w:p>
      <w:r>
        <w:t xml:space="preserve">Previous studies have identified differences in diagnostic test performance for certain demographic groups or for people taking certain medications</w:t>
      </w:r>
      <w:r>
        <w:rPr>
          <w:vertAlign w:val="superscript"/>
        </w:rPr>
        <w:t xml:space="preserve">23–25</w:t>
      </w:r>
      <w:r>
        <w:t xml:space="preserve">. Therefore we tested whether the RF model performance differed between patient populations. We found no difference in model performance according to age, BMI, NSAID usage, diabetes, smoking, or previous history of polyps. However the model was significantly better at differentiating normal from lesion for females than for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26</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7,8,16</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rPr>
          <w:vertAlign w:val="superscript"/>
        </w:rPr>
        <w:t xml:space="preserve">27</w:t>
      </w:r>
      <w:r>
        <w:t xml:space="preserve">.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However in the case of CRC, all people in the United States are encouraged to receive regular colonoscopies once they reach the age of 50</w:t>
      </w:r>
      <w:r>
        <w:rPr>
          <w:vertAlign w:val="superscript"/>
        </w:rPr>
        <w:t xml:space="preserve">20</w:t>
      </w:r>
      <w:r>
        <w:t xml:space="preserve">. Therefore the potential value of the RF model is in its high sensitivity and NPV. With an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28</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While colonic lesions were still intact, whole evacuated stool was collected from each patient 1 to 2 weeks after their colonoscopy. This has been shown to be sufficient time for the microbiota to recover from colnoscopy preparation</w:t>
      </w:r>
      <w:r>
        <w:rPr>
          <w:vertAlign w:val="superscript"/>
        </w:rPr>
        <w:t xml:space="preserve">29</w:t>
      </w:r>
      <w:r>
        <w:t xml:space="preserve">. Stool samples were packed in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28</w:t>
      </w:r>
      <w:r>
        <w:t xml:space="preserve">. The 490 samples were divided into three sequencing runs to increase the per sample sequencing depth. Samples were randomly assigned to the sequencing runs to avoid biasing based on diagnosis or demographics.</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28</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R. Random Forest models were generated using the AUCRF package</w:t>
      </w:r>
      <w:r>
        <w:rPr>
          <w:vertAlign w:val="superscript"/>
        </w:rPr>
        <w:t xml:space="preserve">18</w:t>
      </w:r>
      <w:r>
        <w:t xml:space="preserve">. The AUC of ROC curves was compared using the method described by DeLong et al.</w:t>
      </w:r>
      <w:r>
        <w:rPr>
          <w:vertAlign w:val="superscript"/>
        </w:rPr>
        <w:t xml:space="preserve">30</w:t>
      </w:r>
      <w:r>
        <w:t xml:space="preserve">. The optimal cutoff for the RF model was determined using Youden's</w:t>
      </w:r>
      <w:r>
        <w:t xml:space="preserve"> </w:t>
      </w:r>
      <w:r>
        <w:rPr>
          <w:i/>
        </w:rPr>
        <w:t xml:space="preserve">J</w:t>
      </w:r>
      <w:r>
        <w:t xml:space="preserve"> </w:t>
      </w:r>
      <w:r>
        <w:t xml:space="preserve">statistic as implemented in the pROC package in R</w:t>
      </w:r>
      <w:r>
        <w:rPr>
          <w:vertAlign w:val="superscript"/>
        </w:rPr>
        <w:t xml:space="preserve">21</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Kostic, A. D.</w:t>
      </w:r>
      <w:r>
        <w:t xml:space="preserve"> </w:t>
      </w:r>
      <w:r>
        <w:rPr>
          <w:i/>
        </w:rPr>
        <w:t xml:space="preserve">et al.</w:t>
      </w:r>
      <w:r>
        <w:t xml:space="preserve"> </w:t>
      </w:r>
      <w:r>
        <w:t xml:space="preserve">Genomic analysis identifies association of Fusobacterium with colorectal carcinoma.</w:t>
      </w:r>
      <w:r>
        <w:t xml:space="preserve"> </w:t>
      </w:r>
      <w:r>
        <w:rPr>
          <w:i/>
        </w:rPr>
        <w:t xml:space="preserve">Genome Research</w:t>
      </w:r>
      <w:r>
        <w:t xml:space="preserve"> </w:t>
      </w:r>
      <w:r>
        <w:rPr>
          <w:b/>
        </w:rPr>
        <w:t xml:space="preserve">22,</w:t>
      </w:r>
      <w:r>
        <w:t xml:space="preserve"> </w:t>
      </w:r>
      <w:r>
        <w:t xml:space="preserve">292–298 (2012).</w:t>
      </w:r>
    </w:p>
    <w:p>
      <w:pPr>
        <w:pStyle w:val="Bibliography"/>
      </w:pPr>
      <w:r>
        <w:t xml:space="preserve">14.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15.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16. Zeller, G.</w:t>
      </w:r>
      <w:r>
        <w:t xml:space="preserve"> </w:t>
      </w:r>
      <w:r>
        <w:rPr>
          <w:i/>
        </w:rPr>
        <w:t xml:space="preserve">et al.</w:t>
      </w:r>
      <w:r>
        <w:t xml:space="preserve"> </w:t>
      </w:r>
      <w:r>
        <w:t xml:space="preserve">Potential of fecal microbiota for early-stage detection of colorectal cancer.</w:t>
      </w:r>
      <w:r>
        <w:t xml:space="preserve"> </w:t>
      </w:r>
      <w:r>
        <w:rPr>
          <w:i/>
        </w:rPr>
        <w:t xml:space="preserve">Molecular Systems Biology</w:t>
      </w:r>
      <w:r>
        <w:t xml:space="preserve"> </w:t>
      </w:r>
      <w:r>
        <w:rPr>
          <w:b/>
        </w:rPr>
        <w:t xml:space="preserve">10,</w:t>
      </w:r>
      <w:r>
        <w:t xml:space="preserve"> </w:t>
      </w:r>
      <w:r>
        <w:t xml:space="preserve">766 (2014).</w:t>
      </w:r>
    </w:p>
    <w:p>
      <w:pPr>
        <w:pStyle w:val="Bibliography"/>
      </w:pPr>
      <w:r>
        <w:t xml:space="preserve">17.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18.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19.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20. Rex, D. K.</w:t>
      </w:r>
      <w:r>
        <w:t xml:space="preserve"> </w:t>
      </w:r>
      <w:r>
        <w:rPr>
          <w:i/>
        </w:rPr>
        <w:t xml:space="preserve">et al.</w:t>
      </w:r>
      <w:r>
        <w:t xml:space="preserve"> </w:t>
      </w:r>
      <w:r>
        <w:t xml:space="preserve">American College of Gastroenterology guidelines for colorectal cancer screening 2008.</w:t>
      </w:r>
      <w:r>
        <w:t xml:space="preserve"> </w:t>
      </w:r>
      <w:r>
        <w:rPr>
          <w:i/>
        </w:rPr>
        <w:t xml:space="preserve">The American Journal of Gastroenterology</w:t>
      </w:r>
      <w:r>
        <w:t xml:space="preserve"> </w:t>
      </w:r>
      <w:r>
        <w:rPr>
          <w:b/>
        </w:rPr>
        <w:t xml:space="preserve">104,</w:t>
      </w:r>
      <w:r>
        <w:t xml:space="preserve"> </w:t>
      </w:r>
      <w:r>
        <w:t xml:space="preserve">739–750 (2009).</w:t>
      </w:r>
    </w:p>
    <w:p>
      <w:pPr>
        <w:pStyle w:val="Bibliography"/>
      </w:pPr>
      <w:r>
        <w:t xml:space="preserve">21.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22.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23.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24.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25.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26.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27.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28.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29. O’Brien, C. L., Allison, G. E., Grimpen, F. &amp; Pavli, P. Impact of Colonoscopy Bowel Preparation on Intestinal Microbiota.</w:t>
      </w:r>
      <w:r>
        <w:t xml:space="preserve"> </w:t>
      </w:r>
      <w:r>
        <w:rPr>
          <w:i/>
        </w:rPr>
        <w:t xml:space="preserve">PLoS ONE</w:t>
      </w:r>
      <w:r>
        <w:t xml:space="preserve"> </w:t>
      </w:r>
      <w:r>
        <w:rPr>
          <w:b/>
        </w:rPr>
        <w:t xml:space="preserve">8,</w:t>
      </w:r>
      <w:r>
        <w:t xml:space="preserve"> </w:t>
      </w:r>
      <w:r>
        <w:t xml:space="preserve">e62815 (2013).</w:t>
      </w:r>
    </w:p>
    <w:p>
      <w:pPr>
        <w:pStyle w:val="Bibliography"/>
      </w:pPr>
      <w:r>
        <w:t xml:space="preserve">30.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4bd1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