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91.7% of cancers and 45.5% of adenomas while FIT alone detected 75.0% and 15.7%, respectively. Of the colonic lesions missed by FIT, the model detected 70.0% of cancers and 35.3%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 </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(v1.36), as described previously</w:t>
      </w:r>
      <w:r>
        <w:t xml:space="preserve"> </w:t>
      </w:r>
      <w:r>
        <w:t xml:space="preserve">[21, 22]</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[23]</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[24]</w:t>
      </w:r>
      <w:r>
        <w:t xml:space="preserve">. The AUC of ROC curves were compared using the method described by DeLong et al.</w:t>
      </w:r>
      <w:r>
        <w:t xml:space="preserve"> </w:t>
      </w:r>
      <w:r>
        <w:t xml:space="preserve">[25]</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[26]</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[27]</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[24]</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of 34 bacterial populations (Fig. S3A). Consistent with previous observations, the bacteria most strongly associated with CRC belonged to taxa commonly associated with periodontal disease</w:t>
      </w:r>
      <w:r>
        <w:t xml:space="preserve"> </w:t>
      </w:r>
      <w:r>
        <w:t xml:space="preserve">[18, 28, 29]</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S3C).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At the manufacturer recommended cutoff of 100 ng/ml FIT detected 75.0% of cancers with a specificity of 97.1%. At its optimal cutoff the microbiota model detected 51.7% of cancers with a specificity of 97.1%.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30]</w:t>
      </w:r>
      <w:r>
        <w:t xml:space="preserve">. Interestingly the majority of OTU used in the model, especially the Lachnospiraceae, were enriched in normal patients (Fig. S4),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0.575 using Youden's J statisitc</w:t>
      </w:r>
      <w:r>
        <w:t xml:space="preserve"> </w:t>
      </w:r>
      <w:r>
        <w:t xml:space="preserve">[26]</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91.7% of cancers and 45.5% of adenomas compared to 75.0% and 15.7% for FIT (Table 1, Fig. 2B, Fig. 2C). When adenomas and cancers were pooled together, the MMT detected 62.9% of lesions, while FIT only detected 38.1%. The MMT significantly improved sensitivity for both advanced and non-advanced adenomas as well as multiple stages of cancer (Fig. 3). The increased sensitivity of the MMT was accompanied by a decrease in specificity (90.1%)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70.0% of cancers and 35.3% of adenomas that FIT had failed to detect, while maintaining a specificity of 92.8%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[31]</w:t>
      </w:r>
      <w:r>
        <w:t xml:space="preserve">. Based on sensitivities of FIT and MMT in our dataset, we estimate that MMT would detect approximately 48 thousand additional cancers, 1.9 million additional advanced adenomas, and 5.9 million additional non-advanced adenomas compared to using FIT alone (Table 2). Thus the improved sensitivity of the MMT would substantially increase the number of true positives identified in the recommended screening population of the United States. Additional studies will be needed to determine whether the increased number of true positives identified by MMT justify the increased number of false positives (and subsequent colonoscopies) that would result from the decreased specificity of MMT.</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[32–34]</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62.9% of lesions with a specificity of 94.6%. For males the model detected 62.9% of lesions with a specificity of 82%. This difference was more pronounced for adenomas. The MMT detected 50% of adenomas in females and 42.4% in males. Despite performing more poorly overall for males, the MMT did have a higher sensitivity for cancer among males (98.5%) than females (82.7%).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p=0.07).</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(0.865) was not significantly higher than that of the MMT (AUC: 0.829, p=0.15, Fig. S7). However, when the model with patient metadata was set to the same specificity as the MMT (83.7%), it had significantly higher sensitivity for lesions (78.3%) than the MMT (62.9%, p=1e-10). This result supports our previous observations that patient metadata could be used to further improve screening accuracy.</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We anticipate that inclusion of additional host markers to the MMT could further improve its sensitivity and/or specificity.</w:t>
      </w:r>
    </w:p>
    <w:p>
      <w:r>
        <w:t xml:space="preserve">One way to approach screening would be to use FIT and the MMT in series, thereby preserving the advantages of the higher specificity of FIT and the superior sensitivity of MMT. A potential strategy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could confirm whether continuing with the annual stool testing or offering colonoscopy would yield better patient outcomes (to include both likely benefits of early diagnosis as well as adverse effects of unnecessary testing). Randomized control trials would be needed to demonstrate the efficacy of this scheme and to evaluate the appropriate frequency of retesting.</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[35]</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[36–39]</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[40]</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[41]</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represents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 ng/ml cutoff. (B,C) Stripcharts showing the results for FIT (B) and the MMT (C). Dashed lines show the cutoff for each test. Points with a FIT result of 0 are jittered to improve visibility.</w:t>
      </w:r>
    </w:p>
    <w:p>
      <w:r>
        <w:rPr>
          <w:b/>
        </w:rPr>
        <w:t xml:space="preserve">Figure 3. Sensitivities for FIT and MMT for each stage of tumor development.</w:t>
      </w:r>
      <w:r>
        <w:t xml:space="preserve"> </w:t>
      </w:r>
      <w:r>
        <w:t xml:space="preserve">P-values based on McNemar's chi-squared test.</w:t>
      </w:r>
    </w:p>
    <w:p>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of true positives identified through FIT and MMT in the United States in adults 50-75 years of age, based on published estimates of CRC prevalence.</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r>
        <w:rPr>
          <w:b/>
        </w:rPr>
        <w:t xml:space="preserve">Additional file 5: Figure S5. MMT with patient metadata.</w:t>
      </w:r>
      <w:r>
        <w:t xml:space="preserve"> </w:t>
      </w:r>
      <w:r>
        <w:t xml:space="preserve">ROC curves for distinguishing normal from lesion using FIT, the MMT, or the MMT with metadata.</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23.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26.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27.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28.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29.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30.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31.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32.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33.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34.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35.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36.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37.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38.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39.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40.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41.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73136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