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les_data$lesion ~ all_probs[, 2])</w:t>
      </w:r>
      <w:r>
        <w:br w:type="textWrapping"/>
      </w:r>
      <w:r>
        <w:rPr>
          <w:rStyle w:val="VerbatimChar"/>
        </w:rPr>
        <w:t xml:space="preserve">## </w:t>
      </w:r>
      <w:r>
        <w:br w:type="textWrapping"/>
      </w:r>
      <w:r>
        <w:rPr>
          <w:rStyle w:val="VerbatimChar"/>
        </w:rPr>
        <w:t xml:space="preserve">## Data: all_probs[, 2] in 172 controls (les_data$lesion 0) &lt; 318 cases (les_data$lesion 1).</w:t>
      </w:r>
      <w:r>
        <w:br w:type="textWrapping"/>
      </w:r>
      <w:r>
        <w:rPr>
          <w:rStyle w:val="VerbatimChar"/>
        </w:rPr>
        <w:t xml:space="preserve">## Area under the curve: 0.8292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mmt_data$lesion ~ lv1_probs)</w:t>
      </w:r>
      <w:r>
        <w:br w:type="textWrapping"/>
      </w:r>
      <w:r>
        <w:rPr>
          <w:rStyle w:val="VerbatimChar"/>
        </w:rPr>
        <w:t xml:space="preserve">## </w:t>
      </w:r>
      <w:r>
        <w:br w:type="textWrapping"/>
      </w:r>
      <w:r>
        <w:rPr>
          <w:rStyle w:val="VerbatimChar"/>
        </w:rPr>
        <w:t xml:space="preserve">## Data: lv1_probs in 172 controls (mmt_data$lesion 0) &lt; 318 cases (mmt_data$lesion 1).</w:t>
      </w:r>
      <w:r>
        <w:br w:type="textWrapping"/>
      </w:r>
      <w:r>
        <w:rPr>
          <w:rStyle w:val="VerbatimChar"/>
        </w:rPr>
        <w:t xml:space="preserve">## Area under the curve: 0.8229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roc.formula(formula = cv10f_all_resp ~ cv10f_all_pred)</w:t>
      </w:r>
      <w:r>
        <w:br w:type="textWrapping"/>
      </w:r>
      <w:r>
        <w:rPr>
          <w:rStyle w:val="VerbatimChar"/>
        </w:rPr>
        <w:t xml:space="preserve">## </w:t>
      </w:r>
      <w:r>
        <w:br w:type="textWrapping"/>
      </w:r>
      <w:r>
        <w:rPr>
          <w:rStyle w:val="VerbatimChar"/>
        </w:rPr>
        <w:t xml:space="preserve">## Data: cv10f_all_pred in 1720 controls (cv10f_all_resp 1) &lt; 3180 cases (cv10f_all_resp 2).</w:t>
      </w:r>
      <w:r>
        <w:br w:type="textWrapping"/>
      </w:r>
      <w:r>
        <w:rPr>
          <w:rStyle w:val="VerbatimChar"/>
        </w:rPr>
        <w:t xml:space="preserve">## Area under the curve: 0.8156</w:t>
      </w:r>
    </w:p>
    <w:p>
      <w:r>
        <w:drawing>
          <wp:inline>
            <wp:extent cx="5943600" cy="4754880"/>
            <wp:effectExtent b="0" l="0" r="0" t="0"/>
            <wp:docPr descr="" id="1" name="Picture"/>
            <a:graphic>
              <a:graphicData uri="http://schemas.openxmlformats.org/drawingml/2006/picture">
                <pic:pic>
                  <pic:nvPicPr>
                    <pic:cNvPr descr="Baxter_glne007_2016_manuscript_files/figure-docx/leave_p_out-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3"/>
      </w:pPr>
      <w:bookmarkStart w:id="26" w:name="abstract"/>
      <w:bookmarkEnd w:id="26"/>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35.3%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7" w:name="background"/>
      <w:bookmarkEnd w:id="27"/>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8" w:name="methods"/>
      <w:bookmarkEnd w:id="28"/>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9" w:name="results"/>
      <w:bookmarkEnd w:id="29"/>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0.575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The MMT significantly improved sensitivity for both advanced and non-advanced adenomas as well as multiple stages of cancer (Fig. 3). The increased sensitivity of the MMT was accompanied by a decrease in specificity (90.1%)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70.0% of cancers and 35.3% of adenomas that FIT had failed to detect, while maintaining a specificity of 92.8%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62.9% of lesions with a specificity of 94.6%. For males the model detected 62.9% of lesions with a specificity of 82%. This difference was more pronounced for adenomas. The MMT detected 50% of adenomas in females and 42.4% in males. Despite performing more poorly overall for males, the MMT did have a higher sensitivity for cancer among males (98.5%) than females (82.7%).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(62.9%, p=1e-10). This result supports our previous observations that patient metadata could be used to further improve screening accuracy.</w:t>
      </w:r>
    </w:p>
    <w:p>
      <w:pPr>
        <w:pStyle w:val="Heading3"/>
      </w:pPr>
      <w:bookmarkStart w:id="30" w:name="discussion"/>
      <w:bookmarkEnd w:id="30"/>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1" w:name="conclusions"/>
      <w:bookmarkEnd w:id="31"/>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2">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3" w:name="figures"/>
      <w:bookmarkEnd w:id="33"/>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4" w:name="tables"/>
      <w:bookmarkEnd w:id="34"/>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5" w:name="additional-files"/>
      <w:bookmarkEnd w:id="35"/>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6" w:name="references"/>
      <w:bookmarkEnd w:id="36"/>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e8740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25" Target="media/rId25.png" /><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2"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