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E0B5A" w14:textId="77777777" w:rsidR="00977E18" w:rsidRDefault="00182D5C">
      <w:pPr>
        <w:pStyle w:val="Title"/>
      </w:pPr>
      <w:r>
        <w:t>Microbiota-based model improves the sensitivity for detecting colonic lesions</w:t>
      </w:r>
    </w:p>
    <w:p w14:paraId="24865E27" w14:textId="77777777" w:rsidR="00DA70A7" w:rsidRDefault="00DA70A7" w:rsidP="00DA70A7">
      <w:pPr>
        <w:jc w:val="left"/>
      </w:pPr>
    </w:p>
    <w:p w14:paraId="51D6CB91" w14:textId="77777777" w:rsidR="00977E18" w:rsidRDefault="00182D5C" w:rsidP="00DA70A7">
      <w:pPr>
        <w:jc w:val="left"/>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384C6BDE" w14:textId="77777777" w:rsidR="00DA70A7" w:rsidRDefault="00DA70A7" w:rsidP="00DA70A7">
      <w:pPr>
        <w:jc w:val="left"/>
        <w:rPr>
          <w:vertAlign w:val="superscript"/>
        </w:rPr>
      </w:pPr>
    </w:p>
    <w:p w14:paraId="66D2F698" w14:textId="77777777" w:rsidR="00DA70A7" w:rsidRDefault="00182D5C" w:rsidP="00DA70A7">
      <w:pPr>
        <w:jc w:val="left"/>
        <w:rPr>
          <w:rStyle w:val="Link"/>
        </w:rPr>
      </w:pP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Correspondence to: </w:t>
      </w:r>
      <w:hyperlink r:id="rId8">
        <w:r>
          <w:rPr>
            <w:rStyle w:val="Link"/>
          </w:rPr>
          <w:t>pschloss@umich.edu</w:t>
        </w:r>
      </w:hyperlink>
    </w:p>
    <w:p w14:paraId="464B01FB" w14:textId="77777777" w:rsidR="00977E18" w:rsidRPr="00DA70A7" w:rsidRDefault="00DA70A7" w:rsidP="00DA70A7">
      <w:pPr>
        <w:spacing w:before="0" w:after="200" w:line="240" w:lineRule="auto"/>
        <w:jc w:val="left"/>
        <w:rPr>
          <w:color w:val="4F81BD" w:themeColor="accent1"/>
        </w:rPr>
      </w:pPr>
      <w:r>
        <w:rPr>
          <w:rStyle w:val="Link"/>
        </w:rPr>
        <w:br w:type="page"/>
      </w:r>
    </w:p>
    <w:p w14:paraId="4697CF14" w14:textId="6C0B388B" w:rsidR="00977E18" w:rsidRDefault="00182D5C" w:rsidP="00DA70A7">
      <w:pPr>
        <w:spacing w:after="360"/>
      </w:pPr>
      <w:r>
        <w:rPr>
          <w:b/>
        </w:rPr>
        <w:lastRenderedPageBreak/>
        <w:t>Colorectal cancer is the second leading cause of death among cancers in the United States</w:t>
      </w:r>
      <w:r>
        <w:rPr>
          <w:b/>
          <w:vertAlign w:val="superscript"/>
        </w:rPr>
        <w:t>1</w:t>
      </w:r>
      <w:r>
        <w:rPr>
          <w:b/>
        </w:rPr>
        <w:t>. Although individuals diagnosed early have a greater than 90% chance of survival, more than one-third of individuals do not adhere to screening recommendations partly because the standard diagnostics, colonoscopy and sigmoidocsopy, are expensive and invasive</w:t>
      </w:r>
      <w:r>
        <w:rPr>
          <w:b/>
          <w:vertAlign w:val="superscript"/>
        </w:rPr>
        <w:t>1–4</w:t>
      </w:r>
      <w:r>
        <w:rPr>
          <w:b/>
        </w:rPr>
        <w:t>.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b/>
          <w:vertAlign w:val="superscript"/>
        </w:rPr>
        <w:t>5–8</w:t>
      </w:r>
      <w:r>
        <w:rPr>
          <w:b/>
        </w:rPr>
        <w:t>. These findings have been complemented by studies in human populations identifying shifts in the composition of the gut microbiota associated with the progression of colorectal cancer</w:t>
      </w:r>
      <w:r>
        <w:rPr>
          <w:b/>
          <w:vertAlign w:val="superscript"/>
        </w:rPr>
        <w:t>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t>
      </w:r>
      <w:r w:rsidR="00E449F0">
        <w:rPr>
          <w:b/>
        </w:rPr>
        <w:t>With a high sensitivity and</w:t>
      </w:r>
      <w:r>
        <w:rPr>
          <w:b/>
        </w:rPr>
        <w:t xml:space="preserve"> low rate of false negatives, our model could be used to accurately identify those patients for whom a colonoscopy is unnecessary, potentially reducing healthcare costs and complications due to invasive screening.</w:t>
      </w:r>
    </w:p>
    <w:p w14:paraId="48F00463" w14:textId="77777777" w:rsidR="00977E18" w:rsidRDefault="00182D5C" w:rsidP="00DA70A7">
      <w:pPr>
        <w:spacing w:after="360"/>
      </w:pPr>
      <w:r>
        <w:t>CRC incidence and mortality have steadily declined in recent decades, due in large part to increased screening</w:t>
      </w:r>
      <w:r>
        <w:rPr>
          <w:vertAlign w:val="superscript"/>
        </w:rPr>
        <w:t>1</w:t>
      </w:r>
      <w:r>
        <w:t xml:space="preserve">. Further progress is possible by increasing access to and accuracy of diagnostic tests. </w:t>
      </w:r>
      <w:r>
        <w:lastRenderedPageBreak/>
        <w:t>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4</w:t>
      </w:r>
      <w:r>
        <w:t>. Likewise the large disparity in screening rates between those with and without health insurance highlights the need for inexpensive screening methods</w:t>
      </w:r>
      <w:r>
        <w:rPr>
          <w:vertAlign w:val="superscript"/>
        </w:rPr>
        <w:t>1–3</w:t>
      </w:r>
      <w:r>
        <w:t>. Unfortunately cheaper, less invasive stool-based tests like guaic fecal occult blood test and fecal immunochemical test (FIT) are unable to reliably detect adenomas</w:t>
      </w:r>
      <w:r>
        <w:rPr>
          <w:vertAlign w:val="superscript"/>
        </w:rPr>
        <w:t>14</w:t>
      </w:r>
      <w:r>
        <w:t>. The newly introduced stool DNA panel has improved accuracy compared to FIT, but is still limited in its ability to accurately detect adenomas</w:t>
      </w:r>
      <w:r>
        <w:rPr>
          <w:vertAlign w:val="superscript"/>
        </w:rPr>
        <w:t>15</w:t>
      </w:r>
      <w:r>
        <w:t>. Thus there is need for novel screening methods that are inexpensive and capable of detecting both cancer and adenomas.</w:t>
      </w:r>
    </w:p>
    <w:p w14:paraId="3AE526CD" w14:textId="77777777" w:rsidR="00977E18" w:rsidRDefault="00182D5C" w:rsidP="00DA70A7">
      <w:pPr>
        <w:spacing w:after="360"/>
      </w:pPr>
      <w:r>
        <w:t>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9–13</w:t>
      </w:r>
      <w:r>
        <w:t>. Experiments in animal models have demonstrated that such alterations have the potential to accelerate tumorigenesis</w:t>
      </w:r>
      <w:r>
        <w:rPr>
          <w:vertAlign w:val="superscript"/>
        </w:rPr>
        <w:t>5</w:t>
      </w:r>
      <w:r>
        <w:t>. Furthermore, several members of the gut microbiota have been shown to potentiate both the development and progression of CRC by a variety of mechanisms</w:t>
      </w:r>
      <w:r>
        <w:rPr>
          <w:vertAlign w:val="superscript"/>
        </w:rPr>
        <w:t>6–8</w:t>
      </w:r>
      <w:r>
        <w:t>.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14:paraId="040E6257" w14:textId="77777777" w:rsidR="00977E18" w:rsidRDefault="00182D5C" w:rsidP="00DA70A7">
      <w:pPr>
        <w:spacing w:after="360"/>
      </w:pPr>
      <w:r>
        <w:t>We and others have shown that statistical models that take into account the abundances of multiple bacterial species can be used to distinguish healthy individuals from those with CRC</w:t>
      </w:r>
      <w:r>
        <w:rPr>
          <w:vertAlign w:val="superscript"/>
        </w:rPr>
        <w:t>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w:t>
      </w:r>
      <w:r>
        <w:lastRenderedPageBreak/>
        <w:t>classification that accounts for non-linear data and interactions among features and includes an internal cross-validation to prevent overfitting</w:t>
      </w:r>
      <w:r>
        <w:rPr>
          <w:vertAlign w:val="superscript"/>
        </w:rPr>
        <w:t>18</w:t>
      </w:r>
      <w:r>
        <w:t>. By incorporating both FIT and bacterial abundances into a single model, we were able to improve the sensitivity for adenomas and cancer compared to FIT alone.</w:t>
      </w:r>
    </w:p>
    <w:p w14:paraId="36DF4B3E" w14:textId="0CDBA1FE" w:rsidR="00977E18" w:rsidRDefault="00182D5C" w:rsidP="00DA70A7">
      <w:pPr>
        <w:spacing w:after="360"/>
      </w:pPr>
      <w:r>
        <w:t>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w:t>
      </w:r>
      <w:r w:rsidR="00E449F0">
        <w:t xml:space="preserve">e (AUC) of the receiver operating </w:t>
      </w:r>
      <w:r>
        <w:t>characteristic (ROC) curve for the combined model</w:t>
      </w:r>
      <w:r>
        <w:rPr>
          <w:vertAlign w:val="superscript"/>
        </w:rPr>
        <w:t>19</w:t>
      </w:r>
      <w:r>
        <w:t>.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20</w:t>
      </w:r>
      <w:r>
        <w:t xml:space="preserve">.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16,21</w:t>
      </w:r>
      <w:r>
        <w:t>. Like other studies</w:t>
      </w:r>
      <w:r>
        <w:rPr>
          <w:vertAlign w:val="superscript"/>
        </w:rPr>
        <w:t>13,16</w:t>
      </w:r>
      <w:r>
        <w:t xml:space="preserve"> we also observed an OTU associated with </w:t>
      </w:r>
      <w:r>
        <w:rPr>
          <w:i/>
        </w:rPr>
        <w:t>Fusobacterium nucleatum</w:t>
      </w:r>
      <w:r>
        <w:t xml:space="preserve"> 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14:paraId="2F5666BC" w14:textId="77777777" w:rsidR="00977E18" w:rsidRDefault="00182D5C" w:rsidP="00DA70A7">
      <w:pPr>
        <w:spacing w:after="360"/>
      </w:pPr>
      <w:r>
        <w:lastRenderedPageBreak/>
        <w:t>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combined model AUC=0.829, p&lt;0.001), but not cancer from normal (FIT AUC=0.929, combined model AUC=0.952, p=0.091) (Fig. 1A).</w:t>
      </w:r>
    </w:p>
    <w:p w14:paraId="20B012A4" w14:textId="77777777" w:rsidR="00977E18" w:rsidRDefault="00182D5C" w:rsidP="00DA70A7">
      <w:pPr>
        <w:spacing w:after="360"/>
      </w:pPr>
      <w:r>
        <w:t>To generate a categorical prediction from the combined model, we determined that the optimal threshold for the combined model's probability was 0.622 using Youden's J statisitc</w:t>
      </w:r>
      <w:r>
        <w:rPr>
          <w:vertAlign w:val="superscript"/>
        </w:rPr>
        <w:t>22</w:t>
      </w:r>
      <w:r>
        <w:t>.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14:paraId="1DC7D6FA" w14:textId="77777777" w:rsidR="00977E18" w:rsidRDefault="00182D5C" w:rsidP="00DA70A7">
      <w:pPr>
        <w:spacing w:after="360"/>
      </w:pPr>
      <w:r>
        <w:t>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14:paraId="168EED8B" w14:textId="77777777" w:rsidR="00977E18" w:rsidRDefault="00182D5C" w:rsidP="00DA70A7">
      <w:pPr>
        <w:spacing w:after="360"/>
      </w:pPr>
      <w:r>
        <w:lastRenderedPageBreak/>
        <w:t>As a final comparison of our model's performance, we estimated the posttest probabilities for each test by extrapolating their performance on an average-risk population using previously published values for CRC prevalence. Based on a prevalence of 0.3% for cancer, the model would have a negative posttest probability (NPP) of 0.02%, compared to 0.08% for FIT. In other words, a negative result with the combined model would be one-fourth as likely to be a false negative than would a negative result from FIT. Likewise assuming a prevalence of 5.7% for advanced adenomas, the NPP for the combined model (2.89%) would be approximately half that of FIT (4.79%), meaning FIT would be nearly twice as likely to result in a false negative for advanced adenomas. Assuming a prevalence of 17.7% for non-advanced adenomas, the NPP would be 16.43% for FIT and 10.35% for the combined model. In costrast to the NPP, the positive posttest probability (PPP) of the combined model would be worse than that of FIT for cancer and advanced adenomas and similar for non-advanced adenomas (Extended Data Table 1). Therefore the combined model is more likely than FIT to result in false positives. However the posttest probabilities for all types of lesions could be improved by using the two tests in series. For example, the NPP for detecting Non-advanced adenoma when performing FIT and the combined model in series was 9.55% and the PPP was 73.76%. By combining the binary FIT screen and the microbiome-based model, it was possible to enhance the ability to detect tumors early with a high degree of specificity.</w:t>
      </w:r>
    </w:p>
    <w:p w14:paraId="043BB43B" w14:textId="77777777" w:rsidR="00977E18" w:rsidRDefault="00182D5C" w:rsidP="00DA70A7">
      <w:pPr>
        <w:spacing w:after="360"/>
      </w:pPr>
      <w:r>
        <w:t>Previous studies have identified differences in diagnostic test performance for certain demographic groups or for people taking certain medications</w:t>
      </w:r>
      <w:r>
        <w:rPr>
          <w:vertAlign w:val="superscript"/>
        </w:rPr>
        <w:t>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w:t>
      </w:r>
      <w:r>
        <w:lastRenderedPageBreak/>
        <w:t>of 73.8%. This difference was more pronounced for adenomas. The combined model detected 62.5% of adenomas in females and 53.4% in males. Despite performing more poorly overall for males, the combined model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14:paraId="017E00E5" w14:textId="77777777" w:rsidR="00977E18" w:rsidRDefault="00182D5C" w:rsidP="00DA70A7">
      <w:pPr>
        <w:spacing w:after="360"/>
      </w:pPr>
      <w:r>
        <w:t>It was recently shown that when FIT was combined with host-associated DNA biomarkers the ability to detect adenomas and carcinomas was significantly improved over FIT alone</w:t>
      </w:r>
      <w:r>
        <w:rPr>
          <w:vertAlign w:val="superscript"/>
        </w:rPr>
        <w:t>15</w:t>
      </w:r>
      <w:r>
        <w:t>. The sensitivity of the host-associated DNA screen was 92.3% for CRC and 42.4% for adenomas, which are both slightly lower than what we observed with our combined model.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7,8,17</w:t>
      </w:r>
      <w:r>
        <w:t xml:space="preserve">.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w:t>
      </w:r>
      <w:r>
        <w:rPr>
          <w:vertAlign w:val="superscript"/>
        </w:rPr>
        <w:t>26</w:t>
      </w:r>
      <w:r>
        <w:t>. Such models are likely to be useful as microbiota sequencing gains traction as a tool for characterizing health.</w:t>
      </w:r>
    </w:p>
    <w:p w14:paraId="59F51347" w14:textId="77777777" w:rsidR="00977E18" w:rsidRDefault="00182D5C" w:rsidP="00DA70A7">
      <w:pPr>
        <w:spacing w:after="360"/>
      </w:pPr>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w:t>
      </w:r>
      <w:r>
        <w:lastRenderedPageBreak/>
        <w:t>detected the majority of lesions that FIT was unable to detect. The shortcomings of the combined model were its lack of specificity and low positive predictive value. However, individuals at average risk in the United States are already encouraged to receive regular colonoscopies once they reach the age of 50</w:t>
      </w:r>
      <w:r>
        <w:rPr>
          <w:vertAlign w:val="superscript"/>
        </w:rPr>
        <w:t>21</w:t>
      </w:r>
      <w:r>
        <w:t>. Therefore the potential value of the combined model is in its high sensitivity and negative posttest probability. With a lower risk of false negatives compared to FIT, the model could be used to accurately identify people for whom a colonoscopy is unnecessary. This strategy could result in a decrease in the number of colonoscopies, thereby reducing both the financial costs and potential health risks of more invasive screening methods.</w:t>
      </w:r>
    </w:p>
    <w:p w14:paraId="29F16C94" w14:textId="38A956D6" w:rsidR="00977E18" w:rsidRDefault="00182D5C" w:rsidP="00DA70A7">
      <w:pPr>
        <w:spacing w:after="360"/>
      </w:pPr>
      <w:r>
        <w:rPr>
          <w:b/>
        </w:rPr>
        <w:t>Methods Summary.</w:t>
      </w:r>
      <w:r>
        <w:t xml:space="preserve"> Fecal samples were collected from 490 subjects in 4 locations: Toronto (Ontario, Canada), Boston (Massachusetts, USA), Houston (Texas, USA), and Ann Arbor (Michigan, USA). Patient diagnoses were determined by colonoscopy and subsequent histopathological examination</w:t>
      </w:r>
      <w:r w:rsidR="005F30B0">
        <w:t xml:space="preserve"> of any biopsies taken</w:t>
      </w:r>
      <w:r>
        <w:t>.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27</w:t>
      </w:r>
      <w:r>
        <w:t>. A data analysis pipeline and all necessary scripts to generate this paper are available at github.com/SchlossLab/Baxter_glne007Modeling_2015. The sequence data are available in the Sequence Read Archive under accession number SRP062005.</w:t>
      </w:r>
    </w:p>
    <w:p w14:paraId="2DDF2A48" w14:textId="77777777" w:rsidR="00977E18" w:rsidRDefault="00182D5C" w:rsidP="00DA70A7">
      <w:pPr>
        <w:pStyle w:val="Heading3"/>
        <w:spacing w:after="360"/>
      </w:pPr>
      <w:bookmarkStart w:id="0" w:name="methods-online-only"/>
      <w:bookmarkEnd w:id="0"/>
      <w:r>
        <w:t>Methods (online only)</w:t>
      </w:r>
    </w:p>
    <w:p w14:paraId="6565CEB1" w14:textId="77777777" w:rsidR="00977E18" w:rsidRDefault="00182D5C" w:rsidP="00DA70A7">
      <w:pPr>
        <w:spacing w:after="360"/>
      </w:pPr>
      <w:r>
        <w:rPr>
          <w:b/>
          <w:i/>
        </w:rPr>
        <w:t>Study Design/Patient sampling.</w:t>
      </w:r>
      <w:r>
        <w:t xml:space="preserve"> 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w:t>
      </w:r>
      <w:r>
        <w:lastRenderedPageBreak/>
        <w:t>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vertAlign w:val="superscript"/>
        </w:rPr>
        <w:t>28</w:t>
      </w:r>
      <w:r>
        <w:t>. Stool samples were packed in ice, shipped to a processing center via next day delivery and stored at -80˚C.</w:t>
      </w:r>
    </w:p>
    <w:p w14:paraId="0DB74188" w14:textId="77777777" w:rsidR="00977E18" w:rsidRDefault="00182D5C" w:rsidP="00DA70A7">
      <w:pPr>
        <w:spacing w:after="360"/>
      </w:pPr>
      <w:r>
        <w:rPr>
          <w:b/>
          <w:i/>
        </w:rPr>
        <w:t>Fecal Immunochemical Tests.</w:t>
      </w:r>
      <w:r>
        <w:t xml:space="preserve"> Fecal material for FIT was collected from frozen stool aliquots using OC FIT-CHEK sampling bottles (Polymedco Inc.) and processed using an OC-Auto Micro 80 automated system (Polymedco Inc.). Raw FIT results were used for generating ROC curves and for building the combined model.</w:t>
      </w:r>
    </w:p>
    <w:p w14:paraId="4A59C118" w14:textId="77777777" w:rsidR="00977E18" w:rsidRDefault="00182D5C" w:rsidP="00DA70A7">
      <w:pPr>
        <w:spacing w:after="360"/>
      </w:pPr>
      <w:r>
        <w:rPr>
          <w:b/>
          <w:i/>
        </w:rPr>
        <w:t>16S rRNA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27</w:t>
      </w:r>
      <w:r>
        <w:t>.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14:paraId="70518285" w14:textId="77777777" w:rsidR="00977E18" w:rsidRDefault="00182D5C" w:rsidP="00DA70A7">
      <w:pPr>
        <w:spacing w:after="360"/>
      </w:pPr>
      <w:r>
        <w:rPr>
          <w:b/>
          <w:i/>
        </w:rPr>
        <w:lastRenderedPageBreak/>
        <w:t>Sequence Curation.</w:t>
      </w:r>
      <w:r>
        <w:t xml:space="preserve"> The 16S rRNA gene sequences were curated using the mothur software package, as described previously</w:t>
      </w:r>
      <w:r>
        <w:rPr>
          <w:vertAlign w:val="superscript"/>
        </w:rPr>
        <w:t>27</w:t>
      </w:r>
      <w:r>
        <w:t>.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14:paraId="02090921" w14:textId="05713F7A" w:rsidR="00977E18" w:rsidRDefault="00182D5C" w:rsidP="00DA70A7">
      <w:pPr>
        <w:spacing w:after="360"/>
      </w:pPr>
      <w:r>
        <w:rPr>
          <w:b/>
          <w:i/>
        </w:rPr>
        <w:t>Statistical Methods.</w:t>
      </w:r>
      <w:r>
        <w:t xml:space="preserve"> All statistical analyses were performed using R. Random Forest models were generated using the AUCRF package</w:t>
      </w:r>
      <w:r>
        <w:rPr>
          <w:vertAlign w:val="superscript"/>
        </w:rPr>
        <w:t>19</w:t>
      </w:r>
      <w:r>
        <w:t>. The AUC of ROC curves was compared using the method described by DeLong et al.</w:t>
      </w:r>
      <w:r>
        <w:rPr>
          <w:vertAlign w:val="superscript"/>
        </w:rPr>
        <w:t>29</w:t>
      </w:r>
      <w:r>
        <w:t xml:space="preserve">. The optimal cutoff for the combined model was determined using Youden's </w:t>
      </w:r>
      <w:r>
        <w:rPr>
          <w:i/>
        </w:rPr>
        <w:t>J</w:t>
      </w:r>
      <w:r>
        <w:t xml:space="preserve"> statistic as implemented in the pROC package in R</w:t>
      </w:r>
      <w:r>
        <w:rPr>
          <w:vertAlign w:val="superscript"/>
        </w:rPr>
        <w:t>22</w:t>
      </w:r>
      <w:r>
        <w:t>. The sensitivities of FIT and the combined model were compared using McNemar's chi-squared test. To control for diagnosis while testing the effects of sex on the microbiome we used PERMANOVA as implemented in the adonis funciton in the vegan package.</w:t>
      </w:r>
      <w:r w:rsidR="005F30B0">
        <w:t xml:space="preserve"> </w:t>
      </w:r>
      <w:r w:rsidR="005F30B0" w:rsidRPr="005F30B0">
        <w:t>Posttest probabilities were calculated by multiplying pretest odds (prevalence) by the likelihood ratio of each test and converting the posttest odds to probabilities.</w:t>
      </w:r>
    </w:p>
    <w:p w14:paraId="2FAFDE2D" w14:textId="77777777" w:rsidR="00DA70A7" w:rsidRDefault="00182D5C" w:rsidP="00DA70A7">
      <w:pPr>
        <w:spacing w:after="360"/>
      </w:pPr>
      <w:r>
        <w:rPr>
          <w:b/>
          <w:i/>
        </w:rPr>
        <w:t>Data Availability.</w:t>
      </w:r>
      <w:r>
        <w:t xml:space="preserve"> Raw fastq files and MIMARKS file are available through the NCBI Sequence Read Archive [SRP062005]. A data analysis pipeline and all necessary scripts are available at github.com/</w:t>
      </w:r>
      <w:proofErr w:type="spellStart"/>
      <w:r>
        <w:t>SchlossLab</w:t>
      </w:r>
      <w:proofErr w:type="spellEnd"/>
      <w:r>
        <w:t>/Baxter_glne007Modeling_2015.</w:t>
      </w:r>
    </w:p>
    <w:p w14:paraId="08EB3E1E" w14:textId="77777777" w:rsidR="00DA70A7" w:rsidRDefault="00DA70A7">
      <w:pPr>
        <w:spacing w:before="0" w:after="200" w:line="240" w:lineRule="auto"/>
        <w:jc w:val="left"/>
      </w:pPr>
      <w:r>
        <w:br w:type="page"/>
      </w:r>
    </w:p>
    <w:p w14:paraId="43BAC03E" w14:textId="77777777" w:rsidR="00977E18" w:rsidRDefault="00977E18" w:rsidP="00DA70A7">
      <w:pPr>
        <w:spacing w:after="360"/>
      </w:pPr>
    </w:p>
    <w:p w14:paraId="6E6DDEF7" w14:textId="77777777" w:rsidR="00DA70A7" w:rsidRDefault="00DA70A7" w:rsidP="00DA70A7">
      <w:pPr>
        <w:pStyle w:val="Heading3"/>
      </w:pPr>
      <w:r>
        <w:t>Literature cited</w:t>
      </w:r>
    </w:p>
    <w:p w14:paraId="080F9EC6" w14:textId="77777777" w:rsidR="00DA70A7" w:rsidRDefault="00DA70A7" w:rsidP="00DA70A7">
      <w:pPr>
        <w:pStyle w:val="Bibliography"/>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14:paraId="5A4ABAEA" w14:textId="77777777" w:rsidR="00DA70A7" w:rsidRDefault="00DA70A7" w:rsidP="00DA70A7">
      <w:pPr>
        <w:pStyle w:val="Bibliography"/>
      </w:pPr>
      <w:r>
        <w:t xml:space="preserve">2. Disease Control, C. for, (CDC, P. &amp; others. Vital signs: Colorectal cancer screening test use–United states, 2012. </w:t>
      </w:r>
      <w:r>
        <w:rPr>
          <w:i/>
        </w:rPr>
        <w:t>MMWR. Morbidity and Mortality Weekly Report</w:t>
      </w:r>
      <w:r>
        <w:t xml:space="preserve"> </w:t>
      </w:r>
      <w:r>
        <w:rPr>
          <w:b/>
        </w:rPr>
        <w:t>62,</w:t>
      </w:r>
      <w:r>
        <w:t xml:space="preserve"> 881 (2013).</w:t>
      </w:r>
    </w:p>
    <w:p w14:paraId="7FF18A8E" w14:textId="77777777" w:rsidR="00DA70A7" w:rsidRDefault="00DA70A7" w:rsidP="00DA70A7">
      <w:pPr>
        <w:pStyle w:val="Bibliography"/>
      </w:pPr>
      <w:r>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14:paraId="705D6AD6" w14:textId="77777777" w:rsidR="00DA70A7" w:rsidRDefault="00DA70A7" w:rsidP="00DA70A7">
      <w:pPr>
        <w:pStyle w:val="Bibliography"/>
      </w:pPr>
      <w:r>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14:paraId="4AD87A52" w14:textId="77777777" w:rsidR="00DA70A7" w:rsidRDefault="00DA70A7" w:rsidP="00DA70A7">
      <w:pPr>
        <w:pStyle w:val="Bibliography"/>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14:paraId="6DD968E3" w14:textId="77777777" w:rsidR="00DA70A7" w:rsidRDefault="00DA70A7" w:rsidP="00DA70A7">
      <w:pPr>
        <w:pStyle w:val="Bibliography"/>
      </w:pPr>
      <w:r>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14:paraId="4899C925" w14:textId="77777777" w:rsidR="00DA70A7" w:rsidRDefault="00DA70A7" w:rsidP="00DA70A7">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14:paraId="4EC673DF" w14:textId="77777777" w:rsidR="00DA70A7" w:rsidRDefault="00DA70A7" w:rsidP="00DA70A7">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14:paraId="2E580D47" w14:textId="77777777" w:rsidR="00DA70A7" w:rsidRDefault="00DA70A7" w:rsidP="00DA70A7">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14:paraId="0302196A" w14:textId="77777777" w:rsidR="00DA70A7" w:rsidRDefault="00DA70A7" w:rsidP="00DA70A7">
      <w:pPr>
        <w:pStyle w:val="Bibliography"/>
      </w:pPr>
      <w:r>
        <w:lastRenderedPageBreak/>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14:paraId="0295A8F7" w14:textId="77777777" w:rsidR="00DA70A7" w:rsidRDefault="00DA70A7" w:rsidP="00DA70A7">
      <w:pPr>
        <w:pStyle w:val="Bibliography"/>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14:paraId="427FBAB7" w14:textId="77777777" w:rsidR="00DA70A7" w:rsidRDefault="00DA70A7" w:rsidP="00DA70A7">
      <w:pPr>
        <w:pStyle w:val="Bibliography"/>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14:paraId="392AC4AF" w14:textId="77777777" w:rsidR="00DA70A7" w:rsidRDefault="00DA70A7" w:rsidP="00DA70A7">
      <w:pPr>
        <w:pStyle w:val="Bibliography"/>
      </w:pPr>
      <w:r>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14:paraId="38C84757" w14:textId="77777777" w:rsidR="00DA70A7" w:rsidRDefault="00DA70A7" w:rsidP="00DA70A7">
      <w:pPr>
        <w:pStyle w:val="Bibliography"/>
      </w:pPr>
      <w:r>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14:paraId="76659F4E" w14:textId="77777777" w:rsidR="00DA70A7" w:rsidRDefault="00DA70A7" w:rsidP="00DA70A7">
      <w:pPr>
        <w:pStyle w:val="Bibliography"/>
      </w:pPr>
      <w:r>
        <w:t xml:space="preserve">15.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14:paraId="339D7736" w14:textId="77777777" w:rsidR="00DA70A7" w:rsidRDefault="00DA70A7" w:rsidP="00DA70A7">
      <w:pPr>
        <w:pStyle w:val="Bibliography"/>
      </w:pPr>
      <w:r>
        <w:t xml:space="preserve">16.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14:paraId="3AF32078" w14:textId="77777777" w:rsidR="00DA70A7" w:rsidRDefault="00DA70A7" w:rsidP="00DA70A7">
      <w:pPr>
        <w:pStyle w:val="Bibliography"/>
      </w:pPr>
      <w:r>
        <w:t xml:space="preserve">17.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14:paraId="1C316ADF" w14:textId="77777777" w:rsidR="00DA70A7" w:rsidRDefault="00DA70A7" w:rsidP="00DA70A7">
      <w:pPr>
        <w:pStyle w:val="Bibliography"/>
      </w:pPr>
      <w:r>
        <w:t xml:space="preserve">18.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14:paraId="2EDDA73B" w14:textId="77777777" w:rsidR="00DA70A7" w:rsidRDefault="00DA70A7" w:rsidP="00DA70A7">
      <w:pPr>
        <w:pStyle w:val="Bibliography"/>
      </w:pPr>
      <w:r>
        <w:t xml:space="preserve">19.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14:paraId="08656172" w14:textId="77777777" w:rsidR="00DA70A7" w:rsidRDefault="00DA70A7" w:rsidP="00DA70A7">
      <w:pPr>
        <w:pStyle w:val="Bibliography"/>
      </w:pPr>
      <w:r>
        <w:t xml:space="preserve">20.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14:paraId="3458122E" w14:textId="77777777" w:rsidR="00DA70A7" w:rsidRDefault="00DA70A7" w:rsidP="00DA70A7">
      <w:pPr>
        <w:pStyle w:val="Bibliography"/>
      </w:pPr>
      <w:r>
        <w:lastRenderedPageBreak/>
        <w:t xml:space="preserve">21.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14:paraId="31BE384B" w14:textId="77777777" w:rsidR="00DA70A7" w:rsidRDefault="00DA70A7" w:rsidP="00DA70A7">
      <w:pPr>
        <w:pStyle w:val="Bibliography"/>
      </w:pPr>
      <w:r>
        <w:t xml:space="preserve">22. </w:t>
      </w:r>
      <w:proofErr w:type="spellStart"/>
      <w:r>
        <w:t>Youden</w:t>
      </w:r>
      <w:proofErr w:type="spellEnd"/>
      <w:r>
        <w:t xml:space="preserve">, W. J. Index for rating diagnostic tests. </w:t>
      </w:r>
      <w:r>
        <w:rPr>
          <w:i/>
        </w:rPr>
        <w:t>Cancer</w:t>
      </w:r>
      <w:r>
        <w:t xml:space="preserve"> </w:t>
      </w:r>
      <w:r>
        <w:rPr>
          <w:b/>
        </w:rPr>
        <w:t>3,</w:t>
      </w:r>
      <w:r>
        <w:t xml:space="preserve"> 32–35 (1950).</w:t>
      </w:r>
    </w:p>
    <w:p w14:paraId="698256F5" w14:textId="77777777" w:rsidR="00DA70A7" w:rsidRDefault="00DA70A7" w:rsidP="00DA70A7">
      <w:pPr>
        <w:pStyle w:val="Bibliography"/>
      </w:pPr>
      <w:r>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14:paraId="484EDA4F" w14:textId="77777777" w:rsidR="00DA70A7" w:rsidRDefault="00DA70A7" w:rsidP="00DA70A7">
      <w:pPr>
        <w:pStyle w:val="Bibliography"/>
      </w:pPr>
      <w:r>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14:paraId="1419D25B" w14:textId="77777777" w:rsidR="00DA70A7" w:rsidRDefault="00DA70A7" w:rsidP="00DA70A7">
      <w:pPr>
        <w:pStyle w:val="Bibliography"/>
      </w:pPr>
      <w:r>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14:paraId="3DA7B5BD" w14:textId="77777777" w:rsidR="00DA70A7" w:rsidRDefault="00DA70A7" w:rsidP="00DA70A7">
      <w:pPr>
        <w:pStyle w:val="Bibliography"/>
      </w:pPr>
      <w:r>
        <w:t xml:space="preserve">26.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14:paraId="65F3F4D7" w14:textId="77777777" w:rsidR="00DA70A7" w:rsidRDefault="00DA70A7" w:rsidP="00DA70A7">
      <w:pPr>
        <w:pStyle w:val="Bibliography"/>
      </w:pPr>
      <w:r>
        <w:t xml:space="preserve">27.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14:paraId="5B04CC7F" w14:textId="77777777" w:rsidR="00DA70A7" w:rsidRDefault="00DA70A7" w:rsidP="00DA70A7">
      <w:pPr>
        <w:pStyle w:val="Bibliography"/>
      </w:pPr>
      <w:r>
        <w:t xml:space="preserve">28.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14:paraId="62260FA8" w14:textId="77777777" w:rsidR="00DA70A7" w:rsidRDefault="00DA70A7" w:rsidP="00DA70A7">
      <w:pPr>
        <w:pStyle w:val="Bibliography"/>
      </w:pPr>
      <w:r>
        <w:t xml:space="preserve">29. DeLong, E. R., DeLong, D. M. &amp; Clarke-Pearson, D. L. Comparing the areas under two or more correlated receiver operating characteristic curves: a nonparametric approach. </w:t>
      </w:r>
      <w:r>
        <w:rPr>
          <w:i/>
        </w:rPr>
        <w:t>Biometrics</w:t>
      </w:r>
      <w:r>
        <w:t xml:space="preserve"> 837–845 (1988).</w:t>
      </w:r>
    </w:p>
    <w:p w14:paraId="693392F8" w14:textId="77777777" w:rsidR="00DA70A7" w:rsidRDefault="00DA70A7" w:rsidP="00DA70A7">
      <w:pPr>
        <w:spacing w:after="360"/>
      </w:pPr>
    </w:p>
    <w:p w14:paraId="7A9A265B" w14:textId="77777777" w:rsidR="00977E18" w:rsidRDefault="00182D5C" w:rsidP="00DA70A7">
      <w:pPr>
        <w:pStyle w:val="Heading3"/>
        <w:spacing w:after="360"/>
      </w:pPr>
      <w:bookmarkStart w:id="1" w:name="author-contributions"/>
      <w:bookmarkEnd w:id="1"/>
      <w:r>
        <w:t>Author Contributions</w:t>
      </w:r>
    </w:p>
    <w:p w14:paraId="06BE7157" w14:textId="77777777" w:rsidR="00977E18" w:rsidRDefault="00182D5C" w:rsidP="00DA70A7">
      <w:pPr>
        <w:spacing w:after="360"/>
      </w:pPr>
      <w:r>
        <w:t>All authors were involved in the conception and design of the study. NTB processed samples and analyzed the data. All authors interpreted the data. NTB and PDS wrote the manuscript. All authors reviewed and revised the manuscript.</w:t>
      </w:r>
    </w:p>
    <w:p w14:paraId="530EC8E2" w14:textId="77777777" w:rsidR="00977E18" w:rsidRDefault="00182D5C" w:rsidP="00DA70A7">
      <w:pPr>
        <w:pStyle w:val="Heading3"/>
        <w:spacing w:after="360"/>
      </w:pPr>
      <w:bookmarkStart w:id="2" w:name="author-information"/>
      <w:bookmarkEnd w:id="2"/>
      <w:r>
        <w:t>Author Information</w:t>
      </w:r>
    </w:p>
    <w:p w14:paraId="793D5B5E" w14:textId="77777777" w:rsidR="00977E18" w:rsidRDefault="00182D5C" w:rsidP="00DA70A7">
      <w:pPr>
        <w:spacing w:after="360"/>
      </w:pPr>
      <w:r>
        <w:t>The authors declare no competing financial interests.</w:t>
      </w:r>
    </w:p>
    <w:p w14:paraId="41E71A1D" w14:textId="77777777" w:rsidR="00DA70A7" w:rsidRDefault="00DA70A7" w:rsidP="00DA70A7">
      <w:pPr>
        <w:spacing w:after="360"/>
      </w:pPr>
    </w:p>
    <w:p w14:paraId="59E192D7" w14:textId="77777777" w:rsidR="00977E18" w:rsidRDefault="00182D5C">
      <w:pPr>
        <w:pStyle w:val="Heading3"/>
      </w:pPr>
      <w:bookmarkStart w:id="3" w:name="figures"/>
      <w:bookmarkEnd w:id="3"/>
      <w:r>
        <w:t>Figures</w:t>
      </w:r>
    </w:p>
    <w:tbl>
      <w:tblPr>
        <w:tblW w:w="10347" w:type="dxa"/>
        <w:tblInd w:w="93" w:type="dxa"/>
        <w:tblLayout w:type="fixed"/>
        <w:tblLook w:val="04A0" w:firstRow="1" w:lastRow="0" w:firstColumn="1" w:lastColumn="0" w:noHBand="0" w:noVBand="1"/>
      </w:tblPr>
      <w:tblGrid>
        <w:gridCol w:w="2715"/>
        <w:gridCol w:w="950"/>
        <w:gridCol w:w="1300"/>
        <w:gridCol w:w="2003"/>
        <w:gridCol w:w="1213"/>
        <w:gridCol w:w="2166"/>
      </w:tblGrid>
      <w:tr w:rsidR="00182D5C" w:rsidRPr="00182D5C" w14:paraId="1F8B402D" w14:textId="77777777" w:rsidTr="00E22683">
        <w:trPr>
          <w:trHeight w:val="640"/>
        </w:trPr>
        <w:tc>
          <w:tcPr>
            <w:tcW w:w="3665" w:type="dxa"/>
            <w:gridSpan w:val="2"/>
            <w:tcBorders>
              <w:top w:val="single" w:sz="8" w:space="0" w:color="auto"/>
              <w:left w:val="single" w:sz="8" w:space="0" w:color="auto"/>
              <w:bottom w:val="nil"/>
              <w:right w:val="single" w:sz="4" w:space="0" w:color="000000"/>
            </w:tcBorders>
            <w:shd w:val="clear" w:color="auto" w:fill="auto"/>
            <w:vAlign w:val="center"/>
            <w:hideMark/>
          </w:tcPr>
          <w:p w14:paraId="1B6147A8" w14:textId="77777777" w:rsidR="00182D5C" w:rsidRPr="00182D5C" w:rsidRDefault="00182D5C" w:rsidP="00182D5C">
            <w:pPr>
              <w:spacing w:before="0" w:after="0" w:line="240" w:lineRule="auto"/>
              <w:jc w:val="center"/>
              <w:rPr>
                <w:rFonts w:ascii="Cambria" w:eastAsia="Times New Roman" w:hAnsi="Cambria" w:cs="Times New Roman"/>
                <w:b/>
                <w:bCs/>
                <w:color w:val="000000"/>
              </w:rPr>
            </w:pPr>
            <w:bookmarkStart w:id="4" w:name="RANGE!A1:F9"/>
            <w:r w:rsidRPr="00182D5C">
              <w:rPr>
                <w:rFonts w:ascii="Cambria" w:eastAsia="Times New Roman" w:hAnsi="Cambria" w:cs="Times New Roman"/>
                <w:b/>
                <w:bCs/>
                <w:color w:val="000000"/>
              </w:rPr>
              <w:t>Diagnosis</w:t>
            </w:r>
            <w:bookmarkEnd w:id="4"/>
          </w:p>
        </w:tc>
        <w:tc>
          <w:tcPr>
            <w:tcW w:w="3303" w:type="dxa"/>
            <w:gridSpan w:val="2"/>
            <w:tcBorders>
              <w:top w:val="single" w:sz="8" w:space="0" w:color="auto"/>
              <w:left w:val="nil"/>
              <w:bottom w:val="nil"/>
              <w:right w:val="single" w:sz="4" w:space="0" w:color="000000"/>
            </w:tcBorders>
            <w:shd w:val="clear" w:color="auto" w:fill="auto"/>
            <w:vAlign w:val="center"/>
            <w:hideMark/>
          </w:tcPr>
          <w:p w14:paraId="7E06BE89" w14:textId="77777777" w:rsidR="00182D5C" w:rsidRPr="00182D5C" w:rsidRDefault="00182D5C" w:rsidP="00182D5C">
            <w:pPr>
              <w:spacing w:before="0" w:after="0" w:line="240" w:lineRule="auto"/>
              <w:jc w:val="center"/>
              <w:rPr>
                <w:rFonts w:ascii="Cambria" w:eastAsia="Times New Roman" w:hAnsi="Cambria" w:cs="Times New Roman"/>
                <w:b/>
                <w:bCs/>
                <w:color w:val="000000"/>
              </w:rPr>
            </w:pPr>
            <w:r w:rsidRPr="00182D5C">
              <w:rPr>
                <w:rFonts w:ascii="Cambria" w:eastAsia="Times New Roman" w:hAnsi="Cambria" w:cs="Times New Roman"/>
                <w:b/>
                <w:bCs/>
                <w:color w:val="000000"/>
              </w:rPr>
              <w:t>Combined Model</w:t>
            </w:r>
          </w:p>
        </w:tc>
        <w:tc>
          <w:tcPr>
            <w:tcW w:w="3379" w:type="dxa"/>
            <w:gridSpan w:val="2"/>
            <w:tcBorders>
              <w:top w:val="single" w:sz="8" w:space="0" w:color="auto"/>
              <w:left w:val="nil"/>
              <w:bottom w:val="nil"/>
              <w:right w:val="single" w:sz="8" w:space="0" w:color="000000"/>
            </w:tcBorders>
            <w:shd w:val="clear" w:color="auto" w:fill="auto"/>
            <w:vAlign w:val="center"/>
            <w:hideMark/>
          </w:tcPr>
          <w:p w14:paraId="63C88B0C" w14:textId="77777777" w:rsidR="00182D5C" w:rsidRPr="00182D5C" w:rsidRDefault="00182D5C" w:rsidP="00182D5C">
            <w:pPr>
              <w:spacing w:before="0" w:after="0" w:line="240" w:lineRule="auto"/>
              <w:jc w:val="center"/>
              <w:rPr>
                <w:rFonts w:ascii="Cambria" w:eastAsia="Times New Roman" w:hAnsi="Cambria" w:cs="Times New Roman"/>
                <w:b/>
                <w:bCs/>
                <w:color w:val="000000"/>
              </w:rPr>
            </w:pPr>
            <w:r w:rsidRPr="00182D5C">
              <w:rPr>
                <w:rFonts w:ascii="Cambria" w:eastAsia="Times New Roman" w:hAnsi="Cambria" w:cs="Times New Roman"/>
                <w:b/>
                <w:bCs/>
                <w:color w:val="000000"/>
              </w:rPr>
              <w:t>FIT</w:t>
            </w:r>
          </w:p>
        </w:tc>
      </w:tr>
      <w:tr w:rsidR="00182D5C" w:rsidRPr="00182D5C" w14:paraId="336023E8" w14:textId="77777777" w:rsidTr="00E22683">
        <w:trPr>
          <w:trHeight w:val="520"/>
        </w:trPr>
        <w:tc>
          <w:tcPr>
            <w:tcW w:w="2715" w:type="dxa"/>
            <w:tcBorders>
              <w:top w:val="nil"/>
              <w:left w:val="single" w:sz="8" w:space="0" w:color="auto"/>
              <w:bottom w:val="nil"/>
              <w:right w:val="nil"/>
            </w:tcBorders>
            <w:shd w:val="clear" w:color="auto" w:fill="auto"/>
            <w:noWrap/>
            <w:vAlign w:val="center"/>
            <w:hideMark/>
          </w:tcPr>
          <w:p w14:paraId="3C29B8A4"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950" w:type="dxa"/>
            <w:tcBorders>
              <w:top w:val="nil"/>
              <w:left w:val="nil"/>
              <w:bottom w:val="nil"/>
              <w:right w:val="single" w:sz="4" w:space="0" w:color="auto"/>
            </w:tcBorders>
            <w:shd w:val="clear" w:color="auto" w:fill="auto"/>
            <w:noWrap/>
            <w:vAlign w:val="center"/>
            <w:hideMark/>
          </w:tcPr>
          <w:p w14:paraId="279D518F"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1300" w:type="dxa"/>
            <w:tcBorders>
              <w:top w:val="nil"/>
              <w:left w:val="nil"/>
              <w:bottom w:val="nil"/>
              <w:right w:val="nil"/>
            </w:tcBorders>
            <w:shd w:val="clear" w:color="auto" w:fill="auto"/>
            <w:vAlign w:val="center"/>
            <w:hideMark/>
          </w:tcPr>
          <w:p w14:paraId="594E9697"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True Positives</w:t>
            </w:r>
          </w:p>
        </w:tc>
        <w:tc>
          <w:tcPr>
            <w:tcW w:w="2003" w:type="dxa"/>
            <w:tcBorders>
              <w:top w:val="nil"/>
              <w:left w:val="nil"/>
              <w:bottom w:val="nil"/>
              <w:right w:val="single" w:sz="4" w:space="0" w:color="auto"/>
            </w:tcBorders>
            <w:shd w:val="clear" w:color="auto" w:fill="auto"/>
            <w:vAlign w:val="center"/>
            <w:hideMark/>
          </w:tcPr>
          <w:p w14:paraId="36F40F2D"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Sensitivity</w:t>
            </w:r>
            <w:r w:rsidRPr="00182D5C">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4BF6EF8A"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True Positives</w:t>
            </w:r>
          </w:p>
        </w:tc>
        <w:tc>
          <w:tcPr>
            <w:tcW w:w="2166" w:type="dxa"/>
            <w:tcBorders>
              <w:top w:val="nil"/>
              <w:left w:val="nil"/>
              <w:bottom w:val="nil"/>
              <w:right w:val="single" w:sz="8" w:space="0" w:color="auto"/>
            </w:tcBorders>
            <w:shd w:val="clear" w:color="auto" w:fill="auto"/>
            <w:vAlign w:val="center"/>
            <w:hideMark/>
          </w:tcPr>
          <w:p w14:paraId="5B5051D4"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Sensitivity</w:t>
            </w:r>
            <w:r w:rsidRPr="00182D5C">
              <w:rPr>
                <w:rFonts w:ascii="Cambria" w:eastAsia="Times New Roman" w:hAnsi="Cambria" w:cs="Times New Roman"/>
                <w:color w:val="000000"/>
                <w:sz w:val="22"/>
                <w:szCs w:val="22"/>
              </w:rPr>
              <w:br/>
              <w:t>(95% CI)</w:t>
            </w:r>
          </w:p>
        </w:tc>
      </w:tr>
      <w:tr w:rsidR="00182D5C" w:rsidRPr="00182D5C" w14:paraId="56EDDFE3" w14:textId="77777777" w:rsidTr="00E22683">
        <w:trPr>
          <w:trHeight w:val="380"/>
        </w:trPr>
        <w:tc>
          <w:tcPr>
            <w:tcW w:w="2715" w:type="dxa"/>
            <w:tcBorders>
              <w:top w:val="nil"/>
              <w:left w:val="single" w:sz="8" w:space="0" w:color="auto"/>
              <w:bottom w:val="nil"/>
              <w:right w:val="nil"/>
            </w:tcBorders>
            <w:shd w:val="clear" w:color="000000" w:fill="F2F2F2"/>
            <w:noWrap/>
            <w:vAlign w:val="center"/>
            <w:hideMark/>
          </w:tcPr>
          <w:p w14:paraId="0A4E58B8"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Cancer</w:t>
            </w:r>
          </w:p>
        </w:tc>
        <w:tc>
          <w:tcPr>
            <w:tcW w:w="950" w:type="dxa"/>
            <w:tcBorders>
              <w:top w:val="nil"/>
              <w:left w:val="nil"/>
              <w:bottom w:val="nil"/>
              <w:right w:val="single" w:sz="4" w:space="0" w:color="auto"/>
            </w:tcBorders>
            <w:shd w:val="clear" w:color="000000" w:fill="F2F2F2"/>
            <w:noWrap/>
            <w:vAlign w:val="center"/>
            <w:hideMark/>
          </w:tcPr>
          <w:p w14:paraId="7AAE51B9"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n=120</w:t>
            </w:r>
          </w:p>
        </w:tc>
        <w:tc>
          <w:tcPr>
            <w:tcW w:w="1300" w:type="dxa"/>
            <w:tcBorders>
              <w:top w:val="nil"/>
              <w:left w:val="nil"/>
              <w:bottom w:val="nil"/>
              <w:right w:val="nil"/>
            </w:tcBorders>
            <w:shd w:val="clear" w:color="000000" w:fill="F2F2F2"/>
            <w:noWrap/>
            <w:vAlign w:val="center"/>
            <w:hideMark/>
          </w:tcPr>
          <w:p w14:paraId="0C821FF8"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114</w:t>
            </w:r>
          </w:p>
        </w:tc>
        <w:tc>
          <w:tcPr>
            <w:tcW w:w="2003" w:type="dxa"/>
            <w:tcBorders>
              <w:top w:val="nil"/>
              <w:left w:val="nil"/>
              <w:bottom w:val="nil"/>
              <w:right w:val="single" w:sz="4" w:space="0" w:color="auto"/>
            </w:tcBorders>
            <w:shd w:val="clear" w:color="000000" w:fill="F2F2F2"/>
            <w:noWrap/>
            <w:vAlign w:val="center"/>
            <w:hideMark/>
          </w:tcPr>
          <w:p w14:paraId="77112703"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95.0</w:t>
            </w:r>
            <w:r w:rsidRPr="00182D5C">
              <w:rPr>
                <w:rFonts w:ascii="Cambria" w:eastAsia="Times New Roman" w:hAnsi="Cambria" w:cs="Times New Roman"/>
                <w:color w:val="000000"/>
                <w:sz w:val="22"/>
                <w:szCs w:val="22"/>
              </w:rPr>
              <w:t xml:space="preserve"> (90.8-98.3)</w:t>
            </w:r>
          </w:p>
        </w:tc>
        <w:tc>
          <w:tcPr>
            <w:tcW w:w="1213" w:type="dxa"/>
            <w:tcBorders>
              <w:top w:val="nil"/>
              <w:left w:val="nil"/>
              <w:bottom w:val="nil"/>
              <w:right w:val="nil"/>
            </w:tcBorders>
            <w:shd w:val="clear" w:color="000000" w:fill="F2F2F2"/>
            <w:noWrap/>
            <w:vAlign w:val="center"/>
            <w:hideMark/>
          </w:tcPr>
          <w:p w14:paraId="68128796"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90</w:t>
            </w:r>
          </w:p>
        </w:tc>
        <w:tc>
          <w:tcPr>
            <w:tcW w:w="2166" w:type="dxa"/>
            <w:tcBorders>
              <w:top w:val="nil"/>
              <w:left w:val="nil"/>
              <w:bottom w:val="nil"/>
              <w:right w:val="single" w:sz="8" w:space="0" w:color="auto"/>
            </w:tcBorders>
            <w:shd w:val="clear" w:color="000000" w:fill="F2F2F2"/>
            <w:noWrap/>
            <w:vAlign w:val="center"/>
            <w:hideMark/>
          </w:tcPr>
          <w:p w14:paraId="29E87C1B"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75.0</w:t>
            </w:r>
            <w:r w:rsidRPr="00182D5C">
              <w:rPr>
                <w:rFonts w:ascii="Cambria" w:eastAsia="Times New Roman" w:hAnsi="Cambria" w:cs="Times New Roman"/>
                <w:color w:val="000000"/>
                <w:sz w:val="22"/>
                <w:szCs w:val="22"/>
              </w:rPr>
              <w:t xml:space="preserve"> (67.5-82.5)</w:t>
            </w:r>
          </w:p>
        </w:tc>
      </w:tr>
      <w:tr w:rsidR="00182D5C" w:rsidRPr="00182D5C" w14:paraId="5484233F" w14:textId="77777777" w:rsidTr="00E22683">
        <w:trPr>
          <w:trHeight w:val="380"/>
        </w:trPr>
        <w:tc>
          <w:tcPr>
            <w:tcW w:w="2715" w:type="dxa"/>
            <w:tcBorders>
              <w:top w:val="nil"/>
              <w:left w:val="single" w:sz="8" w:space="0" w:color="auto"/>
              <w:bottom w:val="nil"/>
              <w:right w:val="nil"/>
            </w:tcBorders>
            <w:shd w:val="clear" w:color="auto" w:fill="auto"/>
            <w:noWrap/>
            <w:vAlign w:val="center"/>
            <w:hideMark/>
          </w:tcPr>
          <w:p w14:paraId="7EB2FDA0"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Advanced Adenoma</w:t>
            </w:r>
          </w:p>
        </w:tc>
        <w:tc>
          <w:tcPr>
            <w:tcW w:w="950" w:type="dxa"/>
            <w:tcBorders>
              <w:top w:val="nil"/>
              <w:left w:val="nil"/>
              <w:bottom w:val="nil"/>
              <w:right w:val="single" w:sz="4" w:space="0" w:color="auto"/>
            </w:tcBorders>
            <w:shd w:val="clear" w:color="auto" w:fill="auto"/>
            <w:noWrap/>
            <w:vAlign w:val="center"/>
            <w:hideMark/>
          </w:tcPr>
          <w:p w14:paraId="33B8CE20"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n=109</w:t>
            </w:r>
          </w:p>
        </w:tc>
        <w:tc>
          <w:tcPr>
            <w:tcW w:w="1300" w:type="dxa"/>
            <w:tcBorders>
              <w:top w:val="nil"/>
              <w:left w:val="nil"/>
              <w:bottom w:val="nil"/>
              <w:right w:val="nil"/>
            </w:tcBorders>
            <w:shd w:val="clear" w:color="auto" w:fill="auto"/>
            <w:noWrap/>
            <w:vAlign w:val="center"/>
            <w:hideMark/>
          </w:tcPr>
          <w:p w14:paraId="53C863C9"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64</w:t>
            </w:r>
          </w:p>
        </w:tc>
        <w:tc>
          <w:tcPr>
            <w:tcW w:w="2003" w:type="dxa"/>
            <w:tcBorders>
              <w:top w:val="nil"/>
              <w:left w:val="nil"/>
              <w:bottom w:val="nil"/>
              <w:right w:val="single" w:sz="4" w:space="0" w:color="auto"/>
            </w:tcBorders>
            <w:shd w:val="clear" w:color="auto" w:fill="auto"/>
            <w:noWrap/>
            <w:vAlign w:val="center"/>
            <w:hideMark/>
          </w:tcPr>
          <w:p w14:paraId="49A8FEC5"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58.7</w:t>
            </w:r>
            <w:r w:rsidRPr="00182D5C">
              <w:rPr>
                <w:rFonts w:ascii="Cambria" w:eastAsia="Times New Roman" w:hAnsi="Cambria" w:cs="Times New Roman"/>
                <w:color w:val="000000"/>
                <w:sz w:val="22"/>
                <w:szCs w:val="22"/>
              </w:rPr>
              <w:t xml:space="preserve"> (49.5-67.9)</w:t>
            </w:r>
          </w:p>
        </w:tc>
        <w:tc>
          <w:tcPr>
            <w:tcW w:w="1213" w:type="dxa"/>
            <w:tcBorders>
              <w:top w:val="nil"/>
              <w:left w:val="nil"/>
              <w:bottom w:val="nil"/>
              <w:right w:val="nil"/>
            </w:tcBorders>
            <w:shd w:val="clear" w:color="auto" w:fill="auto"/>
            <w:noWrap/>
            <w:vAlign w:val="center"/>
            <w:hideMark/>
          </w:tcPr>
          <w:p w14:paraId="7342A2DB"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21</w:t>
            </w:r>
          </w:p>
        </w:tc>
        <w:tc>
          <w:tcPr>
            <w:tcW w:w="2166" w:type="dxa"/>
            <w:tcBorders>
              <w:top w:val="nil"/>
              <w:left w:val="nil"/>
              <w:bottom w:val="nil"/>
              <w:right w:val="single" w:sz="8" w:space="0" w:color="auto"/>
            </w:tcBorders>
            <w:shd w:val="clear" w:color="auto" w:fill="auto"/>
            <w:noWrap/>
            <w:vAlign w:val="center"/>
            <w:hideMark/>
          </w:tcPr>
          <w:p w14:paraId="5E6E9CD9"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19.3</w:t>
            </w:r>
            <w:r w:rsidRPr="00182D5C">
              <w:rPr>
                <w:rFonts w:ascii="Cambria" w:eastAsia="Times New Roman" w:hAnsi="Cambria" w:cs="Times New Roman"/>
                <w:color w:val="000000"/>
                <w:sz w:val="22"/>
                <w:szCs w:val="22"/>
              </w:rPr>
              <w:t xml:space="preserve"> (11.9-27.5)</w:t>
            </w:r>
          </w:p>
        </w:tc>
      </w:tr>
      <w:tr w:rsidR="00182D5C" w:rsidRPr="00182D5C" w14:paraId="1CC687AA" w14:textId="77777777" w:rsidTr="00E22683">
        <w:trPr>
          <w:trHeight w:val="380"/>
        </w:trPr>
        <w:tc>
          <w:tcPr>
            <w:tcW w:w="2715" w:type="dxa"/>
            <w:tcBorders>
              <w:top w:val="nil"/>
              <w:left w:val="single" w:sz="8" w:space="0" w:color="auto"/>
              <w:bottom w:val="nil"/>
              <w:right w:val="nil"/>
            </w:tcBorders>
            <w:shd w:val="clear" w:color="000000" w:fill="F2F2F2"/>
            <w:noWrap/>
            <w:vAlign w:val="center"/>
            <w:hideMark/>
          </w:tcPr>
          <w:p w14:paraId="6C490FBC"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Non Advanced Adenoma</w:t>
            </w:r>
          </w:p>
        </w:tc>
        <w:tc>
          <w:tcPr>
            <w:tcW w:w="950" w:type="dxa"/>
            <w:tcBorders>
              <w:top w:val="nil"/>
              <w:left w:val="nil"/>
              <w:bottom w:val="nil"/>
              <w:right w:val="single" w:sz="4" w:space="0" w:color="auto"/>
            </w:tcBorders>
            <w:shd w:val="clear" w:color="000000" w:fill="F2F2F2"/>
            <w:noWrap/>
            <w:vAlign w:val="center"/>
            <w:hideMark/>
          </w:tcPr>
          <w:p w14:paraId="49ED960F"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n=89</w:t>
            </w:r>
          </w:p>
        </w:tc>
        <w:tc>
          <w:tcPr>
            <w:tcW w:w="1300" w:type="dxa"/>
            <w:tcBorders>
              <w:top w:val="nil"/>
              <w:left w:val="nil"/>
              <w:bottom w:val="nil"/>
              <w:right w:val="nil"/>
            </w:tcBorders>
            <w:shd w:val="clear" w:color="000000" w:fill="F2F2F2"/>
            <w:noWrap/>
            <w:vAlign w:val="center"/>
            <w:hideMark/>
          </w:tcPr>
          <w:p w14:paraId="3AA2938B"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49</w:t>
            </w:r>
          </w:p>
        </w:tc>
        <w:tc>
          <w:tcPr>
            <w:tcW w:w="2003" w:type="dxa"/>
            <w:tcBorders>
              <w:top w:val="nil"/>
              <w:left w:val="nil"/>
              <w:bottom w:val="nil"/>
              <w:right w:val="single" w:sz="4" w:space="0" w:color="auto"/>
            </w:tcBorders>
            <w:shd w:val="clear" w:color="000000" w:fill="F2F2F2"/>
            <w:noWrap/>
            <w:vAlign w:val="center"/>
            <w:hideMark/>
          </w:tcPr>
          <w:p w14:paraId="0A030A06"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55.1</w:t>
            </w:r>
            <w:r w:rsidRPr="00182D5C">
              <w:rPr>
                <w:rFonts w:ascii="Cambria" w:eastAsia="Times New Roman" w:hAnsi="Cambria" w:cs="Times New Roman"/>
                <w:color w:val="000000"/>
                <w:sz w:val="22"/>
                <w:szCs w:val="22"/>
              </w:rPr>
              <w:t xml:space="preserve"> (43.8-65.2)</w:t>
            </w:r>
          </w:p>
        </w:tc>
        <w:tc>
          <w:tcPr>
            <w:tcW w:w="1213" w:type="dxa"/>
            <w:tcBorders>
              <w:top w:val="nil"/>
              <w:left w:val="nil"/>
              <w:bottom w:val="nil"/>
              <w:right w:val="nil"/>
            </w:tcBorders>
            <w:shd w:val="clear" w:color="000000" w:fill="F2F2F2"/>
            <w:noWrap/>
            <w:vAlign w:val="center"/>
            <w:hideMark/>
          </w:tcPr>
          <w:p w14:paraId="31A44972"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10</w:t>
            </w:r>
          </w:p>
        </w:tc>
        <w:tc>
          <w:tcPr>
            <w:tcW w:w="2166" w:type="dxa"/>
            <w:tcBorders>
              <w:top w:val="nil"/>
              <w:left w:val="nil"/>
              <w:bottom w:val="nil"/>
              <w:right w:val="single" w:sz="8" w:space="0" w:color="auto"/>
            </w:tcBorders>
            <w:shd w:val="clear" w:color="000000" w:fill="F2F2F2"/>
            <w:noWrap/>
            <w:vAlign w:val="center"/>
            <w:hideMark/>
          </w:tcPr>
          <w:p w14:paraId="06A255E9"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11.2</w:t>
            </w:r>
            <w:r w:rsidRPr="00182D5C">
              <w:rPr>
                <w:rFonts w:ascii="Cambria" w:eastAsia="Times New Roman" w:hAnsi="Cambria" w:cs="Times New Roman"/>
                <w:color w:val="000000"/>
                <w:sz w:val="22"/>
                <w:szCs w:val="22"/>
              </w:rPr>
              <w:t xml:space="preserve"> (5.62-18)</w:t>
            </w:r>
          </w:p>
        </w:tc>
      </w:tr>
      <w:tr w:rsidR="00182D5C" w:rsidRPr="00182D5C" w14:paraId="6AEE2D2E" w14:textId="77777777" w:rsidTr="00E22683">
        <w:trPr>
          <w:trHeight w:val="380"/>
        </w:trPr>
        <w:tc>
          <w:tcPr>
            <w:tcW w:w="2715" w:type="dxa"/>
            <w:tcBorders>
              <w:top w:val="nil"/>
              <w:left w:val="single" w:sz="8" w:space="0" w:color="auto"/>
              <w:bottom w:val="nil"/>
              <w:right w:val="nil"/>
            </w:tcBorders>
            <w:shd w:val="clear" w:color="auto" w:fill="auto"/>
            <w:noWrap/>
            <w:vAlign w:val="center"/>
            <w:hideMark/>
          </w:tcPr>
          <w:p w14:paraId="074F4B32"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Any Lesions</w:t>
            </w:r>
          </w:p>
        </w:tc>
        <w:tc>
          <w:tcPr>
            <w:tcW w:w="950" w:type="dxa"/>
            <w:tcBorders>
              <w:top w:val="nil"/>
              <w:left w:val="nil"/>
              <w:bottom w:val="nil"/>
              <w:right w:val="single" w:sz="4" w:space="0" w:color="auto"/>
            </w:tcBorders>
            <w:shd w:val="clear" w:color="auto" w:fill="auto"/>
            <w:noWrap/>
            <w:vAlign w:val="center"/>
            <w:hideMark/>
          </w:tcPr>
          <w:p w14:paraId="080466C1"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n=318</w:t>
            </w:r>
          </w:p>
        </w:tc>
        <w:tc>
          <w:tcPr>
            <w:tcW w:w="1300" w:type="dxa"/>
            <w:tcBorders>
              <w:top w:val="nil"/>
              <w:left w:val="nil"/>
              <w:bottom w:val="nil"/>
              <w:right w:val="nil"/>
            </w:tcBorders>
            <w:shd w:val="clear" w:color="auto" w:fill="auto"/>
            <w:noWrap/>
            <w:vAlign w:val="center"/>
            <w:hideMark/>
          </w:tcPr>
          <w:p w14:paraId="2BE6A653"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227</w:t>
            </w:r>
          </w:p>
        </w:tc>
        <w:tc>
          <w:tcPr>
            <w:tcW w:w="2003" w:type="dxa"/>
            <w:tcBorders>
              <w:top w:val="nil"/>
              <w:left w:val="nil"/>
              <w:bottom w:val="nil"/>
              <w:right w:val="single" w:sz="4" w:space="0" w:color="auto"/>
            </w:tcBorders>
            <w:shd w:val="clear" w:color="auto" w:fill="auto"/>
            <w:noWrap/>
            <w:vAlign w:val="center"/>
            <w:hideMark/>
          </w:tcPr>
          <w:p w14:paraId="4A877812"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71.4</w:t>
            </w:r>
            <w:r w:rsidRPr="00182D5C">
              <w:rPr>
                <w:rFonts w:ascii="Cambria" w:eastAsia="Times New Roman" w:hAnsi="Cambria" w:cs="Times New Roman"/>
                <w:color w:val="000000"/>
                <w:sz w:val="22"/>
                <w:szCs w:val="22"/>
              </w:rPr>
              <w:t xml:space="preserve"> (66.4-76.4)</w:t>
            </w:r>
          </w:p>
        </w:tc>
        <w:tc>
          <w:tcPr>
            <w:tcW w:w="1213" w:type="dxa"/>
            <w:tcBorders>
              <w:top w:val="nil"/>
              <w:left w:val="nil"/>
              <w:bottom w:val="nil"/>
              <w:right w:val="nil"/>
            </w:tcBorders>
            <w:shd w:val="clear" w:color="auto" w:fill="auto"/>
            <w:noWrap/>
            <w:vAlign w:val="center"/>
            <w:hideMark/>
          </w:tcPr>
          <w:p w14:paraId="4A16340A"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121</w:t>
            </w:r>
          </w:p>
        </w:tc>
        <w:tc>
          <w:tcPr>
            <w:tcW w:w="2166" w:type="dxa"/>
            <w:tcBorders>
              <w:top w:val="nil"/>
              <w:left w:val="nil"/>
              <w:bottom w:val="nil"/>
              <w:right w:val="single" w:sz="8" w:space="0" w:color="auto"/>
            </w:tcBorders>
            <w:shd w:val="clear" w:color="auto" w:fill="auto"/>
            <w:noWrap/>
            <w:vAlign w:val="center"/>
            <w:hideMark/>
          </w:tcPr>
          <w:p w14:paraId="50D733E1"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38.1</w:t>
            </w:r>
            <w:r w:rsidRPr="00182D5C">
              <w:rPr>
                <w:rFonts w:ascii="Cambria" w:eastAsia="Times New Roman" w:hAnsi="Cambria" w:cs="Times New Roman"/>
                <w:color w:val="000000"/>
                <w:sz w:val="22"/>
                <w:szCs w:val="22"/>
              </w:rPr>
              <w:t xml:space="preserve"> (33-43.4)</w:t>
            </w:r>
          </w:p>
        </w:tc>
      </w:tr>
      <w:tr w:rsidR="00182D5C" w:rsidRPr="00182D5C" w14:paraId="014AF950" w14:textId="77777777" w:rsidTr="00E22683">
        <w:trPr>
          <w:trHeight w:val="280"/>
        </w:trPr>
        <w:tc>
          <w:tcPr>
            <w:tcW w:w="2715" w:type="dxa"/>
            <w:tcBorders>
              <w:top w:val="nil"/>
              <w:left w:val="single" w:sz="8" w:space="0" w:color="auto"/>
              <w:bottom w:val="nil"/>
              <w:right w:val="nil"/>
            </w:tcBorders>
            <w:shd w:val="clear" w:color="auto" w:fill="auto"/>
            <w:noWrap/>
            <w:vAlign w:val="center"/>
            <w:hideMark/>
          </w:tcPr>
          <w:p w14:paraId="4E4833DF"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950" w:type="dxa"/>
            <w:tcBorders>
              <w:top w:val="nil"/>
              <w:left w:val="nil"/>
              <w:bottom w:val="nil"/>
              <w:right w:val="single" w:sz="4" w:space="0" w:color="auto"/>
            </w:tcBorders>
            <w:shd w:val="clear" w:color="auto" w:fill="auto"/>
            <w:noWrap/>
            <w:vAlign w:val="center"/>
            <w:hideMark/>
          </w:tcPr>
          <w:p w14:paraId="42FADD16"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1300" w:type="dxa"/>
            <w:tcBorders>
              <w:top w:val="nil"/>
              <w:left w:val="nil"/>
              <w:bottom w:val="nil"/>
              <w:right w:val="nil"/>
            </w:tcBorders>
            <w:shd w:val="clear" w:color="auto" w:fill="auto"/>
            <w:noWrap/>
            <w:vAlign w:val="center"/>
            <w:hideMark/>
          </w:tcPr>
          <w:p w14:paraId="2D005E20"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p>
        </w:tc>
        <w:tc>
          <w:tcPr>
            <w:tcW w:w="2003" w:type="dxa"/>
            <w:tcBorders>
              <w:top w:val="nil"/>
              <w:left w:val="nil"/>
              <w:bottom w:val="nil"/>
              <w:right w:val="single" w:sz="4" w:space="0" w:color="auto"/>
            </w:tcBorders>
            <w:shd w:val="clear" w:color="auto" w:fill="auto"/>
            <w:noWrap/>
            <w:vAlign w:val="center"/>
            <w:hideMark/>
          </w:tcPr>
          <w:p w14:paraId="0227AFE5"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1213" w:type="dxa"/>
            <w:tcBorders>
              <w:top w:val="nil"/>
              <w:left w:val="nil"/>
              <w:bottom w:val="nil"/>
              <w:right w:val="nil"/>
            </w:tcBorders>
            <w:shd w:val="clear" w:color="auto" w:fill="auto"/>
            <w:noWrap/>
            <w:vAlign w:val="center"/>
            <w:hideMark/>
          </w:tcPr>
          <w:p w14:paraId="4793957E"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2166" w:type="dxa"/>
            <w:tcBorders>
              <w:top w:val="nil"/>
              <w:left w:val="nil"/>
              <w:bottom w:val="nil"/>
              <w:right w:val="single" w:sz="8" w:space="0" w:color="auto"/>
            </w:tcBorders>
            <w:shd w:val="clear" w:color="auto" w:fill="auto"/>
            <w:noWrap/>
            <w:vAlign w:val="center"/>
            <w:hideMark/>
          </w:tcPr>
          <w:p w14:paraId="03DAF08D"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r>
      <w:tr w:rsidR="00182D5C" w:rsidRPr="00182D5C" w14:paraId="46871BD1" w14:textId="77777777" w:rsidTr="00E22683">
        <w:trPr>
          <w:trHeight w:val="520"/>
        </w:trPr>
        <w:tc>
          <w:tcPr>
            <w:tcW w:w="2715" w:type="dxa"/>
            <w:tcBorders>
              <w:top w:val="nil"/>
              <w:left w:val="single" w:sz="8" w:space="0" w:color="auto"/>
              <w:bottom w:val="nil"/>
              <w:right w:val="nil"/>
            </w:tcBorders>
            <w:shd w:val="clear" w:color="auto" w:fill="auto"/>
            <w:noWrap/>
            <w:vAlign w:val="center"/>
            <w:hideMark/>
          </w:tcPr>
          <w:p w14:paraId="344B2C5C"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950" w:type="dxa"/>
            <w:tcBorders>
              <w:top w:val="nil"/>
              <w:left w:val="nil"/>
              <w:bottom w:val="nil"/>
              <w:right w:val="single" w:sz="4" w:space="0" w:color="auto"/>
            </w:tcBorders>
            <w:shd w:val="clear" w:color="auto" w:fill="auto"/>
            <w:noWrap/>
            <w:vAlign w:val="center"/>
            <w:hideMark/>
          </w:tcPr>
          <w:p w14:paraId="42F1850A"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 </w:t>
            </w:r>
          </w:p>
        </w:tc>
        <w:tc>
          <w:tcPr>
            <w:tcW w:w="1300" w:type="dxa"/>
            <w:tcBorders>
              <w:top w:val="nil"/>
              <w:left w:val="nil"/>
              <w:bottom w:val="nil"/>
              <w:right w:val="nil"/>
            </w:tcBorders>
            <w:shd w:val="clear" w:color="auto" w:fill="auto"/>
            <w:vAlign w:val="center"/>
            <w:hideMark/>
          </w:tcPr>
          <w:p w14:paraId="468997C7"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True Negatives</w:t>
            </w:r>
          </w:p>
        </w:tc>
        <w:tc>
          <w:tcPr>
            <w:tcW w:w="2003" w:type="dxa"/>
            <w:tcBorders>
              <w:top w:val="nil"/>
              <w:left w:val="nil"/>
              <w:bottom w:val="nil"/>
              <w:right w:val="single" w:sz="4" w:space="0" w:color="auto"/>
            </w:tcBorders>
            <w:shd w:val="clear" w:color="auto" w:fill="auto"/>
            <w:vAlign w:val="center"/>
            <w:hideMark/>
          </w:tcPr>
          <w:p w14:paraId="279085DC"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Specificity</w:t>
            </w:r>
            <w:r w:rsidRPr="00182D5C">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6E6C1738"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True Negatives</w:t>
            </w:r>
          </w:p>
        </w:tc>
        <w:tc>
          <w:tcPr>
            <w:tcW w:w="2166" w:type="dxa"/>
            <w:tcBorders>
              <w:top w:val="nil"/>
              <w:left w:val="nil"/>
              <w:bottom w:val="nil"/>
              <w:right w:val="single" w:sz="8" w:space="0" w:color="auto"/>
            </w:tcBorders>
            <w:shd w:val="clear" w:color="auto" w:fill="auto"/>
            <w:vAlign w:val="center"/>
            <w:hideMark/>
          </w:tcPr>
          <w:p w14:paraId="43C3B86E"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Specificity</w:t>
            </w:r>
            <w:r w:rsidRPr="00182D5C">
              <w:rPr>
                <w:rFonts w:ascii="Cambria" w:eastAsia="Times New Roman" w:hAnsi="Cambria" w:cs="Times New Roman"/>
                <w:color w:val="000000"/>
                <w:sz w:val="22"/>
                <w:szCs w:val="22"/>
              </w:rPr>
              <w:br/>
              <w:t>(95% CI)</w:t>
            </w:r>
          </w:p>
        </w:tc>
      </w:tr>
      <w:tr w:rsidR="00182D5C" w:rsidRPr="00182D5C" w14:paraId="36F714AE" w14:textId="77777777" w:rsidTr="00E22683">
        <w:trPr>
          <w:trHeight w:val="440"/>
        </w:trPr>
        <w:tc>
          <w:tcPr>
            <w:tcW w:w="2715" w:type="dxa"/>
            <w:tcBorders>
              <w:top w:val="nil"/>
              <w:left w:val="single" w:sz="8" w:space="0" w:color="auto"/>
              <w:bottom w:val="single" w:sz="8" w:space="0" w:color="auto"/>
              <w:right w:val="nil"/>
            </w:tcBorders>
            <w:shd w:val="clear" w:color="000000" w:fill="F2F2F2"/>
            <w:noWrap/>
            <w:vAlign w:val="center"/>
            <w:hideMark/>
          </w:tcPr>
          <w:p w14:paraId="4843022F"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Normal</w:t>
            </w:r>
          </w:p>
        </w:tc>
        <w:tc>
          <w:tcPr>
            <w:tcW w:w="950" w:type="dxa"/>
            <w:tcBorders>
              <w:top w:val="nil"/>
              <w:left w:val="nil"/>
              <w:bottom w:val="single" w:sz="8" w:space="0" w:color="auto"/>
              <w:right w:val="single" w:sz="4" w:space="0" w:color="auto"/>
            </w:tcBorders>
            <w:shd w:val="clear" w:color="000000" w:fill="F2F2F2"/>
            <w:noWrap/>
            <w:vAlign w:val="center"/>
            <w:hideMark/>
          </w:tcPr>
          <w:p w14:paraId="4DB79612"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n=172</w:t>
            </w:r>
          </w:p>
        </w:tc>
        <w:tc>
          <w:tcPr>
            <w:tcW w:w="1300" w:type="dxa"/>
            <w:tcBorders>
              <w:top w:val="nil"/>
              <w:left w:val="nil"/>
              <w:bottom w:val="single" w:sz="8" w:space="0" w:color="auto"/>
              <w:right w:val="nil"/>
            </w:tcBorders>
            <w:shd w:val="clear" w:color="000000" w:fill="F2F2F2"/>
            <w:noWrap/>
            <w:vAlign w:val="center"/>
            <w:hideMark/>
          </w:tcPr>
          <w:p w14:paraId="170517F1"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144</w:t>
            </w:r>
          </w:p>
        </w:tc>
        <w:tc>
          <w:tcPr>
            <w:tcW w:w="2003" w:type="dxa"/>
            <w:tcBorders>
              <w:top w:val="nil"/>
              <w:left w:val="nil"/>
              <w:bottom w:val="single" w:sz="8" w:space="0" w:color="auto"/>
              <w:right w:val="single" w:sz="4" w:space="0" w:color="auto"/>
            </w:tcBorders>
            <w:shd w:val="clear" w:color="000000" w:fill="F2F2F2"/>
            <w:noWrap/>
            <w:vAlign w:val="center"/>
            <w:hideMark/>
          </w:tcPr>
          <w:p w14:paraId="39744581"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83.7</w:t>
            </w:r>
            <w:r w:rsidRPr="00182D5C">
              <w:rPr>
                <w:rFonts w:ascii="Cambria" w:eastAsia="Times New Roman" w:hAnsi="Cambria" w:cs="Times New Roman"/>
                <w:color w:val="000000"/>
                <w:sz w:val="22"/>
                <w:szCs w:val="22"/>
              </w:rPr>
              <w:t xml:space="preserve"> (77.9-89)</w:t>
            </w:r>
          </w:p>
        </w:tc>
        <w:tc>
          <w:tcPr>
            <w:tcW w:w="1213" w:type="dxa"/>
            <w:tcBorders>
              <w:top w:val="nil"/>
              <w:left w:val="nil"/>
              <w:bottom w:val="single" w:sz="8" w:space="0" w:color="auto"/>
              <w:right w:val="nil"/>
            </w:tcBorders>
            <w:shd w:val="clear" w:color="000000" w:fill="F2F2F2"/>
            <w:noWrap/>
            <w:vAlign w:val="center"/>
            <w:hideMark/>
          </w:tcPr>
          <w:p w14:paraId="3C9B2E3F"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color w:val="000000"/>
                <w:sz w:val="22"/>
                <w:szCs w:val="22"/>
              </w:rPr>
              <w:t>167</w:t>
            </w:r>
          </w:p>
        </w:tc>
        <w:tc>
          <w:tcPr>
            <w:tcW w:w="2166" w:type="dxa"/>
            <w:tcBorders>
              <w:top w:val="nil"/>
              <w:left w:val="nil"/>
              <w:bottom w:val="single" w:sz="8" w:space="0" w:color="auto"/>
              <w:right w:val="single" w:sz="8" w:space="0" w:color="auto"/>
            </w:tcBorders>
            <w:shd w:val="clear" w:color="000000" w:fill="F2F2F2"/>
            <w:noWrap/>
            <w:vAlign w:val="center"/>
            <w:hideMark/>
          </w:tcPr>
          <w:p w14:paraId="2849EC32" w14:textId="77777777" w:rsidR="00182D5C" w:rsidRPr="00182D5C" w:rsidRDefault="00182D5C" w:rsidP="00182D5C">
            <w:pPr>
              <w:spacing w:before="0" w:after="0" w:line="240" w:lineRule="auto"/>
              <w:jc w:val="center"/>
              <w:rPr>
                <w:rFonts w:ascii="Cambria" w:eastAsia="Times New Roman" w:hAnsi="Cambria" w:cs="Times New Roman"/>
                <w:color w:val="000000"/>
                <w:sz w:val="22"/>
                <w:szCs w:val="22"/>
              </w:rPr>
            </w:pPr>
            <w:r w:rsidRPr="00182D5C">
              <w:rPr>
                <w:rFonts w:ascii="Cambria" w:eastAsia="Times New Roman" w:hAnsi="Cambria" w:cs="Times New Roman"/>
                <w:b/>
                <w:bCs/>
                <w:color w:val="000000"/>
                <w:sz w:val="22"/>
                <w:szCs w:val="22"/>
              </w:rPr>
              <w:t>97.1</w:t>
            </w:r>
            <w:r w:rsidRPr="00182D5C">
              <w:rPr>
                <w:rFonts w:ascii="Cambria" w:eastAsia="Times New Roman" w:hAnsi="Cambria" w:cs="Times New Roman"/>
                <w:color w:val="000000"/>
                <w:sz w:val="22"/>
                <w:szCs w:val="22"/>
              </w:rPr>
              <w:t xml:space="preserve"> (94.2-99.4)</w:t>
            </w:r>
          </w:p>
        </w:tc>
      </w:tr>
    </w:tbl>
    <w:p w14:paraId="3DCB26CF" w14:textId="17BCFC53" w:rsidR="00DA70A7" w:rsidRDefault="00182D5C">
      <w:r>
        <w:br/>
      </w:r>
      <w:r>
        <w:rPr>
          <w:b/>
        </w:rPr>
        <w:t>Table 1.</w:t>
      </w:r>
      <w:r>
        <w:t xml:space="preserve"> Table of sensitivities and specificities for the combined model and FIT. The 95% confidence intervals were computed with 2000 stratified bootstrap replicates.</w:t>
      </w:r>
    </w:p>
    <w:p w14:paraId="359CB1D6" w14:textId="77777777" w:rsidR="00DA70A7" w:rsidRDefault="00DA70A7">
      <w:pPr>
        <w:spacing w:before="0" w:after="200" w:line="240" w:lineRule="auto"/>
        <w:jc w:val="left"/>
      </w:pPr>
      <w:r>
        <w:br w:type="page"/>
      </w:r>
    </w:p>
    <w:p w14:paraId="575F2207" w14:textId="77777777" w:rsidR="00977E18" w:rsidRDefault="00977E18"/>
    <w:p w14:paraId="77A944BA" w14:textId="60B61E13" w:rsidR="00DA70A7" w:rsidRDefault="004207F4">
      <w:r>
        <w:rPr>
          <w:b/>
          <w:noProof/>
        </w:rPr>
        <w:drawing>
          <wp:inline distT="0" distB="0" distL="0" distR="0" wp14:anchorId="63F40A50" wp14:editId="0A7D6959">
            <wp:extent cx="6485255" cy="3065145"/>
            <wp:effectExtent l="0" t="0" r="0" b="8255"/>
            <wp:docPr id="9" name="Picture 9" descr="Macintosh HD:Users:niel:Desktop:github:Baxter_glne007Modeling_2015:results:figures:Schlos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github:Baxter_glne007Modeling_2015:results:figures:Schloss_fi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5255" cy="3065145"/>
                    </a:xfrm>
                    <a:prstGeom prst="rect">
                      <a:avLst/>
                    </a:prstGeom>
                    <a:noFill/>
                    <a:ln>
                      <a:noFill/>
                    </a:ln>
                  </pic:spPr>
                </pic:pic>
              </a:graphicData>
            </a:graphic>
          </wp:inline>
        </w:drawing>
      </w:r>
      <w:r w:rsidR="00182D5C">
        <w:br/>
      </w:r>
      <w:r w:rsidR="00182D5C">
        <w:rPr>
          <w:b/>
        </w:rPr>
        <w:t>Figure 1.</w:t>
      </w:r>
      <w:r w:rsidR="00182D5C">
        <w:t xml:space="preserve"> (a)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14:paraId="33BE79C6" w14:textId="77777777" w:rsidR="00DA70A7" w:rsidRDefault="00DA70A7">
      <w:pPr>
        <w:spacing w:before="0" w:after="200" w:line="240" w:lineRule="auto"/>
        <w:jc w:val="left"/>
      </w:pPr>
      <w:r>
        <w:br w:type="page"/>
      </w:r>
    </w:p>
    <w:p w14:paraId="2D52717B" w14:textId="77777777" w:rsidR="00977E18" w:rsidRDefault="00977E18"/>
    <w:p w14:paraId="4ED83946" w14:textId="3934E3D8" w:rsidR="00977E18" w:rsidRDefault="007F7FFE">
      <w:r>
        <w:rPr>
          <w:noProof/>
        </w:rPr>
        <w:drawing>
          <wp:inline distT="0" distB="0" distL="0" distR="0" wp14:anchorId="3D15A651" wp14:editId="029A4AE5">
            <wp:extent cx="6489700" cy="43264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0"/>
                    <a:stretch>
                      <a:fillRect/>
                    </a:stretch>
                  </pic:blipFill>
                  <pic:spPr bwMode="auto">
                    <a:xfrm>
                      <a:off x="0" y="0"/>
                      <a:ext cx="6489700" cy="4326467"/>
                    </a:xfrm>
                    <a:prstGeom prst="rect">
                      <a:avLst/>
                    </a:prstGeom>
                    <a:noFill/>
                    <a:ln w="9525">
                      <a:noFill/>
                      <a:headEnd/>
                      <a:tailEnd/>
                    </a:ln>
                  </pic:spPr>
                </pic:pic>
              </a:graphicData>
            </a:graphic>
          </wp:inline>
        </w:drawing>
      </w:r>
      <w:r w:rsidR="00182D5C">
        <w:br/>
      </w:r>
      <w:r w:rsidR="00182D5C">
        <w:rPr>
          <w:b/>
        </w:rPr>
        <w:t>Figure 2.</w:t>
      </w:r>
      <w:r w:rsidR="00182D5C">
        <w:t xml:space="preserve"> Barplot of sensitivities for the combined model and FIT for each stage of tumor development. P-values based on McNemar's chi-squared test.</w:t>
      </w:r>
    </w:p>
    <w:p w14:paraId="581A181B" w14:textId="121ABFE3" w:rsidR="00DA70A7" w:rsidRDefault="00182D5C">
      <w:r>
        <w:rPr>
          <w:noProof/>
        </w:rPr>
        <w:lastRenderedPageBreak/>
        <w:drawing>
          <wp:inline distT="0" distB="0" distL="0" distR="0" wp14:anchorId="654E813D" wp14:editId="0FC0E139">
            <wp:extent cx="6489700" cy="5562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1"/>
                    <a:stretch>
                      <a:fillRect/>
                    </a:stretch>
                  </pic:blipFill>
                  <pic:spPr bwMode="auto">
                    <a:xfrm>
                      <a:off x="0" y="0"/>
                      <a:ext cx="6489700" cy="5562600"/>
                    </a:xfrm>
                    <a:prstGeom prst="rect">
                      <a:avLst/>
                    </a:prstGeom>
                    <a:noFill/>
                    <a:ln w="9525">
                      <a:noFill/>
                      <a:headEnd/>
                      <a:tailEnd/>
                    </a:ln>
                  </pic:spPr>
                </pic:pic>
              </a:graphicData>
            </a:graphic>
          </wp:inline>
        </w:drawing>
      </w:r>
      <w:r>
        <w:br/>
      </w:r>
      <w:r>
        <w:rPr>
          <w:b/>
        </w:rPr>
        <w:t>Figure 3.</w:t>
      </w:r>
      <w:r>
        <w:t xml:space="preserve"> Scatter plot of the results of the combined model and FIT for each sample. Dashed lines show the cutoff for each test.</w:t>
      </w:r>
      <w:r w:rsidR="00A9736C">
        <w:t xml:space="preserve"> </w:t>
      </w:r>
      <w:r w:rsidR="00A9736C" w:rsidRPr="00A9736C">
        <w:t>Points with a FIT result of 0 are jittered to improve visibility.</w:t>
      </w:r>
    </w:p>
    <w:p w14:paraId="7C1BB04D" w14:textId="77777777" w:rsidR="00DA70A7" w:rsidRDefault="00DA70A7">
      <w:pPr>
        <w:spacing w:before="0" w:after="200" w:line="240" w:lineRule="auto"/>
        <w:jc w:val="left"/>
      </w:pPr>
      <w:r>
        <w:br w:type="page"/>
      </w:r>
    </w:p>
    <w:p w14:paraId="4D477AC6" w14:textId="77777777" w:rsidR="00977E18" w:rsidRDefault="00977E18"/>
    <w:p w14:paraId="4A3DE10F" w14:textId="77777777" w:rsidR="00977E18" w:rsidRDefault="00182D5C">
      <w:pPr>
        <w:pStyle w:val="Heading3"/>
      </w:pPr>
      <w:bookmarkStart w:id="5" w:name="extended-data-figures"/>
      <w:bookmarkEnd w:id="5"/>
      <w:r>
        <w:t>Extended Data Figures</w:t>
      </w:r>
    </w:p>
    <w:tbl>
      <w:tblPr>
        <w:tblW w:w="10183" w:type="dxa"/>
        <w:tblInd w:w="93" w:type="dxa"/>
        <w:tblLook w:val="04A0" w:firstRow="1" w:lastRow="0" w:firstColumn="1" w:lastColumn="0" w:noHBand="0" w:noVBand="1"/>
      </w:tblPr>
      <w:tblGrid>
        <w:gridCol w:w="1695"/>
        <w:gridCol w:w="1308"/>
        <w:gridCol w:w="935"/>
        <w:gridCol w:w="1416"/>
        <w:gridCol w:w="1279"/>
        <w:gridCol w:w="935"/>
        <w:gridCol w:w="1333"/>
        <w:gridCol w:w="1282"/>
      </w:tblGrid>
      <w:tr w:rsidR="008C7296" w:rsidRPr="008C7296" w14:paraId="417FCAC8" w14:textId="77777777" w:rsidTr="008C7296">
        <w:trPr>
          <w:trHeight w:val="314"/>
        </w:trPr>
        <w:tc>
          <w:tcPr>
            <w:tcW w:w="1695" w:type="dxa"/>
            <w:vMerge w:val="restart"/>
            <w:tcBorders>
              <w:top w:val="single" w:sz="8" w:space="0" w:color="auto"/>
              <w:left w:val="single" w:sz="8" w:space="0" w:color="auto"/>
              <w:bottom w:val="nil"/>
              <w:right w:val="nil"/>
            </w:tcBorders>
            <w:shd w:val="clear" w:color="auto" w:fill="auto"/>
            <w:noWrap/>
            <w:vAlign w:val="center"/>
            <w:hideMark/>
          </w:tcPr>
          <w:p w14:paraId="42EFE234" w14:textId="77777777" w:rsidR="008C7296" w:rsidRPr="008C7296" w:rsidRDefault="008C7296" w:rsidP="008C7296">
            <w:pPr>
              <w:spacing w:before="0" w:after="0" w:line="240" w:lineRule="auto"/>
              <w:jc w:val="center"/>
              <w:rPr>
                <w:rFonts w:ascii="Calibri" w:eastAsia="Times New Roman" w:hAnsi="Calibri" w:cs="Times New Roman"/>
                <w:b/>
                <w:bCs/>
                <w:color w:val="000000"/>
              </w:rPr>
            </w:pPr>
            <w:r w:rsidRPr="008C7296">
              <w:rPr>
                <w:rFonts w:ascii="Calibri" w:eastAsia="Times New Roman" w:hAnsi="Calibri" w:cs="Times New Roman"/>
                <w:b/>
                <w:bCs/>
                <w:color w:val="000000"/>
              </w:rPr>
              <w:t>Diagnosis</w:t>
            </w:r>
          </w:p>
        </w:tc>
        <w:tc>
          <w:tcPr>
            <w:tcW w:w="1308" w:type="dxa"/>
            <w:vMerge w:val="restart"/>
            <w:tcBorders>
              <w:top w:val="single" w:sz="8" w:space="0" w:color="auto"/>
              <w:left w:val="single" w:sz="4" w:space="0" w:color="auto"/>
              <w:bottom w:val="nil"/>
              <w:right w:val="nil"/>
            </w:tcBorders>
            <w:shd w:val="clear" w:color="auto" w:fill="auto"/>
            <w:vAlign w:val="center"/>
            <w:hideMark/>
          </w:tcPr>
          <w:p w14:paraId="07C5B1FF" w14:textId="77777777" w:rsidR="008C7296" w:rsidRPr="008C7296" w:rsidRDefault="008C7296" w:rsidP="008C7296">
            <w:pPr>
              <w:spacing w:before="0"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Pre</w:t>
            </w:r>
            <w:r w:rsidRPr="008C7296">
              <w:rPr>
                <w:rFonts w:ascii="Calibri" w:eastAsia="Times New Roman" w:hAnsi="Calibri" w:cs="Times New Roman"/>
                <w:b/>
                <w:bCs/>
                <w:color w:val="000000"/>
              </w:rPr>
              <w:t>test Probability</w:t>
            </w:r>
          </w:p>
        </w:tc>
        <w:tc>
          <w:tcPr>
            <w:tcW w:w="3630" w:type="dxa"/>
            <w:gridSpan w:val="3"/>
            <w:tcBorders>
              <w:top w:val="single" w:sz="8" w:space="0" w:color="auto"/>
              <w:left w:val="single" w:sz="4" w:space="0" w:color="auto"/>
              <w:bottom w:val="nil"/>
              <w:right w:val="nil"/>
            </w:tcBorders>
            <w:shd w:val="clear" w:color="auto" w:fill="auto"/>
            <w:noWrap/>
            <w:vAlign w:val="bottom"/>
            <w:hideMark/>
          </w:tcPr>
          <w:p w14:paraId="464A3397" w14:textId="77777777" w:rsidR="008C7296" w:rsidRPr="008C7296" w:rsidRDefault="008C7296" w:rsidP="008C7296">
            <w:pPr>
              <w:spacing w:before="0"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Negative Post</w:t>
            </w:r>
            <w:r w:rsidRPr="008C7296">
              <w:rPr>
                <w:rFonts w:ascii="Calibri" w:eastAsia="Times New Roman" w:hAnsi="Calibri" w:cs="Times New Roman"/>
                <w:b/>
                <w:bCs/>
                <w:color w:val="000000"/>
              </w:rPr>
              <w:t>test Probability</w:t>
            </w:r>
          </w:p>
        </w:tc>
        <w:tc>
          <w:tcPr>
            <w:tcW w:w="3550" w:type="dxa"/>
            <w:gridSpan w:val="3"/>
            <w:tcBorders>
              <w:top w:val="single" w:sz="8" w:space="0" w:color="auto"/>
              <w:left w:val="single" w:sz="4" w:space="0" w:color="auto"/>
              <w:bottom w:val="nil"/>
              <w:right w:val="single" w:sz="8" w:space="0" w:color="000000"/>
            </w:tcBorders>
            <w:shd w:val="clear" w:color="auto" w:fill="auto"/>
            <w:noWrap/>
            <w:vAlign w:val="bottom"/>
            <w:hideMark/>
          </w:tcPr>
          <w:p w14:paraId="27AA0B4A" w14:textId="77777777" w:rsidR="008C7296" w:rsidRPr="008C7296" w:rsidRDefault="008C7296" w:rsidP="008C7296">
            <w:pPr>
              <w:spacing w:before="0"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Positive Post</w:t>
            </w:r>
            <w:r w:rsidRPr="008C7296">
              <w:rPr>
                <w:rFonts w:ascii="Calibri" w:eastAsia="Times New Roman" w:hAnsi="Calibri" w:cs="Times New Roman"/>
                <w:b/>
                <w:bCs/>
                <w:color w:val="000000"/>
              </w:rPr>
              <w:t>test Pro</w:t>
            </w:r>
            <w:r>
              <w:rPr>
                <w:rFonts w:ascii="Calibri" w:eastAsia="Times New Roman" w:hAnsi="Calibri" w:cs="Times New Roman"/>
                <w:b/>
                <w:bCs/>
                <w:color w:val="000000"/>
              </w:rPr>
              <w:t>ba</w:t>
            </w:r>
            <w:r w:rsidRPr="008C7296">
              <w:rPr>
                <w:rFonts w:ascii="Calibri" w:eastAsia="Times New Roman" w:hAnsi="Calibri" w:cs="Times New Roman"/>
                <w:b/>
                <w:bCs/>
                <w:color w:val="000000"/>
              </w:rPr>
              <w:t>bility</w:t>
            </w:r>
          </w:p>
        </w:tc>
      </w:tr>
      <w:tr w:rsidR="008C7296" w:rsidRPr="008C7296" w14:paraId="592DBC55" w14:textId="77777777" w:rsidTr="008C7296">
        <w:trPr>
          <w:trHeight w:val="628"/>
        </w:trPr>
        <w:tc>
          <w:tcPr>
            <w:tcW w:w="1695" w:type="dxa"/>
            <w:vMerge/>
            <w:tcBorders>
              <w:top w:val="single" w:sz="8" w:space="0" w:color="auto"/>
              <w:left w:val="single" w:sz="8" w:space="0" w:color="auto"/>
              <w:bottom w:val="nil"/>
              <w:right w:val="nil"/>
            </w:tcBorders>
            <w:vAlign w:val="center"/>
            <w:hideMark/>
          </w:tcPr>
          <w:p w14:paraId="5E933DA3" w14:textId="77777777" w:rsidR="008C7296" w:rsidRPr="008C7296" w:rsidRDefault="008C7296" w:rsidP="008C7296">
            <w:pPr>
              <w:spacing w:before="0" w:after="0" w:line="240" w:lineRule="auto"/>
              <w:jc w:val="left"/>
              <w:rPr>
                <w:rFonts w:ascii="Calibri" w:eastAsia="Times New Roman" w:hAnsi="Calibri" w:cs="Times New Roman"/>
                <w:b/>
                <w:bCs/>
                <w:color w:val="000000"/>
              </w:rPr>
            </w:pPr>
          </w:p>
        </w:tc>
        <w:tc>
          <w:tcPr>
            <w:tcW w:w="1308" w:type="dxa"/>
            <w:vMerge/>
            <w:tcBorders>
              <w:top w:val="single" w:sz="8" w:space="0" w:color="auto"/>
              <w:left w:val="single" w:sz="4" w:space="0" w:color="auto"/>
              <w:bottom w:val="nil"/>
              <w:right w:val="nil"/>
            </w:tcBorders>
            <w:vAlign w:val="center"/>
            <w:hideMark/>
          </w:tcPr>
          <w:p w14:paraId="51B06E08" w14:textId="77777777" w:rsidR="008C7296" w:rsidRPr="008C7296" w:rsidRDefault="008C7296" w:rsidP="008C7296">
            <w:pPr>
              <w:spacing w:before="0" w:after="0" w:line="240" w:lineRule="auto"/>
              <w:jc w:val="left"/>
              <w:rPr>
                <w:rFonts w:ascii="Calibri" w:eastAsia="Times New Roman" w:hAnsi="Calibri" w:cs="Times New Roman"/>
                <w:b/>
                <w:bCs/>
                <w:color w:val="000000"/>
              </w:rPr>
            </w:pPr>
          </w:p>
        </w:tc>
        <w:tc>
          <w:tcPr>
            <w:tcW w:w="935" w:type="dxa"/>
            <w:tcBorders>
              <w:top w:val="nil"/>
              <w:left w:val="single" w:sz="4" w:space="0" w:color="auto"/>
              <w:bottom w:val="nil"/>
              <w:right w:val="nil"/>
            </w:tcBorders>
            <w:shd w:val="clear" w:color="auto" w:fill="auto"/>
            <w:noWrap/>
            <w:vAlign w:val="center"/>
            <w:hideMark/>
          </w:tcPr>
          <w:p w14:paraId="7879FE3F"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FIT</w:t>
            </w:r>
          </w:p>
        </w:tc>
        <w:tc>
          <w:tcPr>
            <w:tcW w:w="1416" w:type="dxa"/>
            <w:tcBorders>
              <w:top w:val="nil"/>
              <w:left w:val="nil"/>
              <w:bottom w:val="nil"/>
              <w:right w:val="nil"/>
            </w:tcBorders>
            <w:shd w:val="clear" w:color="auto" w:fill="auto"/>
            <w:vAlign w:val="center"/>
            <w:hideMark/>
          </w:tcPr>
          <w:p w14:paraId="7B1BB2D1"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Combined Model</w:t>
            </w:r>
          </w:p>
        </w:tc>
        <w:tc>
          <w:tcPr>
            <w:tcW w:w="1279" w:type="dxa"/>
            <w:tcBorders>
              <w:top w:val="nil"/>
              <w:left w:val="nil"/>
              <w:bottom w:val="nil"/>
              <w:right w:val="nil"/>
            </w:tcBorders>
            <w:shd w:val="clear" w:color="auto" w:fill="auto"/>
            <w:noWrap/>
            <w:vAlign w:val="center"/>
            <w:hideMark/>
          </w:tcPr>
          <w:p w14:paraId="5DB9AB32" w14:textId="64FB0ECE" w:rsidR="008C7296" w:rsidRDefault="00A9736C" w:rsidP="008C7296">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Both t</w:t>
            </w:r>
            <w:r w:rsidR="008C7296" w:rsidRPr="008C7296">
              <w:rPr>
                <w:rFonts w:ascii="Calibri" w:eastAsia="Times New Roman" w:hAnsi="Calibri" w:cs="Times New Roman"/>
                <w:color w:val="000000"/>
              </w:rPr>
              <w:t>ests</w:t>
            </w:r>
          </w:p>
          <w:p w14:paraId="70A7E68C" w14:textId="296B994A" w:rsidR="00A9736C" w:rsidRPr="008C7296" w:rsidRDefault="00A9736C" w:rsidP="008C7296">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in series</w:t>
            </w:r>
          </w:p>
        </w:tc>
        <w:tc>
          <w:tcPr>
            <w:tcW w:w="935" w:type="dxa"/>
            <w:tcBorders>
              <w:top w:val="nil"/>
              <w:left w:val="single" w:sz="4" w:space="0" w:color="auto"/>
              <w:bottom w:val="nil"/>
              <w:right w:val="nil"/>
            </w:tcBorders>
            <w:shd w:val="clear" w:color="auto" w:fill="auto"/>
            <w:noWrap/>
            <w:vAlign w:val="center"/>
            <w:hideMark/>
          </w:tcPr>
          <w:p w14:paraId="744474FA"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FIT</w:t>
            </w:r>
          </w:p>
        </w:tc>
        <w:tc>
          <w:tcPr>
            <w:tcW w:w="1333" w:type="dxa"/>
            <w:tcBorders>
              <w:top w:val="nil"/>
              <w:left w:val="nil"/>
              <w:bottom w:val="nil"/>
              <w:right w:val="nil"/>
            </w:tcBorders>
            <w:shd w:val="clear" w:color="auto" w:fill="auto"/>
            <w:vAlign w:val="bottom"/>
            <w:hideMark/>
          </w:tcPr>
          <w:p w14:paraId="01489F39"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Combined Model</w:t>
            </w:r>
          </w:p>
        </w:tc>
        <w:tc>
          <w:tcPr>
            <w:tcW w:w="1282" w:type="dxa"/>
            <w:tcBorders>
              <w:top w:val="nil"/>
              <w:left w:val="nil"/>
              <w:bottom w:val="nil"/>
              <w:right w:val="single" w:sz="8" w:space="0" w:color="auto"/>
            </w:tcBorders>
            <w:shd w:val="clear" w:color="auto" w:fill="auto"/>
            <w:noWrap/>
            <w:vAlign w:val="center"/>
            <w:hideMark/>
          </w:tcPr>
          <w:p w14:paraId="1F9D73E8" w14:textId="77777777" w:rsidR="008C7296" w:rsidRDefault="00A9736C" w:rsidP="008C7296">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Both t</w:t>
            </w:r>
            <w:r w:rsidR="008C7296" w:rsidRPr="008C7296">
              <w:rPr>
                <w:rFonts w:ascii="Calibri" w:eastAsia="Times New Roman" w:hAnsi="Calibri" w:cs="Times New Roman"/>
                <w:color w:val="000000"/>
              </w:rPr>
              <w:t>ests</w:t>
            </w:r>
          </w:p>
          <w:p w14:paraId="5A10FFAF" w14:textId="295E5544" w:rsidR="00A9736C" w:rsidRPr="008C7296" w:rsidRDefault="00A9736C" w:rsidP="008C7296">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in series</w:t>
            </w:r>
          </w:p>
        </w:tc>
      </w:tr>
      <w:tr w:rsidR="008C7296" w:rsidRPr="008C7296" w14:paraId="3E26DE10" w14:textId="77777777" w:rsidTr="008C7296">
        <w:trPr>
          <w:trHeight w:val="607"/>
        </w:trPr>
        <w:tc>
          <w:tcPr>
            <w:tcW w:w="1695" w:type="dxa"/>
            <w:tcBorders>
              <w:top w:val="nil"/>
              <w:left w:val="single" w:sz="8" w:space="0" w:color="auto"/>
              <w:bottom w:val="nil"/>
              <w:right w:val="nil"/>
            </w:tcBorders>
            <w:shd w:val="clear" w:color="000000" w:fill="F2F2F2"/>
            <w:vAlign w:val="center"/>
            <w:hideMark/>
          </w:tcPr>
          <w:p w14:paraId="4A9EF36D"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Cancer</w:t>
            </w:r>
          </w:p>
        </w:tc>
        <w:tc>
          <w:tcPr>
            <w:tcW w:w="1308" w:type="dxa"/>
            <w:tcBorders>
              <w:top w:val="nil"/>
              <w:left w:val="single" w:sz="4" w:space="0" w:color="auto"/>
              <w:bottom w:val="nil"/>
              <w:right w:val="nil"/>
            </w:tcBorders>
            <w:shd w:val="clear" w:color="000000" w:fill="F2F2F2"/>
            <w:noWrap/>
            <w:vAlign w:val="center"/>
            <w:hideMark/>
          </w:tcPr>
          <w:p w14:paraId="4EED81AD"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0.3%</w:t>
            </w:r>
          </w:p>
        </w:tc>
        <w:tc>
          <w:tcPr>
            <w:tcW w:w="935" w:type="dxa"/>
            <w:tcBorders>
              <w:top w:val="nil"/>
              <w:left w:val="single" w:sz="4" w:space="0" w:color="auto"/>
              <w:bottom w:val="nil"/>
              <w:right w:val="nil"/>
            </w:tcBorders>
            <w:shd w:val="clear" w:color="000000" w:fill="F2F2F2"/>
            <w:noWrap/>
            <w:vAlign w:val="center"/>
            <w:hideMark/>
          </w:tcPr>
          <w:p w14:paraId="0894A4F7"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0.08%</w:t>
            </w:r>
          </w:p>
        </w:tc>
        <w:tc>
          <w:tcPr>
            <w:tcW w:w="1416" w:type="dxa"/>
            <w:tcBorders>
              <w:top w:val="nil"/>
              <w:left w:val="nil"/>
              <w:bottom w:val="nil"/>
              <w:right w:val="nil"/>
            </w:tcBorders>
            <w:shd w:val="clear" w:color="000000" w:fill="F2F2F2"/>
            <w:noWrap/>
            <w:vAlign w:val="center"/>
            <w:hideMark/>
          </w:tcPr>
          <w:p w14:paraId="49894669"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0.02%</w:t>
            </w:r>
          </w:p>
        </w:tc>
        <w:tc>
          <w:tcPr>
            <w:tcW w:w="1279" w:type="dxa"/>
            <w:tcBorders>
              <w:top w:val="nil"/>
              <w:left w:val="nil"/>
              <w:bottom w:val="nil"/>
              <w:right w:val="nil"/>
            </w:tcBorders>
            <w:shd w:val="clear" w:color="000000" w:fill="F2F2F2"/>
            <w:noWrap/>
            <w:vAlign w:val="center"/>
            <w:hideMark/>
          </w:tcPr>
          <w:p w14:paraId="325F0A34"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0.005%</w:t>
            </w:r>
          </w:p>
        </w:tc>
        <w:tc>
          <w:tcPr>
            <w:tcW w:w="935" w:type="dxa"/>
            <w:tcBorders>
              <w:top w:val="nil"/>
              <w:left w:val="single" w:sz="4" w:space="0" w:color="auto"/>
              <w:bottom w:val="nil"/>
              <w:right w:val="nil"/>
            </w:tcBorders>
            <w:shd w:val="clear" w:color="000000" w:fill="F2F2F2"/>
            <w:noWrap/>
            <w:vAlign w:val="center"/>
            <w:hideMark/>
          </w:tcPr>
          <w:p w14:paraId="0317417D"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7.20%</w:t>
            </w:r>
          </w:p>
        </w:tc>
        <w:tc>
          <w:tcPr>
            <w:tcW w:w="1333" w:type="dxa"/>
            <w:tcBorders>
              <w:top w:val="nil"/>
              <w:left w:val="nil"/>
              <w:bottom w:val="nil"/>
              <w:right w:val="nil"/>
            </w:tcBorders>
            <w:shd w:val="clear" w:color="000000" w:fill="F2F2F2"/>
            <w:noWrap/>
            <w:vAlign w:val="center"/>
            <w:hideMark/>
          </w:tcPr>
          <w:p w14:paraId="2E380EA9"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1.73%</w:t>
            </w:r>
          </w:p>
        </w:tc>
        <w:tc>
          <w:tcPr>
            <w:tcW w:w="1282" w:type="dxa"/>
            <w:tcBorders>
              <w:top w:val="nil"/>
              <w:left w:val="nil"/>
              <w:bottom w:val="nil"/>
              <w:right w:val="single" w:sz="8" w:space="0" w:color="auto"/>
            </w:tcBorders>
            <w:shd w:val="clear" w:color="000000" w:fill="F2F2F2"/>
            <w:noWrap/>
            <w:vAlign w:val="center"/>
            <w:hideMark/>
          </w:tcPr>
          <w:p w14:paraId="3797305B"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31.18%</w:t>
            </w:r>
          </w:p>
        </w:tc>
      </w:tr>
      <w:tr w:rsidR="008C7296" w:rsidRPr="008C7296" w14:paraId="0080D9BF" w14:textId="77777777" w:rsidTr="008C7296">
        <w:trPr>
          <w:trHeight w:val="628"/>
        </w:trPr>
        <w:tc>
          <w:tcPr>
            <w:tcW w:w="1695" w:type="dxa"/>
            <w:tcBorders>
              <w:top w:val="nil"/>
              <w:left w:val="single" w:sz="8" w:space="0" w:color="auto"/>
              <w:bottom w:val="nil"/>
              <w:right w:val="nil"/>
            </w:tcBorders>
            <w:shd w:val="clear" w:color="auto" w:fill="auto"/>
            <w:vAlign w:val="bottom"/>
            <w:hideMark/>
          </w:tcPr>
          <w:p w14:paraId="7421DED5"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Advanced Adenoma</w:t>
            </w:r>
          </w:p>
        </w:tc>
        <w:tc>
          <w:tcPr>
            <w:tcW w:w="1308" w:type="dxa"/>
            <w:tcBorders>
              <w:top w:val="nil"/>
              <w:left w:val="single" w:sz="4" w:space="0" w:color="auto"/>
              <w:bottom w:val="nil"/>
              <w:right w:val="nil"/>
            </w:tcBorders>
            <w:shd w:val="clear" w:color="auto" w:fill="auto"/>
            <w:noWrap/>
            <w:vAlign w:val="center"/>
            <w:hideMark/>
          </w:tcPr>
          <w:p w14:paraId="526E751C"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5.7%</w:t>
            </w:r>
          </w:p>
        </w:tc>
        <w:tc>
          <w:tcPr>
            <w:tcW w:w="935" w:type="dxa"/>
            <w:tcBorders>
              <w:top w:val="nil"/>
              <w:left w:val="single" w:sz="4" w:space="0" w:color="auto"/>
              <w:bottom w:val="nil"/>
              <w:right w:val="nil"/>
            </w:tcBorders>
            <w:shd w:val="clear" w:color="auto" w:fill="auto"/>
            <w:noWrap/>
            <w:vAlign w:val="center"/>
            <w:hideMark/>
          </w:tcPr>
          <w:p w14:paraId="728F8404"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4.79%</w:t>
            </w:r>
          </w:p>
        </w:tc>
        <w:tc>
          <w:tcPr>
            <w:tcW w:w="1416" w:type="dxa"/>
            <w:tcBorders>
              <w:top w:val="nil"/>
              <w:left w:val="nil"/>
              <w:bottom w:val="nil"/>
              <w:right w:val="nil"/>
            </w:tcBorders>
            <w:shd w:val="clear" w:color="auto" w:fill="auto"/>
            <w:noWrap/>
            <w:vAlign w:val="center"/>
            <w:hideMark/>
          </w:tcPr>
          <w:p w14:paraId="06C88D49"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2.89%</w:t>
            </w:r>
          </w:p>
        </w:tc>
        <w:tc>
          <w:tcPr>
            <w:tcW w:w="1279" w:type="dxa"/>
            <w:tcBorders>
              <w:top w:val="nil"/>
              <w:left w:val="nil"/>
              <w:bottom w:val="nil"/>
              <w:right w:val="nil"/>
            </w:tcBorders>
            <w:shd w:val="clear" w:color="auto" w:fill="auto"/>
            <w:noWrap/>
            <w:vAlign w:val="center"/>
            <w:hideMark/>
          </w:tcPr>
          <w:p w14:paraId="56E0D880"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2.42%</w:t>
            </w:r>
          </w:p>
        </w:tc>
        <w:tc>
          <w:tcPr>
            <w:tcW w:w="935" w:type="dxa"/>
            <w:tcBorders>
              <w:top w:val="nil"/>
              <w:left w:val="single" w:sz="4" w:space="0" w:color="auto"/>
              <w:bottom w:val="nil"/>
              <w:right w:val="nil"/>
            </w:tcBorders>
            <w:shd w:val="clear" w:color="auto" w:fill="auto"/>
            <w:noWrap/>
            <w:vAlign w:val="center"/>
            <w:hideMark/>
          </w:tcPr>
          <w:p w14:paraId="0ADE7C12"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28.60%</w:t>
            </w:r>
          </w:p>
        </w:tc>
        <w:tc>
          <w:tcPr>
            <w:tcW w:w="1333" w:type="dxa"/>
            <w:tcBorders>
              <w:top w:val="nil"/>
              <w:left w:val="nil"/>
              <w:bottom w:val="nil"/>
              <w:right w:val="nil"/>
            </w:tcBorders>
            <w:shd w:val="clear" w:color="auto" w:fill="auto"/>
            <w:noWrap/>
            <w:vAlign w:val="center"/>
            <w:hideMark/>
          </w:tcPr>
          <w:p w14:paraId="144A82A7"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17.90%</w:t>
            </w:r>
          </w:p>
        </w:tc>
        <w:tc>
          <w:tcPr>
            <w:tcW w:w="1282" w:type="dxa"/>
            <w:tcBorders>
              <w:top w:val="nil"/>
              <w:left w:val="nil"/>
              <w:bottom w:val="nil"/>
              <w:right w:val="single" w:sz="8" w:space="0" w:color="auto"/>
            </w:tcBorders>
            <w:shd w:val="clear" w:color="auto" w:fill="auto"/>
            <w:noWrap/>
            <w:vAlign w:val="center"/>
            <w:hideMark/>
          </w:tcPr>
          <w:p w14:paraId="0982F86B"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59.10%</w:t>
            </w:r>
          </w:p>
        </w:tc>
      </w:tr>
      <w:tr w:rsidR="008C7296" w:rsidRPr="008C7296" w14:paraId="43E635FF" w14:textId="77777777" w:rsidTr="008C7296">
        <w:trPr>
          <w:trHeight w:val="649"/>
        </w:trPr>
        <w:tc>
          <w:tcPr>
            <w:tcW w:w="1695" w:type="dxa"/>
            <w:tcBorders>
              <w:top w:val="nil"/>
              <w:left w:val="single" w:sz="8" w:space="0" w:color="auto"/>
              <w:bottom w:val="single" w:sz="8" w:space="0" w:color="auto"/>
              <w:right w:val="nil"/>
            </w:tcBorders>
            <w:shd w:val="clear" w:color="000000" w:fill="F2F2F2"/>
            <w:vAlign w:val="bottom"/>
            <w:hideMark/>
          </w:tcPr>
          <w:p w14:paraId="6A2E22B1"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Non-adv. Adenoma</w:t>
            </w:r>
          </w:p>
        </w:tc>
        <w:tc>
          <w:tcPr>
            <w:tcW w:w="1308" w:type="dxa"/>
            <w:tcBorders>
              <w:top w:val="nil"/>
              <w:left w:val="single" w:sz="4" w:space="0" w:color="auto"/>
              <w:bottom w:val="single" w:sz="8" w:space="0" w:color="auto"/>
              <w:right w:val="nil"/>
            </w:tcBorders>
            <w:shd w:val="clear" w:color="000000" w:fill="F2F2F2"/>
            <w:noWrap/>
            <w:vAlign w:val="center"/>
            <w:hideMark/>
          </w:tcPr>
          <w:p w14:paraId="06F5C3E3"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17.7%</w:t>
            </w:r>
          </w:p>
        </w:tc>
        <w:tc>
          <w:tcPr>
            <w:tcW w:w="935" w:type="dxa"/>
            <w:tcBorders>
              <w:top w:val="nil"/>
              <w:left w:val="single" w:sz="4" w:space="0" w:color="auto"/>
              <w:bottom w:val="single" w:sz="8" w:space="0" w:color="auto"/>
              <w:right w:val="nil"/>
            </w:tcBorders>
            <w:shd w:val="clear" w:color="000000" w:fill="F2F2F2"/>
            <w:noWrap/>
            <w:vAlign w:val="center"/>
            <w:hideMark/>
          </w:tcPr>
          <w:p w14:paraId="1D688367"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16.43%</w:t>
            </w:r>
          </w:p>
        </w:tc>
        <w:tc>
          <w:tcPr>
            <w:tcW w:w="1416" w:type="dxa"/>
            <w:tcBorders>
              <w:top w:val="nil"/>
              <w:left w:val="nil"/>
              <w:bottom w:val="single" w:sz="8" w:space="0" w:color="auto"/>
              <w:right w:val="nil"/>
            </w:tcBorders>
            <w:shd w:val="clear" w:color="000000" w:fill="F2F2F2"/>
            <w:noWrap/>
            <w:vAlign w:val="center"/>
            <w:hideMark/>
          </w:tcPr>
          <w:p w14:paraId="4D85D923"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10.35%</w:t>
            </w:r>
          </w:p>
        </w:tc>
        <w:tc>
          <w:tcPr>
            <w:tcW w:w="1279" w:type="dxa"/>
            <w:tcBorders>
              <w:top w:val="nil"/>
              <w:left w:val="nil"/>
              <w:bottom w:val="single" w:sz="8" w:space="0" w:color="auto"/>
              <w:right w:val="nil"/>
            </w:tcBorders>
            <w:shd w:val="clear" w:color="000000" w:fill="F2F2F2"/>
            <w:noWrap/>
            <w:vAlign w:val="center"/>
            <w:hideMark/>
          </w:tcPr>
          <w:p w14:paraId="22E801F0"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9.55%</w:t>
            </w:r>
          </w:p>
        </w:tc>
        <w:tc>
          <w:tcPr>
            <w:tcW w:w="935" w:type="dxa"/>
            <w:tcBorders>
              <w:top w:val="nil"/>
              <w:left w:val="single" w:sz="4" w:space="0" w:color="auto"/>
              <w:bottom w:val="single" w:sz="8" w:space="0" w:color="auto"/>
              <w:right w:val="nil"/>
            </w:tcBorders>
            <w:shd w:val="clear" w:color="000000" w:fill="F2F2F2"/>
            <w:noWrap/>
            <w:vAlign w:val="center"/>
            <w:hideMark/>
          </w:tcPr>
          <w:p w14:paraId="399F0F15"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45.39%</w:t>
            </w:r>
          </w:p>
        </w:tc>
        <w:tc>
          <w:tcPr>
            <w:tcW w:w="1333" w:type="dxa"/>
            <w:tcBorders>
              <w:top w:val="nil"/>
              <w:left w:val="nil"/>
              <w:bottom w:val="single" w:sz="8" w:space="0" w:color="auto"/>
              <w:right w:val="nil"/>
            </w:tcBorders>
            <w:shd w:val="clear" w:color="000000" w:fill="F2F2F2"/>
            <w:noWrap/>
            <w:vAlign w:val="center"/>
            <w:hideMark/>
          </w:tcPr>
          <w:p w14:paraId="261269A1"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42.11%</w:t>
            </w:r>
          </w:p>
        </w:tc>
        <w:tc>
          <w:tcPr>
            <w:tcW w:w="1282" w:type="dxa"/>
            <w:tcBorders>
              <w:top w:val="nil"/>
              <w:left w:val="nil"/>
              <w:bottom w:val="single" w:sz="8" w:space="0" w:color="auto"/>
              <w:right w:val="single" w:sz="8" w:space="0" w:color="auto"/>
            </w:tcBorders>
            <w:shd w:val="clear" w:color="000000" w:fill="F2F2F2"/>
            <w:noWrap/>
            <w:vAlign w:val="center"/>
            <w:hideMark/>
          </w:tcPr>
          <w:p w14:paraId="2B6B0687" w14:textId="77777777" w:rsidR="008C7296" w:rsidRPr="008C7296" w:rsidRDefault="008C7296" w:rsidP="008C7296">
            <w:pPr>
              <w:spacing w:before="0" w:after="0" w:line="240" w:lineRule="auto"/>
              <w:jc w:val="center"/>
              <w:rPr>
                <w:rFonts w:ascii="Calibri" w:eastAsia="Times New Roman" w:hAnsi="Calibri" w:cs="Times New Roman"/>
                <w:color w:val="000000"/>
              </w:rPr>
            </w:pPr>
            <w:r w:rsidRPr="008C7296">
              <w:rPr>
                <w:rFonts w:ascii="Calibri" w:eastAsia="Times New Roman" w:hAnsi="Calibri" w:cs="Times New Roman"/>
                <w:color w:val="000000"/>
              </w:rPr>
              <w:t>73.76%</w:t>
            </w:r>
          </w:p>
        </w:tc>
      </w:tr>
    </w:tbl>
    <w:p w14:paraId="71B24004" w14:textId="7AE6B442" w:rsidR="00977E18" w:rsidRDefault="00182D5C">
      <w:r>
        <w:br/>
      </w:r>
      <w:r>
        <w:rPr>
          <w:b/>
        </w:rPr>
        <w:t>Extended Data Table 1.</w:t>
      </w:r>
      <w:r>
        <w:t xml:space="preserve"> Positive and negative </w:t>
      </w:r>
      <w:r w:rsidR="00742812">
        <w:t>posttest probabilities</w:t>
      </w:r>
      <w:r>
        <w:t xml:space="preserve"> for the combined model and FIT based on published estimates of CRC prevalence.</w:t>
      </w:r>
    </w:p>
    <w:p w14:paraId="5E4EC520" w14:textId="77777777" w:rsidR="00977E18" w:rsidRDefault="00182D5C">
      <w:r>
        <w:rPr>
          <w:noProof/>
        </w:rPr>
        <w:lastRenderedPageBreak/>
        <w:drawing>
          <wp:inline distT="0" distB="0" distL="0" distR="0" wp14:anchorId="758CF5EF" wp14:editId="3BC3D4CD">
            <wp:extent cx="6032500" cy="6032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2"/>
                    <a:stretch>
                      <a:fillRect/>
                    </a:stretch>
                  </pic:blipFill>
                  <pic:spPr bwMode="auto">
                    <a:xfrm>
                      <a:off x="0" y="0"/>
                      <a:ext cx="6032500" cy="6032500"/>
                    </a:xfrm>
                    <a:prstGeom prst="rect">
                      <a:avLst/>
                    </a:prstGeom>
                    <a:noFill/>
                    <a:ln w="9525">
                      <a:noFill/>
                      <a:headEnd/>
                      <a:tailEnd/>
                    </a:ln>
                  </pic:spPr>
                </pic:pic>
              </a:graphicData>
            </a:graphic>
          </wp:inline>
        </w:drawing>
      </w:r>
      <w:r>
        <w:br/>
      </w:r>
      <w:r>
        <w:rPr>
          <w:b/>
        </w:rPr>
        <w:t>Extended Data Figure 1.</w:t>
      </w:r>
      <w:r>
        <w:t xml:space="preserve"> Change in out-of-bag AUC with number of features in the combined model. The optimal model contains 24 features and has an AUC of 0.829.</w:t>
      </w:r>
    </w:p>
    <w:p w14:paraId="0EED3737" w14:textId="77777777" w:rsidR="00977E18" w:rsidRDefault="00182D5C">
      <w:r>
        <w:rPr>
          <w:noProof/>
        </w:rPr>
        <w:lastRenderedPageBreak/>
        <w:drawing>
          <wp:inline distT="0" distB="0" distL="0" distR="0" wp14:anchorId="62C7836E" wp14:editId="1B09ED54">
            <wp:extent cx="5956300" cy="76581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3"/>
                    <a:stretch>
                      <a:fillRect/>
                    </a:stretch>
                  </pic:blipFill>
                  <pic:spPr bwMode="auto">
                    <a:xfrm>
                      <a:off x="0" y="0"/>
                      <a:ext cx="5956300" cy="76581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 combined model with black lines at the means.</w:t>
      </w:r>
    </w:p>
    <w:p w14:paraId="3D6C039C" w14:textId="74736C17" w:rsidR="00977E18" w:rsidRDefault="00742812">
      <w:r>
        <w:rPr>
          <w:b/>
          <w:noProof/>
        </w:rPr>
        <w:lastRenderedPageBreak/>
        <w:drawing>
          <wp:inline distT="0" distB="0" distL="0" distR="0" wp14:anchorId="4AB237BD" wp14:editId="50F4FE4F">
            <wp:extent cx="6477000" cy="6477000"/>
            <wp:effectExtent l="0" t="0" r="0" b="0"/>
            <wp:docPr id="1" name="Picture 1" descr="Macintosh HD:Users:niel:Desktop:github:Baxter_glne007Modeling_2015:results:figures:Schloss_ED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github:Baxter_glne007Modeling_2015:results:figures:Schloss_EDfi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6477000"/>
                    </a:xfrm>
                    <a:prstGeom prst="rect">
                      <a:avLst/>
                    </a:prstGeom>
                    <a:noFill/>
                    <a:ln>
                      <a:noFill/>
                    </a:ln>
                  </pic:spPr>
                </pic:pic>
              </a:graphicData>
            </a:graphic>
          </wp:inline>
        </w:drawing>
      </w:r>
      <w:bookmarkStart w:id="6" w:name="_GoBack"/>
      <w:bookmarkEnd w:id="6"/>
      <w:r w:rsidR="00182D5C">
        <w:br/>
      </w:r>
      <w:r w:rsidR="00182D5C">
        <w:rPr>
          <w:b/>
        </w:rPr>
        <w:t>Extended Data Figure 3.</w:t>
      </w:r>
      <w:r w:rsidR="00182D5C">
        <w:t xml:space="preserve"> Stripchart of combined model results for each sample based on FIT result.</w:t>
      </w:r>
    </w:p>
    <w:p w14:paraId="73D34E36" w14:textId="77777777" w:rsidR="00977E18" w:rsidRDefault="00182D5C">
      <w:r>
        <w:rPr>
          <w:noProof/>
        </w:rPr>
        <w:lastRenderedPageBreak/>
        <w:drawing>
          <wp:inline distT="0" distB="0" distL="0" distR="0" wp14:anchorId="7E6C3505" wp14:editId="183B00A6">
            <wp:extent cx="6489700" cy="432646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5"/>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(left) and stripchart (right) of combined model separated by sex.</w:t>
      </w:r>
    </w:p>
    <w:sectPr w:rsidR="00977E18" w:rsidSect="00182D5C">
      <w:footerReference w:type="even" r:id="rId16"/>
      <w:footerReference w:type="default" r:id="rId17"/>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63F2D7" w14:textId="77777777" w:rsidR="007F7FFE" w:rsidRDefault="007F7FFE">
      <w:pPr>
        <w:spacing w:before="0" w:after="0" w:line="240" w:lineRule="auto"/>
      </w:pPr>
      <w:r>
        <w:separator/>
      </w:r>
    </w:p>
  </w:endnote>
  <w:endnote w:type="continuationSeparator" w:id="0">
    <w:p w14:paraId="5A72ED82" w14:textId="77777777" w:rsidR="007F7FFE" w:rsidRDefault="007F7F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E9955" w14:textId="77777777" w:rsidR="007F7FFE" w:rsidRDefault="007F7FFE" w:rsidP="00182D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7D50D0" w14:textId="77777777" w:rsidR="007F7FFE" w:rsidRDefault="007F7FF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37F7" w14:textId="77777777" w:rsidR="007F7FFE" w:rsidRDefault="007F7FFE" w:rsidP="00182D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2812">
      <w:rPr>
        <w:rStyle w:val="PageNumber"/>
        <w:noProof/>
      </w:rPr>
      <w:t>22</w:t>
    </w:r>
    <w:r>
      <w:rPr>
        <w:rStyle w:val="PageNumber"/>
      </w:rPr>
      <w:fldChar w:fldCharType="end"/>
    </w:r>
  </w:p>
  <w:p w14:paraId="088AC9D0" w14:textId="77777777" w:rsidR="007F7FFE" w:rsidRDefault="007F7F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48F49" w14:textId="77777777" w:rsidR="007F7FFE" w:rsidRDefault="007F7FFE">
      <w:pPr>
        <w:spacing w:before="0" w:after="0" w:line="240" w:lineRule="auto"/>
      </w:pPr>
      <w:r>
        <w:separator/>
      </w:r>
    </w:p>
  </w:footnote>
  <w:footnote w:type="continuationSeparator" w:id="0">
    <w:p w14:paraId="474E6B77" w14:textId="77777777" w:rsidR="007F7FFE" w:rsidRDefault="007F7FFE">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62F08DF"/>
    <w:multiLevelType w:val="multilevel"/>
    <w:tmpl w:val="002038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82D5C"/>
    <w:rsid w:val="004207F4"/>
    <w:rsid w:val="004E29B3"/>
    <w:rsid w:val="00590D07"/>
    <w:rsid w:val="005F30B0"/>
    <w:rsid w:val="00742812"/>
    <w:rsid w:val="0075465B"/>
    <w:rsid w:val="00784D58"/>
    <w:rsid w:val="007F7FFE"/>
    <w:rsid w:val="008C7296"/>
    <w:rsid w:val="008D6863"/>
    <w:rsid w:val="00977E18"/>
    <w:rsid w:val="00A9736C"/>
    <w:rsid w:val="00B86B75"/>
    <w:rsid w:val="00BC48D5"/>
    <w:rsid w:val="00C36279"/>
    <w:rsid w:val="00DA70A7"/>
    <w:rsid w:val="00E22683"/>
    <w:rsid w:val="00E315A3"/>
    <w:rsid w:val="00E449F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4C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DA70A7"/>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A70A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DA70A7"/>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A70A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640149">
      <w:bodyDiv w:val="1"/>
      <w:marLeft w:val="0"/>
      <w:marRight w:val="0"/>
      <w:marTop w:val="0"/>
      <w:marBottom w:val="0"/>
      <w:divBdr>
        <w:top w:val="none" w:sz="0" w:space="0" w:color="auto"/>
        <w:left w:val="none" w:sz="0" w:space="0" w:color="auto"/>
        <w:bottom w:val="none" w:sz="0" w:space="0" w:color="auto"/>
        <w:right w:val="none" w:sz="0" w:space="0" w:color="auto"/>
      </w:divBdr>
      <w:divsChild>
        <w:div w:id="686714176">
          <w:marLeft w:val="0"/>
          <w:marRight w:val="0"/>
          <w:marTop w:val="0"/>
          <w:marBottom w:val="0"/>
          <w:divBdr>
            <w:top w:val="none" w:sz="0" w:space="0" w:color="auto"/>
            <w:left w:val="none" w:sz="0" w:space="0" w:color="auto"/>
            <w:bottom w:val="none" w:sz="0" w:space="0" w:color="auto"/>
            <w:right w:val="none" w:sz="0" w:space="0" w:color="auto"/>
          </w:divBdr>
        </w:div>
        <w:div w:id="1705398628">
          <w:marLeft w:val="0"/>
          <w:marRight w:val="0"/>
          <w:marTop w:val="0"/>
          <w:marBottom w:val="0"/>
          <w:divBdr>
            <w:top w:val="none" w:sz="0" w:space="0" w:color="auto"/>
            <w:left w:val="none" w:sz="0" w:space="0" w:color="auto"/>
            <w:bottom w:val="none" w:sz="0" w:space="0" w:color="auto"/>
            <w:right w:val="none" w:sz="0" w:space="0" w:color="auto"/>
          </w:divBdr>
        </w:div>
        <w:div w:id="62681285">
          <w:marLeft w:val="0"/>
          <w:marRight w:val="0"/>
          <w:marTop w:val="0"/>
          <w:marBottom w:val="0"/>
          <w:divBdr>
            <w:top w:val="none" w:sz="0" w:space="0" w:color="auto"/>
            <w:left w:val="none" w:sz="0" w:space="0" w:color="auto"/>
            <w:bottom w:val="none" w:sz="0" w:space="0" w:color="auto"/>
            <w:right w:val="none" w:sz="0" w:space="0" w:color="auto"/>
          </w:divBdr>
        </w:div>
        <w:div w:id="1480074869">
          <w:marLeft w:val="0"/>
          <w:marRight w:val="0"/>
          <w:marTop w:val="0"/>
          <w:marBottom w:val="0"/>
          <w:divBdr>
            <w:top w:val="none" w:sz="0" w:space="0" w:color="auto"/>
            <w:left w:val="none" w:sz="0" w:space="0" w:color="auto"/>
            <w:bottom w:val="none" w:sz="0" w:space="0" w:color="auto"/>
            <w:right w:val="none" w:sz="0" w:space="0" w:color="auto"/>
          </w:divBdr>
        </w:div>
        <w:div w:id="1958903470">
          <w:marLeft w:val="0"/>
          <w:marRight w:val="0"/>
          <w:marTop w:val="0"/>
          <w:marBottom w:val="0"/>
          <w:divBdr>
            <w:top w:val="none" w:sz="0" w:space="0" w:color="auto"/>
            <w:left w:val="none" w:sz="0" w:space="0" w:color="auto"/>
            <w:bottom w:val="none" w:sz="0" w:space="0" w:color="auto"/>
            <w:right w:val="none" w:sz="0" w:space="0" w:color="auto"/>
          </w:divBdr>
        </w:div>
        <w:div w:id="54204725">
          <w:marLeft w:val="0"/>
          <w:marRight w:val="0"/>
          <w:marTop w:val="0"/>
          <w:marBottom w:val="0"/>
          <w:divBdr>
            <w:top w:val="none" w:sz="0" w:space="0" w:color="auto"/>
            <w:left w:val="none" w:sz="0" w:space="0" w:color="auto"/>
            <w:bottom w:val="none" w:sz="0" w:space="0" w:color="auto"/>
            <w:right w:val="none" w:sz="0" w:space="0" w:color="auto"/>
          </w:divBdr>
        </w:div>
        <w:div w:id="328213450">
          <w:marLeft w:val="0"/>
          <w:marRight w:val="0"/>
          <w:marTop w:val="0"/>
          <w:marBottom w:val="0"/>
          <w:divBdr>
            <w:top w:val="none" w:sz="0" w:space="0" w:color="auto"/>
            <w:left w:val="none" w:sz="0" w:space="0" w:color="auto"/>
            <w:bottom w:val="none" w:sz="0" w:space="0" w:color="auto"/>
            <w:right w:val="none" w:sz="0" w:space="0" w:color="auto"/>
          </w:divBdr>
        </w:div>
        <w:div w:id="409354365">
          <w:marLeft w:val="0"/>
          <w:marRight w:val="0"/>
          <w:marTop w:val="0"/>
          <w:marBottom w:val="0"/>
          <w:divBdr>
            <w:top w:val="none" w:sz="0" w:space="0" w:color="auto"/>
            <w:left w:val="none" w:sz="0" w:space="0" w:color="auto"/>
            <w:bottom w:val="none" w:sz="0" w:space="0" w:color="auto"/>
            <w:right w:val="none" w:sz="0" w:space="0" w:color="auto"/>
          </w:divBdr>
        </w:div>
        <w:div w:id="637564718">
          <w:marLeft w:val="0"/>
          <w:marRight w:val="0"/>
          <w:marTop w:val="0"/>
          <w:marBottom w:val="0"/>
          <w:divBdr>
            <w:top w:val="none" w:sz="0" w:space="0" w:color="auto"/>
            <w:left w:val="none" w:sz="0" w:space="0" w:color="auto"/>
            <w:bottom w:val="none" w:sz="0" w:space="0" w:color="auto"/>
            <w:right w:val="none" w:sz="0" w:space="0" w:color="auto"/>
          </w:divBdr>
        </w:div>
        <w:div w:id="1286887171">
          <w:marLeft w:val="0"/>
          <w:marRight w:val="0"/>
          <w:marTop w:val="0"/>
          <w:marBottom w:val="0"/>
          <w:divBdr>
            <w:top w:val="none" w:sz="0" w:space="0" w:color="auto"/>
            <w:left w:val="none" w:sz="0" w:space="0" w:color="auto"/>
            <w:bottom w:val="none" w:sz="0" w:space="0" w:color="auto"/>
            <w:right w:val="none" w:sz="0" w:space="0" w:color="auto"/>
          </w:divBdr>
        </w:div>
        <w:div w:id="1096513953">
          <w:marLeft w:val="0"/>
          <w:marRight w:val="0"/>
          <w:marTop w:val="0"/>
          <w:marBottom w:val="0"/>
          <w:divBdr>
            <w:top w:val="none" w:sz="0" w:space="0" w:color="auto"/>
            <w:left w:val="none" w:sz="0" w:space="0" w:color="auto"/>
            <w:bottom w:val="none" w:sz="0" w:space="0" w:color="auto"/>
            <w:right w:val="none" w:sz="0" w:space="0" w:color="auto"/>
          </w:divBdr>
        </w:div>
        <w:div w:id="923607168">
          <w:marLeft w:val="0"/>
          <w:marRight w:val="0"/>
          <w:marTop w:val="0"/>
          <w:marBottom w:val="0"/>
          <w:divBdr>
            <w:top w:val="none" w:sz="0" w:space="0" w:color="auto"/>
            <w:left w:val="none" w:sz="0" w:space="0" w:color="auto"/>
            <w:bottom w:val="none" w:sz="0" w:space="0" w:color="auto"/>
            <w:right w:val="none" w:sz="0" w:space="0" w:color="auto"/>
          </w:divBdr>
        </w:div>
        <w:div w:id="1408378900">
          <w:marLeft w:val="0"/>
          <w:marRight w:val="0"/>
          <w:marTop w:val="0"/>
          <w:marBottom w:val="0"/>
          <w:divBdr>
            <w:top w:val="none" w:sz="0" w:space="0" w:color="auto"/>
            <w:left w:val="none" w:sz="0" w:space="0" w:color="auto"/>
            <w:bottom w:val="none" w:sz="0" w:space="0" w:color="auto"/>
            <w:right w:val="none" w:sz="0" w:space="0" w:color="auto"/>
          </w:divBdr>
        </w:div>
        <w:div w:id="693579090">
          <w:marLeft w:val="0"/>
          <w:marRight w:val="0"/>
          <w:marTop w:val="0"/>
          <w:marBottom w:val="0"/>
          <w:divBdr>
            <w:top w:val="none" w:sz="0" w:space="0" w:color="auto"/>
            <w:left w:val="none" w:sz="0" w:space="0" w:color="auto"/>
            <w:bottom w:val="none" w:sz="0" w:space="0" w:color="auto"/>
            <w:right w:val="none" w:sz="0" w:space="0" w:color="auto"/>
          </w:divBdr>
        </w:div>
        <w:div w:id="1065640157">
          <w:marLeft w:val="0"/>
          <w:marRight w:val="0"/>
          <w:marTop w:val="0"/>
          <w:marBottom w:val="0"/>
          <w:divBdr>
            <w:top w:val="none" w:sz="0" w:space="0" w:color="auto"/>
            <w:left w:val="none" w:sz="0" w:space="0" w:color="auto"/>
            <w:bottom w:val="none" w:sz="0" w:space="0" w:color="auto"/>
            <w:right w:val="none" w:sz="0" w:space="0" w:color="auto"/>
          </w:divBdr>
        </w:div>
        <w:div w:id="474879365">
          <w:marLeft w:val="0"/>
          <w:marRight w:val="0"/>
          <w:marTop w:val="0"/>
          <w:marBottom w:val="0"/>
          <w:divBdr>
            <w:top w:val="none" w:sz="0" w:space="0" w:color="auto"/>
            <w:left w:val="none" w:sz="0" w:space="0" w:color="auto"/>
            <w:bottom w:val="none" w:sz="0" w:space="0" w:color="auto"/>
            <w:right w:val="none" w:sz="0" w:space="0" w:color="auto"/>
          </w:divBdr>
        </w:div>
        <w:div w:id="309092911">
          <w:marLeft w:val="0"/>
          <w:marRight w:val="0"/>
          <w:marTop w:val="0"/>
          <w:marBottom w:val="0"/>
          <w:divBdr>
            <w:top w:val="none" w:sz="0" w:space="0" w:color="auto"/>
            <w:left w:val="none" w:sz="0" w:space="0" w:color="auto"/>
            <w:bottom w:val="none" w:sz="0" w:space="0" w:color="auto"/>
            <w:right w:val="none" w:sz="0" w:space="0" w:color="auto"/>
          </w:divBdr>
        </w:div>
        <w:div w:id="1052508294">
          <w:marLeft w:val="0"/>
          <w:marRight w:val="0"/>
          <w:marTop w:val="0"/>
          <w:marBottom w:val="0"/>
          <w:divBdr>
            <w:top w:val="none" w:sz="0" w:space="0" w:color="auto"/>
            <w:left w:val="none" w:sz="0" w:space="0" w:color="auto"/>
            <w:bottom w:val="none" w:sz="0" w:space="0" w:color="auto"/>
            <w:right w:val="none" w:sz="0" w:space="0" w:color="auto"/>
          </w:divBdr>
        </w:div>
      </w:divsChild>
    </w:div>
    <w:div w:id="840582178">
      <w:bodyDiv w:val="1"/>
      <w:marLeft w:val="0"/>
      <w:marRight w:val="0"/>
      <w:marTop w:val="0"/>
      <w:marBottom w:val="0"/>
      <w:divBdr>
        <w:top w:val="none" w:sz="0" w:space="0" w:color="auto"/>
        <w:left w:val="none" w:sz="0" w:space="0" w:color="auto"/>
        <w:bottom w:val="none" w:sz="0" w:space="0" w:color="auto"/>
        <w:right w:val="none" w:sz="0" w:space="0" w:color="auto"/>
      </w:divBdr>
      <w:divsChild>
        <w:div w:id="1584416064">
          <w:marLeft w:val="0"/>
          <w:marRight w:val="0"/>
          <w:marTop w:val="0"/>
          <w:marBottom w:val="0"/>
          <w:divBdr>
            <w:top w:val="none" w:sz="0" w:space="0" w:color="auto"/>
            <w:left w:val="none" w:sz="0" w:space="0" w:color="auto"/>
            <w:bottom w:val="none" w:sz="0" w:space="0" w:color="auto"/>
            <w:right w:val="none" w:sz="0" w:space="0" w:color="auto"/>
          </w:divBdr>
        </w:div>
        <w:div w:id="1457068569">
          <w:marLeft w:val="0"/>
          <w:marRight w:val="0"/>
          <w:marTop w:val="0"/>
          <w:marBottom w:val="0"/>
          <w:divBdr>
            <w:top w:val="none" w:sz="0" w:space="0" w:color="auto"/>
            <w:left w:val="none" w:sz="0" w:space="0" w:color="auto"/>
            <w:bottom w:val="none" w:sz="0" w:space="0" w:color="auto"/>
            <w:right w:val="none" w:sz="0" w:space="0" w:color="auto"/>
          </w:divBdr>
        </w:div>
        <w:div w:id="970406828">
          <w:marLeft w:val="0"/>
          <w:marRight w:val="0"/>
          <w:marTop w:val="0"/>
          <w:marBottom w:val="0"/>
          <w:divBdr>
            <w:top w:val="none" w:sz="0" w:space="0" w:color="auto"/>
            <w:left w:val="none" w:sz="0" w:space="0" w:color="auto"/>
            <w:bottom w:val="none" w:sz="0" w:space="0" w:color="auto"/>
            <w:right w:val="none" w:sz="0" w:space="0" w:color="auto"/>
          </w:divBdr>
        </w:div>
        <w:div w:id="1596402707">
          <w:marLeft w:val="0"/>
          <w:marRight w:val="0"/>
          <w:marTop w:val="0"/>
          <w:marBottom w:val="0"/>
          <w:divBdr>
            <w:top w:val="none" w:sz="0" w:space="0" w:color="auto"/>
            <w:left w:val="none" w:sz="0" w:space="0" w:color="auto"/>
            <w:bottom w:val="none" w:sz="0" w:space="0" w:color="auto"/>
            <w:right w:val="none" w:sz="0" w:space="0" w:color="auto"/>
          </w:divBdr>
        </w:div>
        <w:div w:id="1566405026">
          <w:marLeft w:val="0"/>
          <w:marRight w:val="0"/>
          <w:marTop w:val="0"/>
          <w:marBottom w:val="0"/>
          <w:divBdr>
            <w:top w:val="none" w:sz="0" w:space="0" w:color="auto"/>
            <w:left w:val="none" w:sz="0" w:space="0" w:color="auto"/>
            <w:bottom w:val="none" w:sz="0" w:space="0" w:color="auto"/>
            <w:right w:val="none" w:sz="0" w:space="0" w:color="auto"/>
          </w:divBdr>
        </w:div>
        <w:div w:id="1882471865">
          <w:marLeft w:val="0"/>
          <w:marRight w:val="0"/>
          <w:marTop w:val="0"/>
          <w:marBottom w:val="0"/>
          <w:divBdr>
            <w:top w:val="none" w:sz="0" w:space="0" w:color="auto"/>
            <w:left w:val="none" w:sz="0" w:space="0" w:color="auto"/>
            <w:bottom w:val="none" w:sz="0" w:space="0" w:color="auto"/>
            <w:right w:val="none" w:sz="0" w:space="0" w:color="auto"/>
          </w:divBdr>
        </w:div>
        <w:div w:id="1822699676">
          <w:marLeft w:val="0"/>
          <w:marRight w:val="0"/>
          <w:marTop w:val="0"/>
          <w:marBottom w:val="0"/>
          <w:divBdr>
            <w:top w:val="none" w:sz="0" w:space="0" w:color="auto"/>
            <w:left w:val="none" w:sz="0" w:space="0" w:color="auto"/>
            <w:bottom w:val="none" w:sz="0" w:space="0" w:color="auto"/>
            <w:right w:val="none" w:sz="0" w:space="0" w:color="auto"/>
          </w:divBdr>
        </w:div>
        <w:div w:id="2031452098">
          <w:marLeft w:val="0"/>
          <w:marRight w:val="0"/>
          <w:marTop w:val="0"/>
          <w:marBottom w:val="0"/>
          <w:divBdr>
            <w:top w:val="none" w:sz="0" w:space="0" w:color="auto"/>
            <w:left w:val="none" w:sz="0" w:space="0" w:color="auto"/>
            <w:bottom w:val="none" w:sz="0" w:space="0" w:color="auto"/>
            <w:right w:val="none" w:sz="0" w:space="0" w:color="auto"/>
          </w:divBdr>
        </w:div>
        <w:div w:id="1593002641">
          <w:marLeft w:val="0"/>
          <w:marRight w:val="0"/>
          <w:marTop w:val="0"/>
          <w:marBottom w:val="0"/>
          <w:divBdr>
            <w:top w:val="none" w:sz="0" w:space="0" w:color="auto"/>
            <w:left w:val="none" w:sz="0" w:space="0" w:color="auto"/>
            <w:bottom w:val="none" w:sz="0" w:space="0" w:color="auto"/>
            <w:right w:val="none" w:sz="0" w:space="0" w:color="auto"/>
          </w:divBdr>
        </w:div>
        <w:div w:id="1149175624">
          <w:marLeft w:val="0"/>
          <w:marRight w:val="0"/>
          <w:marTop w:val="0"/>
          <w:marBottom w:val="0"/>
          <w:divBdr>
            <w:top w:val="none" w:sz="0" w:space="0" w:color="auto"/>
            <w:left w:val="none" w:sz="0" w:space="0" w:color="auto"/>
            <w:bottom w:val="none" w:sz="0" w:space="0" w:color="auto"/>
            <w:right w:val="none" w:sz="0" w:space="0" w:color="auto"/>
          </w:divBdr>
        </w:div>
        <w:div w:id="1750808194">
          <w:marLeft w:val="0"/>
          <w:marRight w:val="0"/>
          <w:marTop w:val="0"/>
          <w:marBottom w:val="0"/>
          <w:divBdr>
            <w:top w:val="none" w:sz="0" w:space="0" w:color="auto"/>
            <w:left w:val="none" w:sz="0" w:space="0" w:color="auto"/>
            <w:bottom w:val="none" w:sz="0" w:space="0" w:color="auto"/>
            <w:right w:val="none" w:sz="0" w:space="0" w:color="auto"/>
          </w:divBdr>
        </w:div>
        <w:div w:id="916284313">
          <w:marLeft w:val="0"/>
          <w:marRight w:val="0"/>
          <w:marTop w:val="0"/>
          <w:marBottom w:val="0"/>
          <w:divBdr>
            <w:top w:val="none" w:sz="0" w:space="0" w:color="auto"/>
            <w:left w:val="none" w:sz="0" w:space="0" w:color="auto"/>
            <w:bottom w:val="none" w:sz="0" w:space="0" w:color="auto"/>
            <w:right w:val="none" w:sz="0" w:space="0" w:color="auto"/>
          </w:divBdr>
        </w:div>
        <w:div w:id="2137990983">
          <w:marLeft w:val="0"/>
          <w:marRight w:val="0"/>
          <w:marTop w:val="0"/>
          <w:marBottom w:val="0"/>
          <w:divBdr>
            <w:top w:val="none" w:sz="0" w:space="0" w:color="auto"/>
            <w:left w:val="none" w:sz="0" w:space="0" w:color="auto"/>
            <w:bottom w:val="none" w:sz="0" w:space="0" w:color="auto"/>
            <w:right w:val="none" w:sz="0" w:space="0" w:color="auto"/>
          </w:divBdr>
        </w:div>
        <w:div w:id="1340503334">
          <w:marLeft w:val="0"/>
          <w:marRight w:val="0"/>
          <w:marTop w:val="0"/>
          <w:marBottom w:val="0"/>
          <w:divBdr>
            <w:top w:val="none" w:sz="0" w:space="0" w:color="auto"/>
            <w:left w:val="none" w:sz="0" w:space="0" w:color="auto"/>
            <w:bottom w:val="none" w:sz="0" w:space="0" w:color="auto"/>
            <w:right w:val="none" w:sz="0" w:space="0" w:color="auto"/>
          </w:divBdr>
        </w:div>
        <w:div w:id="1328485909">
          <w:marLeft w:val="0"/>
          <w:marRight w:val="0"/>
          <w:marTop w:val="0"/>
          <w:marBottom w:val="0"/>
          <w:divBdr>
            <w:top w:val="none" w:sz="0" w:space="0" w:color="auto"/>
            <w:left w:val="none" w:sz="0" w:space="0" w:color="auto"/>
            <w:bottom w:val="none" w:sz="0" w:space="0" w:color="auto"/>
            <w:right w:val="none" w:sz="0" w:space="0" w:color="auto"/>
          </w:divBdr>
        </w:div>
        <w:div w:id="589698281">
          <w:marLeft w:val="0"/>
          <w:marRight w:val="0"/>
          <w:marTop w:val="0"/>
          <w:marBottom w:val="0"/>
          <w:divBdr>
            <w:top w:val="none" w:sz="0" w:space="0" w:color="auto"/>
            <w:left w:val="none" w:sz="0" w:space="0" w:color="auto"/>
            <w:bottom w:val="none" w:sz="0" w:space="0" w:color="auto"/>
            <w:right w:val="none" w:sz="0" w:space="0" w:color="auto"/>
          </w:divBdr>
        </w:div>
        <w:div w:id="1259218728">
          <w:marLeft w:val="0"/>
          <w:marRight w:val="0"/>
          <w:marTop w:val="0"/>
          <w:marBottom w:val="0"/>
          <w:divBdr>
            <w:top w:val="none" w:sz="0" w:space="0" w:color="auto"/>
            <w:left w:val="none" w:sz="0" w:space="0" w:color="auto"/>
            <w:bottom w:val="none" w:sz="0" w:space="0" w:color="auto"/>
            <w:right w:val="none" w:sz="0" w:space="0" w:color="auto"/>
          </w:divBdr>
        </w:div>
        <w:div w:id="990407547">
          <w:marLeft w:val="0"/>
          <w:marRight w:val="0"/>
          <w:marTop w:val="0"/>
          <w:marBottom w:val="0"/>
          <w:divBdr>
            <w:top w:val="none" w:sz="0" w:space="0" w:color="auto"/>
            <w:left w:val="none" w:sz="0" w:space="0" w:color="auto"/>
            <w:bottom w:val="none" w:sz="0" w:space="0" w:color="auto"/>
            <w:right w:val="none" w:sz="0" w:space="0" w:color="auto"/>
          </w:divBdr>
        </w:div>
      </w:divsChild>
    </w:div>
    <w:div w:id="9968830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4026</Words>
  <Characters>22950</Characters>
  <Application>Microsoft Macintosh Word</Application>
  <DocSecurity>0</DocSecurity>
  <Lines>191</Lines>
  <Paragraphs>53</Paragraphs>
  <ScaleCrop>false</ScaleCrop>
  <Company>University of Michigan Medical School</Company>
  <LinksUpToDate>false</LinksUpToDate>
  <CharactersWithSpaces>26923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9</cp:revision>
  <dcterms:created xsi:type="dcterms:W3CDTF">2015-08-10T20:16:00Z</dcterms:created>
  <dcterms:modified xsi:type="dcterms:W3CDTF">2015-08-11T13:06:00Z</dcterms:modified>
</cp:coreProperties>
</file>