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1D" w:rsidRPr="005D1B1D" w:rsidRDefault="005D1B1D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Conexión de Python a Raspberry</w:t>
      </w:r>
    </w:p>
    <w:p w:rsidR="005D1B1D" w:rsidRDefault="005D1B1D">
      <w:pPr>
        <w:rPr>
          <w:rFonts w:ascii="Georgia" w:hAnsi="Georgia"/>
          <w:sz w:val="24"/>
          <w:szCs w:val="24"/>
        </w:rPr>
      </w:pPr>
    </w:p>
    <w:p w:rsidR="00D457B3" w:rsidRDefault="005D1B1D">
      <w:pP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Georgia" w:hAnsi="Georgia"/>
          <w:sz w:val="24"/>
          <w:szCs w:val="24"/>
        </w:rPr>
        <w:t>Primero se debe importar la librería necesaria para poder controlar os pines de la Raspberry Pi, esto se hace escribiendo en la primera línea “</w:t>
      </w:r>
      <w:proofErr w:type="spellStart"/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import</w:t>
      </w:r>
      <w:proofErr w:type="spellEnd"/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RPi.GPIO</w:t>
      </w:r>
      <w:proofErr w:type="spellEnd"/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 as GPIO</w:t>
      </w: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”. Después se indica el pin a utilizar mediante el numero en la placa </w:t>
      </w:r>
      <w:r w:rsidRPr="005D1B1D">
        <w:rPr>
          <w:rFonts w:ascii="Georgia" w:hAnsi="Georgia"/>
          <w:color w:val="111111"/>
          <w:sz w:val="24"/>
          <w:szCs w:val="24"/>
          <w:shd w:val="clear" w:color="auto" w:fill="FFFFFF"/>
        </w:rPr>
        <w:t>(</w:t>
      </w:r>
      <w:r w:rsidRPr="005D1B1D">
        <w:rPr>
          <w:rStyle w:val="nfasis"/>
          <w:rFonts w:ascii="Georgia" w:hAnsi="Georgia"/>
          <w:color w:val="111111"/>
          <w:sz w:val="24"/>
          <w:szCs w:val="24"/>
          <w:shd w:val="clear" w:color="auto" w:fill="FFFFFF"/>
        </w:rPr>
        <w:t>GPIO.BOARD</w:t>
      </w:r>
      <w:r w:rsidRPr="005D1B1D">
        <w:rPr>
          <w:rFonts w:ascii="Georgia" w:hAnsi="Georgia"/>
          <w:color w:val="111111"/>
          <w:sz w:val="24"/>
          <w:szCs w:val="24"/>
          <w:shd w:val="clear" w:color="auto" w:fill="FFFFFF"/>
        </w:rPr>
        <w:t>)</w:t>
      </w: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 o el canal al cual está conectado en el Chip Broadcom (GPIO.BCM). Posterior a esto se </w:t>
      </w:r>
      <w:r w:rsidR="00355067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asignará</w:t>
      </w: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 si el o los pines serán utilizados como entradas o salidas por medio de “</w:t>
      </w:r>
      <w:r>
        <w:rPr>
          <w:rFonts w:ascii="Georgia" w:hAnsi="Georgia"/>
          <w:i/>
          <w:color w:val="000000" w:themeColor="text1"/>
          <w:sz w:val="24"/>
          <w:szCs w:val="24"/>
          <w:shd w:val="clear" w:color="auto" w:fill="FFFFFF" w:themeFill="background1"/>
        </w:rPr>
        <w:t xml:space="preserve">true </w:t>
      </w:r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o</w:t>
      </w:r>
      <w:r>
        <w:rPr>
          <w:rFonts w:ascii="Georgia" w:hAnsi="Georgia"/>
          <w:i/>
          <w:color w:val="000000" w:themeColor="text1"/>
          <w:sz w:val="24"/>
          <w:szCs w:val="24"/>
          <w:shd w:val="clear" w:color="auto" w:fill="FFFFFF" w:themeFill="background1"/>
        </w:rPr>
        <w:t xml:space="preserve"> false”, </w:t>
      </w:r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est</w:t>
      </w: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e código</w:t>
      </w:r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 se asigna dentro de un buc</w:t>
      </w: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l</w:t>
      </w:r>
      <w:r w:rsidRPr="005D1B1D"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e infinito</w:t>
      </w: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.</w:t>
      </w:r>
    </w:p>
    <w:p w:rsidR="00355067" w:rsidRDefault="00355067">
      <w:pP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</w:pPr>
    </w:p>
    <w:p w:rsidR="00355067" w:rsidRDefault="00355067">
      <w:pP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 xml:space="preserve">En Python es muy importante la </w:t>
      </w:r>
      <w:proofErr w:type="spellStart"/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indentación</w:t>
      </w:r>
      <w:proofErr w:type="spellEnd"/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, pues no todo el código se encuentra al mismo nivel, además se debe utilizar la palabra reservada “</w:t>
      </w:r>
      <w:proofErr w:type="spellStart"/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read</w:t>
      </w:r>
      <w:proofErr w:type="spellEnd"/>
      <w:r>
        <w:rPr>
          <w:rFonts w:ascii="Georgia" w:hAnsi="Georgia"/>
          <w:color w:val="000000" w:themeColor="text1"/>
          <w:sz w:val="24"/>
          <w:szCs w:val="24"/>
          <w:shd w:val="clear" w:color="auto" w:fill="FFFFFF" w:themeFill="background1"/>
        </w:rPr>
        <w:t>” para poder obtener una lectura de los pines.</w:t>
      </w:r>
    </w:p>
    <w:p w:rsidR="005D1B1D" w:rsidRDefault="005D1B1D">
      <w:pPr>
        <w:rPr>
          <w:rFonts w:ascii="Georgia" w:hAnsi="Georgia"/>
          <w:i/>
          <w:sz w:val="24"/>
          <w:szCs w:val="24"/>
        </w:rPr>
      </w:pPr>
      <w:bookmarkStart w:id="0" w:name="_GoBack"/>
      <w:bookmarkEnd w:id="0"/>
    </w:p>
    <w:p w:rsidR="005D1B1D" w:rsidRDefault="005D1B1D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Conexión de Python mediante protocolo i2c</w:t>
      </w:r>
    </w:p>
    <w:p w:rsidR="00AD1448" w:rsidRDefault="00AD1448">
      <w:pPr>
        <w:rPr>
          <w:rFonts w:ascii="Georgia" w:hAnsi="Georgia"/>
          <w:b/>
          <w:sz w:val="36"/>
          <w:szCs w:val="36"/>
        </w:rPr>
      </w:pPr>
    </w:p>
    <w:p w:rsidR="00AD1448" w:rsidRPr="00AD1448" w:rsidRDefault="0035506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poder leer los datos mediante i2c se debe ejecutar “i2cdetect”, ya que con esto podremos ver las interfaces i2c que están disponibles, posterior a ello se vuelve a ejecutar </w:t>
      </w:r>
      <w:r>
        <w:rPr>
          <w:rFonts w:ascii="Georgia" w:hAnsi="Georgia"/>
          <w:sz w:val="24"/>
          <w:szCs w:val="24"/>
        </w:rPr>
        <w:t>“i2cdetect”</w:t>
      </w:r>
      <w:r w:rsidR="00A51672">
        <w:rPr>
          <w:rFonts w:ascii="Georgia" w:hAnsi="Georgia"/>
          <w:sz w:val="24"/>
          <w:szCs w:val="24"/>
        </w:rPr>
        <w:t xml:space="preserve"> pero esta vez con el bus i2c disponible. Dependiendo de lo que se desee hacer podemos leer cualquier dispositivo i2c usando “i2cget” y para escribir se usa “i2cset”.</w:t>
      </w:r>
    </w:p>
    <w:sectPr w:rsidR="00AD1448" w:rsidRPr="00AD1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1D"/>
    <w:rsid w:val="00355067"/>
    <w:rsid w:val="005D1B1D"/>
    <w:rsid w:val="00877825"/>
    <w:rsid w:val="00A51672"/>
    <w:rsid w:val="00AD1448"/>
    <w:rsid w:val="00D4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6C11"/>
  <w15:chartTrackingRefBased/>
  <w15:docId w15:val="{E35AE022-8C95-47A6-ABB1-E2D11689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D1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2</cp:revision>
  <dcterms:created xsi:type="dcterms:W3CDTF">2018-09-03T17:38:00Z</dcterms:created>
  <dcterms:modified xsi:type="dcterms:W3CDTF">2018-09-04T17:30:00Z</dcterms:modified>
</cp:coreProperties>
</file>