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DFAD4" w14:textId="77777777" w:rsidR="001E605F" w:rsidRDefault="00BE6D47" w:rsidP="00320AF4">
      <w:pPr>
        <w:spacing w:line="360" w:lineRule="auto"/>
      </w:pPr>
      <w:r w:rsidRPr="009A67BB">
        <w:t>Who cares about regulation?</w:t>
      </w:r>
      <w:r w:rsidR="009A67BB" w:rsidRPr="009A67BB">
        <w:t xml:space="preserve"> </w:t>
      </w:r>
      <w:r w:rsidR="009A67BB">
        <w:t>Interest networks of EU agencies on Twitter</w:t>
      </w:r>
    </w:p>
    <w:p w14:paraId="71E9F71D" w14:textId="385BAA24" w:rsidR="002E665F" w:rsidRDefault="002E665F" w:rsidP="00320AF4">
      <w:pPr>
        <w:spacing w:line="360" w:lineRule="auto"/>
      </w:pPr>
      <w:r>
        <w:t>Introduction:</w:t>
      </w:r>
    </w:p>
    <w:p w14:paraId="5D709A16" w14:textId="63AF149D" w:rsidR="007D1EAA" w:rsidRDefault="005A3AAF" w:rsidP="00320AF4">
      <w:pPr>
        <w:spacing w:line="360" w:lineRule="auto"/>
      </w:pPr>
      <w:r>
        <w:t>As a response to the claim</w:t>
      </w:r>
      <w:r w:rsidR="00F956A4">
        <w:t>s</w:t>
      </w:r>
      <w:r>
        <w:t xml:space="preserve"> of interest</w:t>
      </w:r>
      <w:r w:rsidR="00254A78">
        <w:t xml:space="preserve"> capture</w:t>
      </w:r>
      <w:r>
        <w:t>,</w:t>
      </w:r>
      <w:r w:rsidR="00F956A4">
        <w:t xml:space="preserve"> democratic deficits</w:t>
      </w:r>
      <w:r w:rsidR="00DF7FE2">
        <w:t xml:space="preserve">, and questions of </w:t>
      </w:r>
      <w:r w:rsidR="008E6808">
        <w:t>legitimacy in policymaking processes</w:t>
      </w:r>
      <w:r w:rsidR="0053030C">
        <w:t xml:space="preserve">, the EU has attempted to increase citizen participation </w:t>
      </w:r>
      <w:r w:rsidR="00A26150">
        <w:t>through various tools</w:t>
      </w:r>
      <w:r w:rsidR="007D1EAA">
        <w:t xml:space="preserve">. However, </w:t>
      </w:r>
      <w:r w:rsidR="00A70CFC">
        <w:t>despite</w:t>
      </w:r>
      <w:r w:rsidR="007D1EAA">
        <w:t xml:space="preserve"> some </w:t>
      </w:r>
      <w:r w:rsidR="00A70CFC">
        <w:t>exceptions</w:t>
      </w:r>
      <w:r w:rsidR="00A70CFC">
        <w:rPr>
          <w:rStyle w:val="FootnoteReference"/>
        </w:rPr>
        <w:footnoteReference w:id="1"/>
      </w:r>
      <w:r w:rsidR="000959BB">
        <w:t>,</w:t>
      </w:r>
      <w:r w:rsidR="007D1EAA">
        <w:t xml:space="preserve"> we have seen little success in this domain. </w:t>
      </w:r>
      <w:r w:rsidR="00C976ED">
        <w:t>Through the advent of social media and Web 2.0, many academics and politicians</w:t>
      </w:r>
      <w:r w:rsidR="00F716F8">
        <w:t xml:space="preserve"> foresaw a novel</w:t>
      </w:r>
      <w:r w:rsidR="001D066F">
        <w:t xml:space="preserve"> </w:t>
      </w:r>
      <w:r w:rsidR="00F716F8">
        <w:t xml:space="preserve">promising new tool to </w:t>
      </w:r>
      <w:r w:rsidR="00676C74">
        <w:t xml:space="preserve">enable more citizen participation </w:t>
      </w:r>
      <w:r w:rsidR="004A21AA">
        <w:t xml:space="preserve">in political </w:t>
      </w:r>
      <w:r w:rsidR="00A531C8">
        <w:t xml:space="preserve">and regulatory </w:t>
      </w:r>
      <w:r w:rsidR="004A21AA">
        <w:t xml:space="preserve">affairs </w:t>
      </w:r>
      <w:r w:rsidR="003F1170">
        <w:fldChar w:fldCharType="begin" w:fldLock="1"/>
      </w:r>
      <w:r w:rsidR="001316AC">
        <w:instrText>ADDIN CSL_CITATION {"citationItems":[{"id":"ITEM-1","itemData":{"DOI":"10.1093/pa/gsj010","ISSN":"00312290","abstract":"OVER the past decade considerable concerns have been raised about the health of parliamentary democracy in the UK. Apparently increasing levels of public distrust and cynicism about politicians and representa-tive institutions along with the dramatic fall in turnout at the 2001 election have prompted a debate about possible means of connecting the public with politics. One area that has attracted attention is whether the rise of new media technologies, such as the internet and e-mail, could help facilitate a new level of engagement. So far, however, whilst there has been sustained criticism of MPs', parties' and parliaments' online efforts, there is only limited evidence about the public's use of new media technologies for political engagement and communication. 2 In order to address this gap, this article reports the findings from a public opinion survey commissioned from NOP which examines citizen know-ledge, attitudes and behaviour regarding information communication technologies (ICTs) as means of connecting with parliament and MPs. The survey confirms that whilst the net has a potential to deepen public engagement with our representatives and parliamentary institutions currently it attracts only a small minority of voters who are generally already politically active and privileged. Moreover, such potential will remain untapped without considerable effort from legislatures and leg-islators to change the culture of representation. Parliament, the public and the representative nexus: decline and crisis? It has become increasingly commonplace to talk of a crisis in parlia-mentary representation. This supposed decline of parliamentary repre-sentation is, arguably, signalled by an increasing gulf between the parliament and its members and the British public, in three interrelated respects. First, the House of Commons (HoC) has lost touch with electors, who are largely unaware of and uninterested in parliamentary work; second, citizens trust representative institutions, including the parlia-ment, to a lesser degree than in the past; and finally, decreasing trends of electoral engagement culminated at the 2001 election, which recorded the lowest turnout in the UK since 1918. Yet, long-term general trends of support for the political system—interest in politics and views","author":[{"dropping-particle":"","family":"Lusoli","given":"Wainer","non-dropping-particle":"","parse-names":false,"suffix":""},{"dropping-particle":"","family":"Ward","given":"Stephen","non-dropping-particle":"","parse-names":false,"suffix":""},{"dropping-particle":"","family":"Gibson","given":"Rachel","non-dropping-particle":"","parse-names":false,"suffix":""}],"container-title":"Parliamentary Affairs","id":"ITEM-1","issued":{"date-parts":[["2006"]]},"title":"(Re)connecting politics? Parliament, the public and the Internet","type":"article"},"uris":["http://www.mendeley.com/documents/?uuid=9c97b73b-7f91-44f1-b85a-5a20515d217e"]},{"id":"ITEM-2","itemData":{"ISBN":"9780195177732","abstract":"Providing an overview of Internet politics, this work examines the impact of communication technologies on political parties and elections, pressure groups, social movements, public bureaucracies, and global governance. Internet politics : some conceptual tools -- Network logic : a political prehistory of the Internet -- Access, inclusion, and the digital divide -- Community, deliberation, and participation : E-democracy -- Interest groups and social movements : E-mobilization -- Parties, candidates, and elections : E-campaigning -- Executives and bureaucracies : E-government -- Constructing the global information society -- The rise of Internet governance -- Surveillance, privacy, and security -- The political economy of Internet media -- Conclusion : the future of Internet politics.","author":[{"dropping-particle":"","family":"Chadwick","given":"Andrew.","non-dropping-particle":"","parse-names":false,"suffix":""}],"id":"ITEM-2","issued":{"date-parts":[["2006"]]},"number-of-pages":"384","publisher":"Oxford University Press","title":"Internet politics : states, citizens, and new communication technologies","type":"book"},"uris":["http://www.mendeley.com/documents/?uuid=23396974-5e4e-3cdb-b8f2-8bdd637cdfde"]},{"id":"ITEM-3","itemData":{"ISBN":"9781845201333","abstract":"English ed. Introduction: Concepts and media -- Network -- Information -- Interface -- Archive -- Interactivity -- Simulation -- Conclusion.","author":[{"dropping-particle":"","family":"Gane","given":"Nicholas","non-dropping-particle":"","parse-names":false,"suffix":""},{"dropping-particle":"","family":"Beer","given":"David","non-dropping-particle":"","parse-names":false,"suffix":""}],"id":"ITEM-3","issued":{"date-parts":[["2008"]]},"number-of-pages":"149","publisher":"Berg Publishers","publisher-place":"Oxford","title":"New media","type":"book"},"uris":["http://www.mendeley.com/documents/?uuid=237d0683-40bf-3d2e-91ea-e0149e73d2af"]}],"mendeley":{"formattedCitation":"(Lusoli et al. 2006; Chadwick 2006; Gane and Beer 2008)","plainTextFormattedCitation":"(Lusoli et al. 2006; Chadwick 2006; Gane and Beer 2008)","previouslyFormattedCitation":"(Lusoli et al. 2006; Chadwick 2006; Gane and Beer 2008)"},"properties":{"noteIndex":0},"schema":"https://github.com/citation-style-language/schema/raw/master/csl-citation.json"}</w:instrText>
      </w:r>
      <w:r w:rsidR="003F1170">
        <w:fldChar w:fldCharType="separate"/>
      </w:r>
      <w:r w:rsidR="003F1170" w:rsidRPr="003F1170">
        <w:rPr>
          <w:noProof/>
        </w:rPr>
        <w:t>(Lusoli et al. 2006; Chadwick 2006; Gane and Beer 2008)</w:t>
      </w:r>
      <w:r w:rsidR="003F1170">
        <w:fldChar w:fldCharType="end"/>
      </w:r>
      <w:r w:rsidR="001623EE">
        <w:t xml:space="preserve">. For instance, </w:t>
      </w:r>
      <w:r w:rsidR="00D70556">
        <w:t xml:space="preserve">Australian Senator Kate Lundy (an internationally recognized advocate of e-government) </w:t>
      </w:r>
      <w:r w:rsidR="00CB785C">
        <w:t xml:space="preserve">stated </w:t>
      </w:r>
      <w:r w:rsidR="00542628">
        <w:t xml:space="preserve">in 2010 </w:t>
      </w:r>
      <w:r w:rsidR="00CB785C">
        <w:t xml:space="preserve">that “Web 2.0 of the democratization of innovation and decision-making, </w:t>
      </w:r>
      <w:r w:rsidR="00A53619">
        <w:t xml:space="preserve">[…] </w:t>
      </w:r>
      <w:r w:rsidR="00CB785C">
        <w:t xml:space="preserve">will make us all co-designers of civil society </w:t>
      </w:r>
      <w:r w:rsidR="00265DFD">
        <w:t>in the 21</w:t>
      </w:r>
      <w:r w:rsidR="00265DFD" w:rsidRPr="00265DFD">
        <w:rPr>
          <w:vertAlign w:val="superscript"/>
        </w:rPr>
        <w:t>st</w:t>
      </w:r>
      <w:r w:rsidR="00265DFD">
        <w:t xml:space="preserve"> century</w:t>
      </w:r>
      <w:r w:rsidR="006A44CD">
        <w:t>”</w:t>
      </w:r>
      <w:r w:rsidR="00542628">
        <w:t xml:space="preserve"> (</w:t>
      </w:r>
      <w:r w:rsidR="00542628" w:rsidRPr="00231162">
        <w:rPr>
          <w:highlight w:val="yellow"/>
        </w:rPr>
        <w:t>SOURCE</w:t>
      </w:r>
      <w:r w:rsidR="00231162">
        <w:t xml:space="preserve">). </w:t>
      </w:r>
      <w:r w:rsidR="00CA3C58">
        <w:t xml:space="preserve">The limited amount of research </w:t>
      </w:r>
      <w:r w:rsidR="007A4167">
        <w:t>on the actual use and performance of collaborative internet fora for government-citizen interaction suggests that the reality cannot live up to the expectations</w:t>
      </w:r>
      <w:r w:rsidR="00BC5EDC">
        <w:t xml:space="preserve"> </w:t>
      </w:r>
      <w:r w:rsidR="00BC5EDC">
        <w:fldChar w:fldCharType="begin" w:fldLock="1"/>
      </w:r>
      <w:r w:rsidR="00A80689">
        <w:instrText>ADDIN CSL_CITATION {"citationItems":[{"id":"ITEM-1","itemData":{"DOI":"10.1177/0095399710386308","ISSN":"0095-3997","abstract":"Public administration theory and practice suggest that e-government, citizen participation, and government–citizen collaboration are contributing to a movement toward New Public Service—as opposed to Old Public Administration and New Public Management. We explore this by focusing on the relationship between the Washington, D.C., police and local residents via online discussion groups. We ask, How do police interact with citizens virtually? How are these interactions structured? and Are they informational, transactional, or collaborative? Using descriptive data and thread analysis, and drawing distinctions between districts, we conclude that the bulk of activity is informational, a fair amount of activity is transactional, and less activity is collaborative. Thus, the relationship most closely approximates Old Public Administration, rather than New Public Management or New Public Service. The evidence offers some cause for hope for the future of police–community relations in virtual space and ideas for future research.","author":[{"dropping-particle":"","family":"Brainard","given":"Lori A.","non-dropping-particle":"","parse-names":false,"suffix":""},{"dropping-particle":"","family":"McNutt","given":"John G.","non-dropping-particle":"","parse-names":false,"suffix":""}],"container-title":"Administration &amp; Society","id":"ITEM-1","issue":"7","issued":{"date-parts":[["2010","11","10"]]},"page":"836-858","title":"Virtual government-citizen relations: Informational, transactional, or collaborative?","type":"article-journal","volume":"42"},"uris":["http://www.mendeley.com/documents/?uuid=9479847d-5e26-47c7-952e-7aa2cf871fe0"]},{"id":"ITEM-2","itemData":{"DOI":"10.1016/j.giq.2011.09.004","ISBN":"0740-624X","ISSN":"0740624X","PMID":"84334436","abstract":"Scholars and practitioners argue that the most important interactions between citizens and government happen at the local level. These relationships could become closer and more frequent with the use of information and communication technologies (ICTs). In fact, portals could be seen not only as channels for providing government information and services, but also as powerful tools to exchange information and knowledge between different social actors and government entities and to enable participation in collective decision-making efforts about important public affairs. For instance, social media and other Web 2.0 tools could provide new electronic channels for these interactions through their inclusion in local government portals. This paper argues that although important modifications to the organizational and institutional frameworks would be necessary, the potential for local electronic governance through networks of government and non-government actors via internet portals is clearly present. However, a very important first step would be the inclusion of more interaction, participation, and collaboration mechanisms in government portals. Similar to previous efforts with data from the U.S., this paper describes the results of a recent assessment of local government portals in Mexico. The conclusion is that progress toward citizen engagement is slow in local governments and there are very few efforts to increase interaction, participation, and collaboration channels on their portals. Most of them are still following the vision of information and services providers and a local electronic governance model is still in its very initial stages. It seems that e-government in municipalities is still more rhetoric and less reality, at least in some countries. © 2011 Elsevier Inc.","author":[{"dropping-particle":"","family":"Sandoval-Almazan","given":"Rodrigo","non-dropping-particle":"","parse-names":false,"suffix":""},{"dropping-particle":"","family":"Gil-Garcia","given":"J. Ramon","non-dropping-particle":"","parse-names":false,"suffix":""}],"container-title":"Government Information Quarterly","id":"ITEM-2","issue":"SUPPL. 1","issued":{"date-parts":[["2012","1","1"]]},"page":"S72-S81","publisher":"JAI","title":"Are government internet portals evolving towards more interaction, participation, and collaboration? Revisiting the rhetoric of e-government among municipalities","type":"article-journal","volume":"29"},"uris":["http://www.mendeley.com/documents/?uuid=d70aa385-3c02-3ba8-ba99-54445b6dabf4"]}],"mendeley":{"formattedCitation":"(Brainard and McNutt 2010; Sandoval-Almazan and Gil-Garcia 2012)","plainTextFormattedCitation":"(Brainard and McNutt 2010; Sandoval-Almazan and Gil-Garcia 2012)","previouslyFormattedCitation":"(Brainard and McNutt 2010; Sandoval-Almazan and Gil-Garcia 2012)"},"properties":{"noteIndex":0},"schema":"https://github.com/citation-style-language/schema/raw/master/csl-citation.json"}</w:instrText>
      </w:r>
      <w:r w:rsidR="00BC5EDC">
        <w:fldChar w:fldCharType="separate"/>
      </w:r>
      <w:r w:rsidR="00BC5EDC" w:rsidRPr="00BC5EDC">
        <w:rPr>
          <w:noProof/>
        </w:rPr>
        <w:t>(Brainard and McNutt 2010; Sandoval-Almazan and Gil-Garcia 2012)</w:t>
      </w:r>
      <w:r w:rsidR="00BC5EDC">
        <w:fldChar w:fldCharType="end"/>
      </w:r>
      <w:r w:rsidR="007A4167">
        <w:t xml:space="preserve">. </w:t>
      </w:r>
      <w:r w:rsidR="00897319">
        <w:t xml:space="preserve">While there is a growing body of research investigating the supply-side of </w:t>
      </w:r>
      <w:r w:rsidR="001316AC">
        <w:t xml:space="preserve">e-government fora for citizen participation </w:t>
      </w:r>
      <w:r w:rsidR="001316AC">
        <w:fldChar w:fldCharType="begin" w:fldLock="1"/>
      </w:r>
      <w:r w:rsidR="00CF0B0C">
        <w:instrText>ADDIN CSL_CITATION {"citationItems":[{"id":"ITEM-1","itemData":{"DOI":"10.1111/puar.12021","ISSN":"00333352","author":[{"dropping-particle":"","family":"Mergel","given":"Ines","non-dropping-particle":"","parse-names":false,"suffix":""},{"dropping-particle":"","family":"Bretschneider","given":"Stuart I.","non-dropping-particle":"","parse-names":false,"suffix":""}],"container-title":"Public Administration Review","id":"ITEM-1","issue":"3","issued":{"date-parts":[["2013","5","1"]]},"page":"390-400","publisher":"Wiley/Blackwell (10.1111)","title":"A Three-Stage Adoption Process for Social Media Use in Government","type":"article-journal","volume":"73"},"uris":["http://www.mendeley.com/documents/?uuid=6d932cbc-790e-3383-8450-60834925cd2d"]},{"id":"ITEM-2","itemData":{"DOI":"10.1080/01292986.2013.851723","ISSN":"0129-2986","abstract":"This study examines Twitter use by the central government in Korea and the federal government in the USA by employing the webometric technique to extract their Twitter activity (basic Twitter statistics such as the numbers of followers, followings, and Tweets) and the social network analysis technique to map the relationship between their Twitter accounts and the direction of outlinks in their Tweets. The results of the initial analysis indicate some differences in Twitter strategies between the two governments. For example, Korean ministries were well connected through a dense network, engaged in collective cooperation, and retweeted common content to reinforce their collective agendas regardless of their main administrative functions, whereas US government departments were less collective and more individualistic and retweeted those messages that specifically fit the purpose of each department. In addition, the results for outlinks indicate that US government departments preferred private sources of inf...","author":[{"dropping-particle":"","family":"Khan","given":"Gohar Feroz","non-dropping-particle":"","parse-names":false,"suffix":""},{"dropping-particle":"","family":"Yoon","given":"Ho Young","non-dropping-particle":"","parse-names":false,"suffix":""},{"dropping-particle":"","family":"Park","given":"Han Woo","non-dropping-particle":"","parse-names":false,"suffix":""}],"container-title":"Asian Journal of Communication","id":"ITEM-2","issue":"1","issued":{"date-parts":[["2014","1","2"]]},"page":"60-78","publisher":"Routledge","title":"Social media communication strategies of government agencies: Twitter use in Korea and the USA","type":"article-journal","volume":"24"},"uris":["http://www.mendeley.com/documents/?uuid=b33d6cb5-b2b3-3aee-8f80-517611cdb64d"]},{"id":"ITEM-3","itemData":{"DOI":"10.1016/j.giq.2011.09.004","ISBN":"0740-624X","ISSN":"0740624X","PMID":"84334436","abstract":"Scholars and practitioners argue that the most important interactions between citizens and government happen at the local level. These relationships could become closer and more frequent with the use of information and communication technologies (ICTs). In fact, portals could be seen not only as channels for providing government information and services, but also as powerful tools to exchange information and knowledge between different social actors and government entities and to enable participation in collective decision-making efforts about important public affairs. For instance, social media and other Web 2.0 tools could provide new electronic channels for these interactions through their inclusion in local government portals. This paper argues that although important modifications to the organizational and institutional frameworks would be necessary, the potential for local electronic governance through networks of government and non-government actors via internet portals is clearly present. However, a very important first step would be the inclusion of more interaction, participation, and collaboration mechanisms in government portals. Similar to previous efforts with data from the U.S., this paper describes the results of a recent assessment of local government portals in Mexico. The conclusion is that progress toward citizen engagement is slow in local governments and there are very few efforts to increase interaction, participation, and collaboration channels on their portals. Most of them are still following the vision of information and services providers and a local electronic governance model is still in its very initial stages. It seems that e-government in municipalities is still more rhetoric and less reality, at least in some countries. © 2011 Elsevier Inc.","author":[{"dropping-particle":"","family":"Sandoval-Almazan","given":"Rodrigo","non-dropping-particle":"","parse-names":false,"suffix":""},{"dropping-particle":"","family":"Gil-Garcia","given":"J. Ramon","non-dropping-particle":"","parse-names":false,"suffix":""}],"container-title":"Government Information Quarterly","id":"ITEM-3","issue":"SUPPL. 1","issued":{"date-parts":[["2012","1","1"]]},"page":"S72-S81","publisher":"JAI","title":"Are government internet portals evolving towards more interaction, participation, and collaboration? Revisiting the rhetoric of e-government among municipalities","type":"article-journal","volume":"29"},"uris":["http://www.mendeley.com/documents/?uuid=d70aa385-3c02-3ba8-ba99-54445b6dabf4"]},{"id":"ITEM-4","itemData":{"DOI":"10.1177/0095399710386308","ISSN":"0095-3997","abstract":"Public administration theory and practice suggest that e-government, citizen participation, and government–citizen collaboration are contributing to a movement toward New Public Service—as opposed to Old Public Administration and New Public Management. We explore this by focusing on the relationship between the Washington, D.C., police and local residents via online discussion groups. We ask, How do police interact with citizens virtually? How are these interactions structured? and Are they informational, transactional, or collaborative? Using descriptive data and thread analysis, and drawing distinctions between districts, we conclude that the bulk of activity is informational, a fair amount of activity is transactional, and less activity is collaborative. Thus, the relationship most closely approximates Old Public Administration, rather than New Public Management or New Public Service. The evidence offers some cause for hope for the future of police–community relations in virtual space and ideas for future research.","author":[{"dropping-particle":"","family":"Brainard","given":"Lori A.","non-dropping-particle":"","parse-names":false,"suffix":""},{"dropping-particle":"","family":"McNutt","given":"John G.","non-dropping-particle":"","parse-names":false,"suffix":""}],"container-title":"Administration &amp; Society","id":"ITEM-4","issue":"7","issued":{"date-parts":[["2010","11","10"]]},"page":"836-858","title":"Virtual government-citizen relations: Informational, transactional, or collaborative?","type":"article-journal","volume":"42"},"uris":["http://www.mendeley.com/documents/?uuid=9479847d-5e26-47c7-952e-7aa2cf871fe0"]}],"mendeley":{"formattedCitation":"(Mergel and Bretschneider 2013; Khan et al. 2014; Sandoval-Almazan and Gil-Garcia 2012; Brainard and McNutt 2010)","plainTextFormattedCitation":"(Mergel and Bretschneider 2013; Khan et al. 2014; Sandoval-Almazan and Gil-Garcia 2012; Brainard and McNutt 2010)","previouslyFormattedCitation":"(Mergel and Bretschneider 2013; Khan et al. 2014; Sandoval-Almazan and Gil-Garcia 2012; Brainard and McNutt 2010)"},"properties":{"noteIndex":0},"schema":"https://github.com/citation-style-language/schema/raw/master/csl-citation.json"}</w:instrText>
      </w:r>
      <w:r w:rsidR="001316AC">
        <w:fldChar w:fldCharType="separate"/>
      </w:r>
      <w:r w:rsidR="001316AC" w:rsidRPr="001316AC">
        <w:rPr>
          <w:noProof/>
        </w:rPr>
        <w:t>(Mergel and Bretschneider 2013; Khan et al. 2014; Sandoval-Almazan and Gil-Garcia 2012; Brainard and McNutt 2010)</w:t>
      </w:r>
      <w:r w:rsidR="001316AC">
        <w:fldChar w:fldCharType="end"/>
      </w:r>
      <w:r w:rsidR="00DB5AB8">
        <w:t xml:space="preserve">, the demand-side </w:t>
      </w:r>
      <w:r w:rsidR="007D1EBE">
        <w:t xml:space="preserve">– the citizens - </w:t>
      </w:r>
      <w:r w:rsidR="00DB5AB8">
        <w:t xml:space="preserve">has received relatively little attention. The question here is: </w:t>
      </w:r>
      <w:r w:rsidR="002C0C3E">
        <w:t xml:space="preserve">Even if a government offers an online forum for </w:t>
      </w:r>
      <w:r w:rsidR="00FA1837">
        <w:t>government-</w:t>
      </w:r>
      <w:r w:rsidR="002C0C3E">
        <w:t xml:space="preserve">citizen </w:t>
      </w:r>
      <w:r w:rsidR="00924A1C">
        <w:t>interaction</w:t>
      </w:r>
      <w:r w:rsidR="002C0C3E">
        <w:t xml:space="preserve">, is </w:t>
      </w:r>
      <w:r w:rsidR="003C006F">
        <w:t xml:space="preserve">there a demand by citizens for such a forum? Furthermore, </w:t>
      </w:r>
      <w:r w:rsidR="00C27928">
        <w:t xml:space="preserve">is the </w:t>
      </w:r>
      <w:r w:rsidR="002C74CB">
        <w:t xml:space="preserve">group using such online fora any different to the groups that are already </w:t>
      </w:r>
      <w:r w:rsidR="000F1C83">
        <w:t xml:space="preserve">engaged in regulatory policymaking (e.g. through consultation mechanisms such as workshops </w:t>
      </w:r>
      <w:r w:rsidR="00026FD2">
        <w:t>or public consultations).</w:t>
      </w:r>
    </w:p>
    <w:p w14:paraId="19549957" w14:textId="5F5D137A" w:rsidR="002D3843" w:rsidRDefault="003F36A7" w:rsidP="00320AF4">
      <w:pPr>
        <w:spacing w:line="360" w:lineRule="auto"/>
      </w:pPr>
      <w:r>
        <w:t xml:space="preserve">There are two important reasons why we should know </w:t>
      </w:r>
      <w:r w:rsidR="008A0AE8">
        <w:t xml:space="preserve">if it is possible and desirable to include citizens in policymaking through </w:t>
      </w:r>
      <w:r w:rsidR="00543699">
        <w:t xml:space="preserve">the possibilities that the Web 2.0 is offering: (1) </w:t>
      </w:r>
      <w:r w:rsidR="00CC36AB">
        <w:t xml:space="preserve">It </w:t>
      </w:r>
      <w:r w:rsidR="00835089">
        <w:t xml:space="preserve">could increase the legitimacy and visibility of regulatory institutions </w:t>
      </w:r>
      <w:r w:rsidR="00F6353D">
        <w:t>by encouraging more citizen engagement in policymaking</w:t>
      </w:r>
      <w:r w:rsidR="00D23479">
        <w:rPr>
          <w:rStyle w:val="FootnoteReference"/>
        </w:rPr>
        <w:footnoteReference w:id="2"/>
      </w:r>
      <w:r w:rsidR="00D23479">
        <w:t xml:space="preserve"> </w:t>
      </w:r>
      <w:r w:rsidR="00835089">
        <w:t xml:space="preserve">and (2) it could </w:t>
      </w:r>
      <w:r w:rsidR="00F6353D">
        <w:t xml:space="preserve">offer additional policy input </w:t>
      </w:r>
      <w:r w:rsidR="0067539F">
        <w:t xml:space="preserve">through the crowdsourcing of the information retrieval process in policymaking. </w:t>
      </w:r>
      <w:r w:rsidR="002D3843">
        <w:t xml:space="preserve">This paper </w:t>
      </w:r>
      <w:r w:rsidR="005B6EBC">
        <w:t>relies on a</w:t>
      </w:r>
      <w:r w:rsidR="002D3843">
        <w:t xml:space="preserve"> dataset of the </w:t>
      </w:r>
      <w:r w:rsidR="002A7E32">
        <w:t>posting</w:t>
      </w:r>
      <w:r w:rsidR="002D3843">
        <w:t xml:space="preserve"> activity</w:t>
      </w:r>
      <w:r w:rsidR="002A7E32">
        <w:t>, the posted content,</w:t>
      </w:r>
      <w:r w:rsidR="002D3843">
        <w:t xml:space="preserve"> and</w:t>
      </w:r>
      <w:r w:rsidR="002A7E32">
        <w:t xml:space="preserve"> the</w:t>
      </w:r>
      <w:r w:rsidR="002D3843">
        <w:t xml:space="preserve"> followership of all EU regulatory agencies active on </w:t>
      </w:r>
      <w:r w:rsidR="002A7E32">
        <w:t xml:space="preserve">the social media platform Twitter. </w:t>
      </w:r>
      <w:r w:rsidR="00FA0E85">
        <w:t>Using</w:t>
      </w:r>
      <w:r w:rsidR="005B6EBC">
        <w:t xml:space="preserve"> </w:t>
      </w:r>
      <w:r w:rsidR="005B6EBC">
        <w:lastRenderedPageBreak/>
        <w:t>classification algorithms</w:t>
      </w:r>
      <w:r w:rsidR="001F6335">
        <w:t xml:space="preserve"> enables me to </w:t>
      </w:r>
      <w:r w:rsidR="009B2D0C">
        <w:t xml:space="preserve">identify the audience of these Twitter profiles </w:t>
      </w:r>
      <w:r w:rsidR="00344557">
        <w:t xml:space="preserve">and the types of interaction that occur between the EU agencies and the Twitter users. </w:t>
      </w:r>
      <w:r w:rsidR="00093373" w:rsidRPr="0085108F">
        <w:rPr>
          <w:highlight w:val="yellow"/>
        </w:rPr>
        <w:t>TBC</w:t>
      </w:r>
    </w:p>
    <w:p w14:paraId="43ECBF7C" w14:textId="75DE0F31" w:rsidR="0085108F" w:rsidRDefault="0085108F" w:rsidP="00320AF4">
      <w:pPr>
        <w:spacing w:line="360" w:lineRule="auto"/>
      </w:pPr>
      <w:r>
        <w:t>Literature review</w:t>
      </w:r>
    </w:p>
    <w:p w14:paraId="057A04F1" w14:textId="47C0A818" w:rsidR="006D2E74" w:rsidRDefault="0085108F" w:rsidP="00320AF4">
      <w:pPr>
        <w:spacing w:line="360" w:lineRule="auto"/>
      </w:pPr>
      <w:r>
        <w:t>In</w:t>
      </w:r>
      <w:r w:rsidR="00656E43">
        <w:t xml:space="preserve"> the political communication </w:t>
      </w:r>
      <w:r w:rsidR="00924A1C">
        <w:t>literature,</w:t>
      </w:r>
      <w:r w:rsidR="00656E43">
        <w:t xml:space="preserve"> we find </w:t>
      </w:r>
      <w:r w:rsidR="00B76F69">
        <w:t xml:space="preserve">reasons </w:t>
      </w:r>
      <w:r w:rsidR="00F153F9">
        <w:t xml:space="preserve">to believe that social media </w:t>
      </w:r>
      <w:r w:rsidR="000B4549">
        <w:t>positively influences citizen engagement in political affairs (and indirectly in policymaking)</w:t>
      </w:r>
      <w:r w:rsidR="00B76F69">
        <w:t xml:space="preserve">: </w:t>
      </w:r>
      <w:r w:rsidR="00274376">
        <w:t>It has been found that the emergence of new online</w:t>
      </w:r>
      <w:r w:rsidR="00BC73BE">
        <w:t xml:space="preserve"> technologies has led to more </w:t>
      </w:r>
      <w:r w:rsidR="00924A1C">
        <w:t xml:space="preserve">citizen engagement </w:t>
      </w:r>
      <w:r w:rsidR="00CF0B0C">
        <w:fldChar w:fldCharType="begin" w:fldLock="1"/>
      </w:r>
      <w:r w:rsidR="00962738">
        <w:instrText>ADDIN CSL_CITATION {"citationItems":[{"id":"ITEM-1","itemData":{"DOI":"10.1177/1461444815616221","ISBN":"0816629145","ISSN":"14617315","PMID":"25246403","abstract":"This meta-analytic study reviews empirical research published from 2007 to 2013 with an aim of providing robust conclusions about the relationship between social media use and citizen engagement. It includes 22 studies that used self-reported measures of social media use and participation, with a total of 116 relationships/effects. The results suggest that social media use generally has a positive relationship with engagement and its three sub-categories, that is, social capital, civic engagement, and political participation. More specifically, we find small-to-medium size positive relationships between expressive, informational, and relational uses of social media and the above indicators of citizen engagement. For identity- and entertainment-oriented uses of social media, our analyses find little evidence supporting their relationship with citizen engagement. Keywords","author":[{"dropping-particle":"","family":"Skoric","given":"Marko M","non-dropping-particle":"","parse-names":false,"suffix":""},{"dropping-particle":"","family":"Zhu","given":"Qinfeng","non-dropping-particle":"","parse-names":false,"suffix":""},{"dropping-particle":"","family":"Goh","given":"Debbie","non-dropping-particle":"","parse-names":false,"suffix":""},{"dropping-particle":"","family":"Pang","given":"Natalie","non-dropping-particle":"","parse-names":false,"suffix":""}],"container-title":"New Media and Society","id":"ITEM-1","issue":"9","issued":{"date-parts":[["2016"]]},"page":"1817-1839","title":"Social media and citizen engagement: A meta-analytic review","type":"article-journal","volume":"18"},"uris":["http://www.mendeley.com/documents/?uuid=a8dd44d1-aebb-31f0-8bf0-9eb7f83a5f40"]}],"mendeley":{"formattedCitation":"(Skoric et al. 2016)","plainTextFormattedCitation":"(Skoric et al. 2016)","previouslyFormattedCitation":"(Skoric et al. 2016)"},"properties":{"noteIndex":0},"schema":"https://github.com/citation-style-language/schema/raw/master/csl-citation.json"}</w:instrText>
      </w:r>
      <w:r w:rsidR="00CF0B0C">
        <w:fldChar w:fldCharType="separate"/>
      </w:r>
      <w:r w:rsidR="00CF0B0C" w:rsidRPr="00CF0B0C">
        <w:rPr>
          <w:noProof/>
        </w:rPr>
        <w:t>(Skoric et al. 2016)</w:t>
      </w:r>
      <w:r w:rsidR="00CF0B0C">
        <w:fldChar w:fldCharType="end"/>
      </w:r>
      <w:r w:rsidR="007233FA">
        <w:t xml:space="preserve"> and</w:t>
      </w:r>
      <w:r w:rsidR="003A0676">
        <w:t xml:space="preserve"> an active role of </w:t>
      </w:r>
      <w:r w:rsidR="00962738">
        <w:t xml:space="preserve">online audiences in discussions and voting </w:t>
      </w:r>
      <w:r w:rsidR="00962738">
        <w:fldChar w:fldCharType="begin" w:fldLock="1"/>
      </w:r>
      <w:r w:rsidR="00CC4902">
        <w:instrText>ADDIN CSL_CITATION {"citationItems":[{"id":"ITEM-1","itemData":{"DOI":"10.1177/0267323104040693","ISBN":"0267-3231","ISSN":"02673231","abstract":"[email: EAvanZoonen@uva.nl] European Journal of Communication Copyright © 2004SAGE Publications (London, Thousand Oaks, CA and New Delhi) www.sagepublications.com, Vol 19(1): 39–52. [10.1177/0267323104040693] 39 Page 2. ...","author":[{"dropping-particle":"","family":"Zoonen","given":"Liesbet","non-dropping-particle":"Van","parse-names":false,"suffix":""}],"container-title":"European Journal of Communication","id":"ITEM-1","issued":{"date-parts":[["2004"]]},"title":"Imagining the Fan Democracy","type":"paper-conference"},"uris":["http://www.mendeley.com/documents/?uuid=cf2a9976-5581-4c65-9011-4dffaadc83df"]}],"mendeley":{"formattedCitation":"(Van Zoonen 2004)","plainTextFormattedCitation":"(Van Zoonen 2004)","previouslyFormattedCitation":"(Van Zoonen 2004)"},"properties":{"noteIndex":0},"schema":"https://github.com/citation-style-language/schema/raw/master/csl-citation.json"}</w:instrText>
      </w:r>
      <w:r w:rsidR="00962738">
        <w:fldChar w:fldCharType="separate"/>
      </w:r>
      <w:r w:rsidR="00962738" w:rsidRPr="00962738">
        <w:rPr>
          <w:noProof/>
        </w:rPr>
        <w:t>(Van Zoonen 2004)</w:t>
      </w:r>
      <w:r w:rsidR="00962738">
        <w:fldChar w:fldCharType="end"/>
      </w:r>
      <w:r w:rsidR="00856A9A">
        <w:t>.</w:t>
      </w:r>
      <w:r w:rsidR="00EC30C6">
        <w:t xml:space="preserve"> </w:t>
      </w:r>
      <w:r w:rsidR="004E6600">
        <w:t xml:space="preserve">The nature of the link between social media use and </w:t>
      </w:r>
      <w:r w:rsidR="00C42A79">
        <w:t xml:space="preserve">participation in civic and political life is not clear: </w:t>
      </w:r>
      <w:r w:rsidR="003025DD">
        <w:t xml:space="preserve">Whilst a meta-study </w:t>
      </w:r>
      <w:r w:rsidR="00297BCF">
        <w:t>of 36 studies on the subject showed that 80% of the coefficients were positive, no</w:t>
      </w:r>
      <w:r w:rsidR="000A7AB3">
        <w:t xml:space="preserve"> study could show if the positive effect of social media on civic and political participation was causal or transformative </w:t>
      </w:r>
      <w:r w:rsidR="00CC4902">
        <w:fldChar w:fldCharType="begin" w:fldLock="1"/>
      </w:r>
      <w:r w:rsidR="00D23479">
        <w:instrText>ADDIN CSL_CITATION {"citationItems":[{"id":"ITEM-1","itemData":{"DOI":"10.1166/asl.2017.7624","ISBN":"1369-118X","ISSN":"19367317","abstract":"Social media has skyrocketed to popularity in the past few years. The Arab Spring in 2011 as well as the 2008 and 2012 Obama campaigns have fueled interest in how social media might affect citizens' participation in civic and political life. In response, researchers have produced 36 studies assessing the relationship between social media use and participation in civic and political life. This manuscript presents the results of a meta-analysis of research on social media use and participation. Overall, the metadata demonstrate a positive relationship between social media use and participation. More than 80% of coefficients are positive. However, questions remain about whether the relationship is causal and transformative. Only half of the coefficients were statistically significant. Studies using panel data are less likely to report positive and statistically significant coefficients between social media use and participation, compared to cross-sectional surveys. The metadata also suggest that social media use has minimal impact on participation in election campaigns.","author":[{"dropping-particle":"","family":"Boulianne","given":"Shelley","non-dropping-particle":"","parse-names":false,"suffix":""}],"container-title":"Information Communication and Society","id":"ITEM-1","issue":"5","issued":{"date-parts":[["2015","5","4"]]},"page":"524-538","publisher":"Routledge","title":"Social media use and participation: a meta-analysis of current research","type":"article-journal","volume":"18"},"uris":["http://www.mendeley.com/documents/?uuid=5a8b9987-d489-318d-aab7-e25c0f34ac0a"]}],"mendeley":{"formattedCitation":"(Boulianne 2015)","plainTextFormattedCitation":"(Boulianne 2015)","previouslyFormattedCitation":"(Boulianne 2015)"},"properties":{"noteIndex":0},"schema":"https://github.com/citation-style-language/schema/raw/master/csl-citation.json"}</w:instrText>
      </w:r>
      <w:r w:rsidR="00CC4902">
        <w:fldChar w:fldCharType="separate"/>
      </w:r>
      <w:r w:rsidR="00CC4902" w:rsidRPr="00CC4902">
        <w:rPr>
          <w:noProof/>
        </w:rPr>
        <w:t>(Boulianne 2015)</w:t>
      </w:r>
      <w:r w:rsidR="00CC4902">
        <w:fldChar w:fldCharType="end"/>
      </w:r>
      <w:r w:rsidR="00B5519F">
        <w:t>.</w:t>
      </w:r>
    </w:p>
    <w:p w14:paraId="76D32F48" w14:textId="3522A60D" w:rsidR="002E665F" w:rsidRDefault="002653DD" w:rsidP="00320AF4">
      <w:pPr>
        <w:pStyle w:val="ListParagraph"/>
        <w:numPr>
          <w:ilvl w:val="0"/>
          <w:numId w:val="1"/>
        </w:numPr>
        <w:spacing w:line="360" w:lineRule="auto"/>
      </w:pPr>
      <w:r>
        <w:t xml:space="preserve">Premise: </w:t>
      </w:r>
      <w:r w:rsidR="00D30203">
        <w:t xml:space="preserve">“Regulation is boring” </w:t>
      </w:r>
    </w:p>
    <w:p w14:paraId="2A68C26C" w14:textId="657D05D8" w:rsidR="00BF06FD" w:rsidRDefault="00C51585" w:rsidP="00320AF4">
      <w:pPr>
        <w:pStyle w:val="ListParagraph"/>
        <w:numPr>
          <w:ilvl w:val="1"/>
          <w:numId w:val="1"/>
        </w:numPr>
        <w:spacing w:line="360" w:lineRule="auto"/>
      </w:pPr>
      <w:r>
        <w:t>We do not know much about who cares about regulatory affairs</w:t>
      </w:r>
      <w:r w:rsidR="00681546">
        <w:t>, but in</w:t>
      </w:r>
      <w:r w:rsidR="00E15C7B">
        <w:t xml:space="preserve"> many papers on agency independence it is often assumed that regulatory decision-making is out of sight for the public since it</w:t>
      </w:r>
      <w:r w:rsidR="00004DC4">
        <w:t xml:space="preserve"> is quite technocratic and often not relevant to the average citizen </w:t>
      </w:r>
      <w:r w:rsidR="00925B8A">
        <w:fldChar w:fldCharType="begin" w:fldLock="1"/>
      </w:r>
      <w:r w:rsidR="00210D37">
        <w:instrText>ADDIN CSL_CITATION {"citationItems":[{"id":"ITEM-1","itemData":{"DOI":"10.1177/000276427902200508","ISSN":"0002-7642","author":[{"dropping-particle":"","family":"Rourke","given":"Francis E.","non-dropping-particle":"","parse-names":false,"suffix":""}],"container-title":"American Behavioral Scientist","id":"ITEM-1","issue":"5","issued":{"date-parts":[["1979","5","27"]]},"page":"537-546","publisher":"Sage PublicationsSage CA: Thousand Oaks, CA","title":"Bureaucratic Autonomy and the Public Interest","type":"article-journal","volume":"22"},"uris":["http://www.mendeley.com/documents/?uuid=60847bce-f90f-3965-b1c7-0a823a791db6"]},{"id":"ITEM-2","itemData":{"DOI":"10.1111/padm.12190","ISBN":"0033-3298","abstract":"When administrative agencies are terminated, do they quietly fade from public view? On the one hand, the terminated agencies may have weak issue networks and agency reputations, allowing them to lose public salience. On the other, strong issue networks and agency reputations may mean that termination increases attention to the agencies, making the government pay the cost of public attention generated by the actors within the issue networks. We assess these competing claims by using a unique dataset from a recent mass reorganization of independent agencies in Britain as well as data capturing media attention to agencies in major national newspapers. Using a difference-in-differences approach, we find that the agencies subject to termination experience reductions in the amount of media coverage in major newspapers, disappearing from public view during the post-decision reform period.","author":[{"dropping-particle":"","family":"Bertelli","given":"Anthony M","non-dropping-particle":"","parse-names":false,"suffix":""},{"dropping-particle":"","family":"Sinclair","given":"J Andrew","non-dropping-particle":"","parse-names":false,"suffix":""},{"dropping-particle":"","family":"Lee","given":"Haram","non-dropping-particle":"","parse-names":false,"suffix":""}],"container-title":"Public Administration","id":"ITEM-2","issue":"4","issued":{"date-parts":[["2015"]]},"language":"English","page":"1168-1183","title":"Media Attention and the Demise of Agency Independence: Evidence from a Mass Administrative Reorganization in Britain","title-short":"Media Attention and the Demise of Agency Independe","type":"article-journal","volume":"93"},"uris":["http://www.mendeley.com/documents/?uuid=10b0223f-9d03-4290-a247-f17490d5765a"]}],"mendeley":{"formattedCitation":"(Rourke 1979; Bertelli et al. 2015)","manualFormatting":"(e.g. Rourke 1979; Bertelli et al. 2015)","plainTextFormattedCitation":"(Rourke 1979; Bertelli et al. 2015)","previouslyFormattedCitation":"(Rourke 1979; Bertelli et al. 2015)"},"properties":{"noteIndex":0},"schema":"https://github.com/citation-style-language/schema/raw/master/csl-citation.json"}</w:instrText>
      </w:r>
      <w:r w:rsidR="00925B8A">
        <w:fldChar w:fldCharType="separate"/>
      </w:r>
      <w:r w:rsidR="00925B8A" w:rsidRPr="00925B8A">
        <w:rPr>
          <w:noProof/>
        </w:rPr>
        <w:t>(</w:t>
      </w:r>
      <w:r w:rsidR="00925B8A">
        <w:rPr>
          <w:noProof/>
        </w:rPr>
        <w:t xml:space="preserve">e.g. </w:t>
      </w:r>
      <w:r w:rsidR="00925B8A" w:rsidRPr="00925B8A">
        <w:rPr>
          <w:noProof/>
        </w:rPr>
        <w:t>Rourke 1979; Bertelli et al. 2015)</w:t>
      </w:r>
      <w:r w:rsidR="00925B8A">
        <w:fldChar w:fldCharType="end"/>
      </w:r>
      <w:r w:rsidR="00925B8A">
        <w:t>.</w:t>
      </w:r>
    </w:p>
    <w:p w14:paraId="4426AA2A" w14:textId="2D3EC2ED" w:rsidR="00B578EF" w:rsidRDefault="00B578EF" w:rsidP="00320AF4">
      <w:pPr>
        <w:pStyle w:val="ListParagraph"/>
        <w:numPr>
          <w:ilvl w:val="1"/>
          <w:numId w:val="1"/>
        </w:numPr>
        <w:spacing w:line="360" w:lineRule="auto"/>
      </w:pPr>
      <w:r>
        <w:t xml:space="preserve">An </w:t>
      </w:r>
      <w:proofErr w:type="gramStart"/>
      <w:r>
        <w:t>often implicit</w:t>
      </w:r>
      <w:proofErr w:type="gramEnd"/>
      <w:r>
        <w:t xml:space="preserve"> assumption is that EU agencies were created as independent bodies </w:t>
      </w:r>
      <w:r w:rsidR="002D1056">
        <w:t>and usually stay out of public sight to ensure a continuation of this independence</w:t>
      </w:r>
    </w:p>
    <w:p w14:paraId="5BC8B817" w14:textId="2B66135D" w:rsidR="00DA2B69" w:rsidRDefault="00EB5327" w:rsidP="00320AF4">
      <w:pPr>
        <w:pStyle w:val="ListParagraph"/>
        <w:numPr>
          <w:ilvl w:val="2"/>
          <w:numId w:val="1"/>
        </w:numPr>
        <w:spacing w:line="360" w:lineRule="auto"/>
      </w:pPr>
      <w:r>
        <w:t>Following this logic, we would only expect professionals and organizations/firms to be amongst the interested parties in regulatory affairs</w:t>
      </w:r>
      <w:r w:rsidR="00AE0BDF">
        <w:t>, because they actively seek information on regulation</w:t>
      </w:r>
    </w:p>
    <w:p w14:paraId="3DE4A47D" w14:textId="77777777" w:rsidR="0094176D" w:rsidRDefault="009A4C05" w:rsidP="00320AF4">
      <w:pPr>
        <w:pStyle w:val="ListParagraph"/>
        <w:numPr>
          <w:ilvl w:val="0"/>
          <w:numId w:val="1"/>
        </w:numPr>
        <w:spacing w:line="360" w:lineRule="auto"/>
      </w:pPr>
      <w:r>
        <w:t>However</w:t>
      </w:r>
      <w:r w:rsidR="00D14D3B">
        <w:t xml:space="preserve">, recent events and developments have led to an increase in public visibility of </w:t>
      </w:r>
      <w:r w:rsidR="00DA2B69">
        <w:t>regulatory affairs</w:t>
      </w:r>
    </w:p>
    <w:p w14:paraId="195A57A5" w14:textId="77EABD72" w:rsidR="0094176D" w:rsidRDefault="007070B0" w:rsidP="00320AF4">
      <w:pPr>
        <w:pStyle w:val="ListParagraph"/>
        <w:numPr>
          <w:ilvl w:val="1"/>
          <w:numId w:val="1"/>
        </w:numPr>
        <w:spacing w:line="360" w:lineRule="auto"/>
      </w:pPr>
      <w:r>
        <w:t>Daylight savings</w:t>
      </w:r>
      <w:r w:rsidR="00F8208C">
        <w:t xml:space="preserve"> time: Large survey within EU with over 4 million participants</w:t>
      </w:r>
      <w:r w:rsidR="00925B8A">
        <w:t xml:space="preserve"> (i.e. regulation o</w:t>
      </w:r>
      <w:r w:rsidR="003B6A8E">
        <w:t>n time)</w:t>
      </w:r>
    </w:p>
    <w:p w14:paraId="65B207B3" w14:textId="4E70E05F" w:rsidR="0094176D" w:rsidRDefault="00DA2B69" w:rsidP="00320AF4">
      <w:pPr>
        <w:pStyle w:val="ListParagraph"/>
        <w:numPr>
          <w:ilvl w:val="1"/>
          <w:numId w:val="1"/>
        </w:numPr>
        <w:spacing w:line="360" w:lineRule="auto"/>
      </w:pPr>
      <w:proofErr w:type="spellStart"/>
      <w:r>
        <w:t>Dieselgate</w:t>
      </w:r>
      <w:proofErr w:type="spellEnd"/>
      <w:r>
        <w:t>: Car emissions in cities</w:t>
      </w:r>
      <w:r w:rsidR="00925B8A">
        <w:t xml:space="preserve"> (i.e. regulation on banning cars in cities)</w:t>
      </w:r>
    </w:p>
    <w:p w14:paraId="672A9151" w14:textId="77308C7E" w:rsidR="00925D9C" w:rsidRDefault="00533C25" w:rsidP="00320AF4">
      <w:pPr>
        <w:pStyle w:val="ListParagraph"/>
        <w:numPr>
          <w:ilvl w:val="1"/>
          <w:numId w:val="1"/>
        </w:numPr>
        <w:spacing w:line="360" w:lineRule="auto"/>
      </w:pPr>
      <w:r>
        <w:t xml:space="preserve">Environmentalism: </w:t>
      </w:r>
      <w:r w:rsidR="00F63D73">
        <w:t>IPCC Climate reports, Paris agreement, and the ensuing EU efforts to limit climate change</w:t>
      </w:r>
      <w:r w:rsidR="009C1CF3">
        <w:t xml:space="preserve"> </w:t>
      </w:r>
      <w:r w:rsidR="003B6A8E">
        <w:t>(</w:t>
      </w:r>
      <w:proofErr w:type="spellStart"/>
      <w:r w:rsidR="003B6A8E">
        <w:t>i.e</w:t>
      </w:r>
      <w:proofErr w:type="spellEnd"/>
      <w:r w:rsidR="003B6A8E">
        <w:t xml:space="preserve"> regulation on energy production, industry emissions, and carbon pricing)</w:t>
      </w:r>
    </w:p>
    <w:p w14:paraId="3F417240" w14:textId="4EDC669A" w:rsidR="00925D9C" w:rsidRDefault="00925D9C" w:rsidP="00320AF4">
      <w:pPr>
        <w:pStyle w:val="ListParagraph"/>
        <w:numPr>
          <w:ilvl w:val="0"/>
          <w:numId w:val="1"/>
        </w:numPr>
        <w:spacing w:line="360" w:lineRule="auto"/>
      </w:pPr>
      <w:r>
        <w:t>EU regulatory agencies work at the forefront of EU regulatory decision-making</w:t>
      </w:r>
      <w:r w:rsidR="003B6A8E">
        <w:t xml:space="preserve"> and could be expected to be in the </w:t>
      </w:r>
      <w:r w:rsidR="00E45590">
        <w:t>stage light of regulatory interest of citizens</w:t>
      </w:r>
      <w:r w:rsidR="003B6A8E">
        <w:t xml:space="preserve"> </w:t>
      </w:r>
    </w:p>
    <w:p w14:paraId="5EA086E6" w14:textId="4DAD2016" w:rsidR="00925D9C" w:rsidRDefault="00925D9C" w:rsidP="00320AF4">
      <w:pPr>
        <w:pStyle w:val="ListParagraph"/>
        <w:numPr>
          <w:ilvl w:val="1"/>
          <w:numId w:val="1"/>
        </w:numPr>
        <w:spacing w:line="360" w:lineRule="auto"/>
      </w:pPr>
      <w:r>
        <w:lastRenderedPageBreak/>
        <w:t xml:space="preserve">Depending on their mandate, they conduct </w:t>
      </w:r>
      <w:r w:rsidR="004525D4">
        <w:t xml:space="preserve">targeted research, review existing research, and influence the regulatory agenda of the European </w:t>
      </w:r>
      <w:r w:rsidR="00F92FCE">
        <w:t>decision-making institutions</w:t>
      </w:r>
      <w:r w:rsidR="004525D4">
        <w:t xml:space="preserve"> (i.e. </w:t>
      </w:r>
      <w:r w:rsidR="00F92FCE">
        <w:t>Parliament, Council, and Commission)</w:t>
      </w:r>
    </w:p>
    <w:p w14:paraId="65355F58" w14:textId="57FD51B1" w:rsidR="00A368CD" w:rsidRDefault="00E45590" w:rsidP="00320AF4">
      <w:pPr>
        <w:pStyle w:val="ListParagraph"/>
        <w:numPr>
          <w:ilvl w:val="0"/>
          <w:numId w:val="1"/>
        </w:numPr>
        <w:spacing w:line="360" w:lineRule="auto"/>
      </w:pPr>
      <w:r>
        <w:t>Interest in regulatory agencies is</w:t>
      </w:r>
      <w:r w:rsidR="00A368CD">
        <w:t xml:space="preserve"> a </w:t>
      </w:r>
      <w:proofErr w:type="spellStart"/>
      <w:r w:rsidR="00A368CD">
        <w:t>blindspot</w:t>
      </w:r>
      <w:proofErr w:type="spellEnd"/>
      <w:r w:rsidR="00A368CD">
        <w:t xml:space="preserve"> in the most surveys: The Eurobarometer does not contain one single question on EU agencies</w:t>
      </w:r>
    </w:p>
    <w:p w14:paraId="16B23CFF" w14:textId="4E6D8E29" w:rsidR="00DC2476" w:rsidRPr="00E45590" w:rsidRDefault="00DC2476" w:rsidP="00320AF4">
      <w:pPr>
        <w:pStyle w:val="ListParagraph"/>
        <w:numPr>
          <w:ilvl w:val="1"/>
          <w:numId w:val="1"/>
        </w:numPr>
        <w:spacing w:line="360" w:lineRule="auto"/>
        <w:rPr>
          <w:b/>
        </w:rPr>
      </w:pPr>
      <w:r>
        <w:t xml:space="preserve">This begs the question: </w:t>
      </w:r>
      <w:r w:rsidRPr="00E45590">
        <w:rPr>
          <w:b/>
        </w:rPr>
        <w:t xml:space="preserve">Who cares for </w:t>
      </w:r>
      <w:r w:rsidR="0052267E" w:rsidRPr="00E45590">
        <w:rPr>
          <w:b/>
        </w:rPr>
        <w:t>regulation</w:t>
      </w:r>
      <w:r w:rsidR="00BF37BF" w:rsidRPr="00E45590">
        <w:rPr>
          <w:b/>
        </w:rPr>
        <w:t>?</w:t>
      </w:r>
    </w:p>
    <w:p w14:paraId="4EAFFC8F" w14:textId="5A5AE273" w:rsidR="005C78D5" w:rsidRPr="00E45590" w:rsidRDefault="005C78D5" w:rsidP="00320AF4">
      <w:pPr>
        <w:pStyle w:val="ListParagraph"/>
        <w:numPr>
          <w:ilvl w:val="1"/>
          <w:numId w:val="1"/>
        </w:numPr>
        <w:spacing w:line="360" w:lineRule="auto"/>
        <w:rPr>
          <w:b/>
        </w:rPr>
      </w:pPr>
      <w:r w:rsidRPr="00E45590">
        <w:rPr>
          <w:b/>
        </w:rPr>
        <w:t>How do agencies reply to these demands, what kind of information are they offering to whatever constituency they are catering to?</w:t>
      </w:r>
    </w:p>
    <w:p w14:paraId="6BAE36BB" w14:textId="2ABAE054" w:rsidR="00331DA4" w:rsidRDefault="00331DA4" w:rsidP="00320AF4">
      <w:pPr>
        <w:pStyle w:val="ListParagraph"/>
        <w:numPr>
          <w:ilvl w:val="0"/>
          <w:numId w:val="1"/>
        </w:numPr>
        <w:spacing w:line="360" w:lineRule="auto"/>
      </w:pPr>
      <w:r>
        <w:t xml:space="preserve">Social media is changing how citizens and public institutions </w:t>
      </w:r>
      <w:r w:rsidR="00067364">
        <w:t>communicate with each other:</w:t>
      </w:r>
    </w:p>
    <w:p w14:paraId="5E3CC411" w14:textId="23B06EA8" w:rsidR="00067364" w:rsidRDefault="00067364" w:rsidP="00320AF4">
      <w:pPr>
        <w:pStyle w:val="ListParagraph"/>
        <w:numPr>
          <w:ilvl w:val="1"/>
          <w:numId w:val="1"/>
        </w:numPr>
        <w:spacing w:line="360" w:lineRule="auto"/>
      </w:pPr>
      <w:r>
        <w:t>It offers a public venue for exchange</w:t>
      </w:r>
    </w:p>
    <w:p w14:paraId="4291EFD5" w14:textId="23EAA34F" w:rsidR="00067364" w:rsidRDefault="00067364" w:rsidP="00320AF4">
      <w:pPr>
        <w:pStyle w:val="ListParagraph"/>
        <w:numPr>
          <w:ilvl w:val="2"/>
          <w:numId w:val="1"/>
        </w:numPr>
        <w:spacing w:line="360" w:lineRule="auto"/>
      </w:pPr>
      <w:r>
        <w:t xml:space="preserve">This can go </w:t>
      </w:r>
      <w:r w:rsidR="00C7502B">
        <w:t>multiple ways: 1. (Hope of many communication experts in the wake of social media use</w:t>
      </w:r>
      <w:r w:rsidR="004D4979">
        <w:t>:</w:t>
      </w:r>
      <w:r w:rsidR="00C7502B">
        <w:t>)</w:t>
      </w:r>
      <w:r w:rsidR="004D4979">
        <w:t xml:space="preserve"> A dialogue between citizens and institutions</w:t>
      </w:r>
      <w:r w:rsidR="005B5F18">
        <w:t xml:space="preserve">, </w:t>
      </w:r>
      <w:r w:rsidR="0063556E">
        <w:t xml:space="preserve">2. A one-sided information platform from </w:t>
      </w:r>
      <w:r w:rsidR="00DC7769">
        <w:t>institutions to citizens, or 3. A one-sided critiquing platform from citizens to institutions</w:t>
      </w:r>
    </w:p>
    <w:p w14:paraId="7B87C046" w14:textId="31097007" w:rsidR="00E56CA7" w:rsidRDefault="00E56CA7" w:rsidP="00E56CA7">
      <w:pPr>
        <w:pStyle w:val="ListParagraph"/>
        <w:numPr>
          <w:ilvl w:val="1"/>
          <w:numId w:val="1"/>
        </w:numPr>
        <w:spacing w:line="360" w:lineRule="auto"/>
      </w:pPr>
      <w:r>
        <w:t xml:space="preserve">In contrast to pre-social media times, agencies now have the chance to probe public opinion and respond to it. Even more directly, they can enter a direct dialogue with citizens </w:t>
      </w:r>
      <w:r w:rsidR="00CB051A">
        <w:t>and thereby increase visibility and legitimacy of their decisions (although the question is if they are seeking these things).</w:t>
      </w:r>
    </w:p>
    <w:p w14:paraId="04D3DA02" w14:textId="14CED5F6" w:rsidR="00F92FCE" w:rsidRDefault="00F92FCE" w:rsidP="00320AF4">
      <w:pPr>
        <w:spacing w:line="360" w:lineRule="auto"/>
      </w:pPr>
    </w:p>
    <w:p w14:paraId="3F1F4B53" w14:textId="20D4BFFB" w:rsidR="002D56E8" w:rsidRDefault="002D56E8" w:rsidP="00320AF4">
      <w:pPr>
        <w:spacing w:line="360" w:lineRule="auto"/>
      </w:pPr>
      <w:r>
        <w:t>Literature</w:t>
      </w:r>
      <w:r w:rsidR="00664276">
        <w:t xml:space="preserve"> that I want to speak to (very open to suggestions)</w:t>
      </w:r>
      <w:r>
        <w:t>:</w:t>
      </w:r>
    </w:p>
    <w:p w14:paraId="48625577" w14:textId="1CD5BD54" w:rsidR="002D56E8" w:rsidRDefault="002D56E8" w:rsidP="00320AF4">
      <w:pPr>
        <w:pStyle w:val="ListParagraph"/>
        <w:numPr>
          <w:ilvl w:val="0"/>
          <w:numId w:val="1"/>
        </w:numPr>
        <w:spacing w:line="360" w:lineRule="auto"/>
      </w:pPr>
      <w:r>
        <w:t>1. Responsiveness</w:t>
      </w:r>
    </w:p>
    <w:p w14:paraId="78613A2E" w14:textId="45EAECDF" w:rsidR="00D458D0" w:rsidRDefault="00664276" w:rsidP="00320AF4">
      <w:pPr>
        <w:pStyle w:val="ListParagraph"/>
        <w:numPr>
          <w:ilvl w:val="1"/>
          <w:numId w:val="1"/>
        </w:numPr>
        <w:spacing w:line="360" w:lineRule="auto"/>
      </w:pPr>
      <w:r>
        <w:t xml:space="preserve">It is established </w:t>
      </w:r>
      <w:r w:rsidR="00C7511A">
        <w:t xml:space="preserve">that institutional independence does not exclude the need for being responsive to a constituency </w:t>
      </w:r>
      <w:r w:rsidR="00210D37">
        <w:fldChar w:fldCharType="begin" w:fldLock="1"/>
      </w:r>
      <w:r w:rsidR="0018496F">
        <w:instrText>ADDIN CSL_CITATION {"citationItems":[{"id":"ITEM-1","itemData":{"DOI":"10.1111/ajps.12161","ISBN":"0092-5853","abstract":"The responsiveness of government agencies to elected officials is a central question in democratic governance. A key source of variation in responsiveness is agency structure. Yet scholars often view agencies as falling into broad structural categories (e.g., cabinet departments or independent commissions) or fixate on some features of design (e.g., for cause protections). I develop new estimates of structural independence based on new data on 50 different structural features of 321 federal agencies in the federal executive establishment. Using a Bayesian latent variable model, I estimate independence on two dimensions: limits on the appointment of key agency decision makers and limits on political review of agency policy. I illustrate the value of this new measure by using it to examine how structure affects political influence and how agency independence can vary over time.","author":[{"dropping-particle":"","family":"Selin","given":"Jennifer L","non-dropping-particle":"","parse-names":false,"suffix":""}],"container-title":"American Journal of Political Science","id":"ITEM-1","issue":"4","issued":{"date-parts":[["2015"]]},"language":"English","page":"971-987","title":"What Makes an Agency Independent?","type":"article-journal","volume":"59"},"uris":["http://www.mendeley.com/documents/?uuid=9c2bfebf-127e-4616-9427-33b0c5e703c9"]},{"id":"ITEM-2","itemData":{"ISBN":"0001-8368","abstract":"When Congress authorizes government agencies to regulate, do they? One of the key questions in the administrative law and political science literatures has been the extent to which Congress controls the agencies to whom it delegates enormous lawmaking power. However, few studies empirically examine agency responsiveness to congressional delegations. Using an original dataset that links federal statutes to rules produced by multiple federal government agencies over a forty year period, we provide a novel empirical analysis of agency regulatory responsiveness to congressional statutes. We find that agencies promulgate legally binding regulations in response to only 41% of statutory authorizations to regulate. We also find that Congress can increase the probability of agency action by designating a regulation as mandatory rather than as permissive and by using procedural tools such as deadlines. Even with the use of such tools, we conclude that agencies are, at best, imperfectly responsive to congressional delegations. The study thus raises critical questions for our understanding of political accountability and democratic governance.","author":[{"dropping-particle":"","family":"Yackee","given":"Jason Webb","non-dropping-particle":"","parse-names":false,"suffix":""},{"dropping-particle":"","family":"Yackee","given":"Susan Webb","non-dropping-particle":"","parse-names":false,"suffix":""}],"container-title":"Administrative Law Review","id":"ITEM-2","issue":"3","issued":{"date-parts":[["2016"]]},"language":"English","page":"395-443","title":"From Legislation to Regulation: An Empirical Examination of Agency Responsiveness to Congressional Delegations of Regulatory Authority","title-short":"From Legislation to Regulation","type":"article-journal","volume":"68"},"uris":["http://www.mendeley.com/documents/?uuid=36605c65-f452-4f45-a284-7df35269b0e1"]},{"id":"ITEM-3","itemData":{"ISBN":"0003-0554","abstract":"When policy arrangements appear to favor well-organized and wealthy interests, should we infer \"capture\" of the political process? In particular, might larger firms receive regulatory \"protection\" even when the regulatory agency is not captured by producers? I model regulatory approval-product approval, licensing, permitting and grant making-as a repeated optimal stopping problem faced by a learning regulator subject to variable political pressure. The model is general but stylistically applied to pharmaceutical regulation. Under the assumption that consumers are differentially organized, but producers are not, there nonetheless exist two forms of \"protection\" for larger, older producers. First, firms submitting more applications may expect quicker and more likely approvals, even in cases where their reputations for safety are below industry average. Second, \"early entrants\" to an exclusive market niche (disease) receive shorter expected approval times than later entrants, even when later entrants offer known quality improvements. The findings extend to cases of bounded rationality and a reduced form of endogenous firm submissions. The model shows that even interest-neutral \"consumer\" regulation can generate protectionist outcomes, and that commonly adduced evidence for capture is often observationally equivalent to evidence for other models of regulation.","author":[{"dropping-particle":"","family":"Carpenter","given":"Daniel P","non-dropping-particle":"","parse-names":false,"suffix":""}],"container-title":"The American Political Science Review","id":"ITEM-3","issue":"4","issued":{"date-parts":[["2004"]]},"page":"613-631","title":"Protection without Capture: Product Approval by a Politically Responsive, Learning Regulator","title-short":"Protection without Capture","type":"article-journal","volume":"98"},"uris":["http://www.mendeley.com/documents/?uuid=1e377d5b-98fa-477d-844e-a87d84ef6117"]}],"mendeley":{"formattedCitation":"(Selin 2015; Yackee and Yackee 2016; Carpenter 2004)","plainTextFormattedCitation":"(Selin 2015; Yackee and Yackee 2016; Carpenter 2004)","previouslyFormattedCitation":"(Selin 2015; Yackee and Yackee 2016; Carpenter 2004)"},"properties":{"noteIndex":0},"schema":"https://github.com/citation-style-language/schema/raw/master/csl-citation.json"}</w:instrText>
      </w:r>
      <w:r w:rsidR="00210D37">
        <w:fldChar w:fldCharType="separate"/>
      </w:r>
      <w:r w:rsidR="00210D37" w:rsidRPr="00210D37">
        <w:rPr>
          <w:noProof/>
        </w:rPr>
        <w:t>(Selin 2015; Yackee and Yackee 2016; Carpenter 2004)</w:t>
      </w:r>
      <w:r w:rsidR="00210D37">
        <w:fldChar w:fldCharType="end"/>
      </w:r>
      <w:r w:rsidR="00A26F14">
        <w:t>. However, it is debated to whom these agencies should be and are responsive</w:t>
      </w:r>
      <w:r w:rsidR="003D3B4B">
        <w:t xml:space="preserve"> to (i.e. politics, media, and/or public)</w:t>
      </w:r>
    </w:p>
    <w:p w14:paraId="637AF949" w14:textId="1E5DC74F" w:rsidR="002D56E8" w:rsidRDefault="002D56E8" w:rsidP="00320AF4">
      <w:pPr>
        <w:pStyle w:val="ListParagraph"/>
        <w:numPr>
          <w:ilvl w:val="0"/>
          <w:numId w:val="1"/>
        </w:numPr>
        <w:spacing w:line="360" w:lineRule="auto"/>
      </w:pPr>
      <w:r>
        <w:t>2. Transparency</w:t>
      </w:r>
    </w:p>
    <w:p w14:paraId="0EB3D3D4" w14:textId="024F5A1F" w:rsidR="003D3B4B" w:rsidRDefault="003D3B4B" w:rsidP="003D3B4B">
      <w:pPr>
        <w:pStyle w:val="ListParagraph"/>
        <w:numPr>
          <w:ilvl w:val="1"/>
          <w:numId w:val="1"/>
        </w:numPr>
        <w:spacing w:line="360" w:lineRule="auto"/>
      </w:pPr>
      <w:r>
        <w:t xml:space="preserve">EU agencies </w:t>
      </w:r>
      <w:proofErr w:type="gramStart"/>
      <w:r>
        <w:t>have to</w:t>
      </w:r>
      <w:proofErr w:type="gramEnd"/>
      <w:r>
        <w:t xml:space="preserve"> respond to certain transparency guidelines that </w:t>
      </w:r>
      <w:r w:rsidR="00337453">
        <w:t xml:space="preserve">the EU has set up. After studying specific agencies like </w:t>
      </w:r>
      <w:r w:rsidR="00EE1591">
        <w:t xml:space="preserve">EFSA and EMA it appears that on the outside (presentations and media releases) </w:t>
      </w:r>
      <w:r w:rsidR="00D51EE3">
        <w:t xml:space="preserve">these agencies stress that they want to be transparent and generally open about what they do. </w:t>
      </w:r>
    </w:p>
    <w:p w14:paraId="3940F875" w14:textId="51609DA6" w:rsidR="00D51EE3" w:rsidRDefault="007958BD" w:rsidP="003D3B4B">
      <w:pPr>
        <w:pStyle w:val="ListParagraph"/>
        <w:numPr>
          <w:ilvl w:val="1"/>
          <w:numId w:val="1"/>
        </w:numPr>
        <w:spacing w:line="360" w:lineRule="auto"/>
      </w:pPr>
      <w:r>
        <w:lastRenderedPageBreak/>
        <w:t xml:space="preserve">It is not clear how transparent these agencies </w:t>
      </w:r>
      <w:proofErr w:type="gramStart"/>
      <w:r>
        <w:t>actually are</w:t>
      </w:r>
      <w:proofErr w:type="gramEnd"/>
      <w:r>
        <w:t xml:space="preserve">. Some authors question that EU agencies in particular are transparent to the public but instead </w:t>
      </w:r>
      <w:r w:rsidR="00373912">
        <w:t xml:space="preserve">focus on being transparent only towards a select group of organizations and institutions to which they </w:t>
      </w:r>
      <w:r w:rsidR="0018496F">
        <w:t xml:space="preserve">have a mutual working relation </w:t>
      </w:r>
      <w:r w:rsidR="0018496F">
        <w:fldChar w:fldCharType="begin" w:fldLock="1"/>
      </w:r>
      <w:r w:rsidR="00D65710">
        <w:instrText>ADDIN CSL_CITATION {"citationItems":[{"id":"ITEM-1","itemData":{"ISBN":"1845422678","abstract":"The politics of regulation in the European Union / Paul Magnette -- Regulation of liberalised markets : a new role for the state? (or how to induce competition among regulators) / Phedon Nicolaides -- Independent regulatory agencies and elected politicians in Europe / Mark Thatcher -- Agencies for European regulatory governance : a regimes approach / Colin Scott -- Delegation to EU non-majoritarian agencies and emerging practices of public accountability / Deirdre Curtin -- Independence, accountability and transparency of European regulatory agencies / Ellen Vos -- Good governance and European agencies : the balance / Michelle Everson -- Coordination of European and member state regulatory policy : horizontal, vertical and transversal aspects / Pierre Larouche -- The proliferation of national regulatory authorities alongside competition authorities : a source of jurisdictional confusion? / Nicolas Petit -- The development of European regulatory agencies : lessons from the American experience / Damien Geradin -- Regulation and globalization : interactions between international standard-setting agencies and the European Union / Jan Wouters and Sten Verhoeven.","author":[{"dropping-particle":"","family":"Geradin","given":"Damien.","non-dropping-particle":"","parse-names":false,"suffix":""},{"dropping-particle":"","family":"Muñoz","given":"Rodolphe","non-dropping-particle":"","parse-names":false,"suffix":""},{"dropping-particle":"","family":"Petit","given":"Nicolas","non-dropping-particle":"","parse-names":false,"suffix":""}],"id":"ITEM-1","issued":{"date-parts":[["2005"]]},"number-of-pages":"280","publisher":"Edward Elgar","title":"Regulation through agencies in the EU : a new paradigm of European governance","type":"book"},"uris":["http://www.mendeley.com/documents/?uuid=138b1f37-1063-392b-bfba-c83b4c8a0a8e"]}],"mendeley":{"formattedCitation":"(Geradin et al. 2005)","plainTextFormattedCitation":"(Geradin et al. 2005)","previouslyFormattedCitation":"(Geradin et al. 2005)"},"properties":{"noteIndex":0},"schema":"https://github.com/citation-style-language/schema/raw/master/csl-citation.json"}</w:instrText>
      </w:r>
      <w:r w:rsidR="0018496F">
        <w:fldChar w:fldCharType="separate"/>
      </w:r>
      <w:r w:rsidR="0018496F" w:rsidRPr="0018496F">
        <w:rPr>
          <w:noProof/>
        </w:rPr>
        <w:t>(Geradin et al. 2005)</w:t>
      </w:r>
      <w:r w:rsidR="0018496F">
        <w:fldChar w:fldCharType="end"/>
      </w:r>
    </w:p>
    <w:p w14:paraId="1E2FC39D" w14:textId="57935F0E" w:rsidR="002D56E8" w:rsidRDefault="002D56E8" w:rsidP="00320AF4">
      <w:pPr>
        <w:pStyle w:val="ListParagraph"/>
        <w:numPr>
          <w:ilvl w:val="0"/>
          <w:numId w:val="1"/>
        </w:numPr>
        <w:spacing w:line="360" w:lineRule="auto"/>
      </w:pPr>
      <w:r>
        <w:t>3. Accountability &lt;- not the focus of this paper</w:t>
      </w:r>
      <w:r w:rsidR="00860A3F">
        <w:t>, but might be relevant</w:t>
      </w:r>
    </w:p>
    <w:p w14:paraId="58666AB8" w14:textId="77777777" w:rsidR="007C6193" w:rsidRDefault="001B7D5B" w:rsidP="007C6193">
      <w:pPr>
        <w:spacing w:line="360" w:lineRule="auto"/>
      </w:pPr>
      <w:r>
        <w:t xml:space="preserve">Data: </w:t>
      </w:r>
    </w:p>
    <w:p w14:paraId="0311EA4D" w14:textId="56DAE233" w:rsidR="00A80689" w:rsidRDefault="00813AC8" w:rsidP="007C6193">
      <w:pPr>
        <w:spacing w:line="360" w:lineRule="auto"/>
      </w:pPr>
      <w:r>
        <w:t xml:space="preserve">This research is based on an extensive dataset </w:t>
      </w:r>
      <w:r w:rsidR="0006294E">
        <w:t>collected via the Twitter APIs</w:t>
      </w:r>
      <w:r w:rsidR="00C76CC2">
        <w:t xml:space="preserve">. </w:t>
      </w:r>
      <w:r w:rsidR="00724296">
        <w:t xml:space="preserve">Firstly, all Twitter accounts of EU agencies </w:t>
      </w:r>
      <w:r w:rsidR="00850185">
        <w:t xml:space="preserve">that were officially endorsed by the EU </w:t>
      </w:r>
      <w:r w:rsidR="00A80689">
        <w:t xml:space="preserve">(N = 29) </w:t>
      </w:r>
      <w:r w:rsidR="00850185">
        <w:t xml:space="preserve">were scraped from the EU website </w:t>
      </w:r>
      <w:r w:rsidR="00A80689">
        <w:fldChar w:fldCharType="begin" w:fldLock="1"/>
      </w:r>
      <w:r w:rsidR="00A80689">
        <w:instrText>ADDIN CSL_CITATION {"citationItems":[{"id":"ITEM-1","itemData":{"URL":"https://europa.eu/european-union/contact/social-networks_en","accessed":{"date-parts":[["2018","12","12"]]},"author":[{"dropping-particle":"","family":"European Union","given":"","non-dropping-particle":"","parse-names":false,"suffix":""}],"id":"ITEM-1","issued":{"date-parts":[["2018"]]},"title":"Social networks| European Union","type":"webpage"},"uris":["http://www.mendeley.com/documents/?uuid=9ec6d3e1-27ff-3285-bd2f-9b3c30dfd43f"]}],"mendeley":{"formattedCitation":"(European Union 2018)","plainTextFormattedCitation":"(European Union 2018)"},"properties":{"noteIndex":0},"schema":"https://github.com/citation-style-language/schema/raw/master/csl-citation.json"}</w:instrText>
      </w:r>
      <w:r w:rsidR="00A80689">
        <w:fldChar w:fldCharType="separate"/>
      </w:r>
      <w:r w:rsidR="00A80689" w:rsidRPr="00A80689">
        <w:rPr>
          <w:noProof/>
        </w:rPr>
        <w:t>(European Union 2018)</w:t>
      </w:r>
      <w:r w:rsidR="00A80689">
        <w:fldChar w:fldCharType="end"/>
      </w:r>
      <w:r w:rsidR="000F5DF0">
        <w:t xml:space="preserve">. Their Twitter handles were used to download the account information of all followers of these agencies </w:t>
      </w:r>
      <w:r w:rsidR="00485A94">
        <w:t xml:space="preserve">(N = </w:t>
      </w:r>
      <w:r w:rsidR="00485A94" w:rsidRPr="00485A94">
        <w:rPr>
          <w:highlight w:val="yellow"/>
        </w:rPr>
        <w:t>XXX</w:t>
      </w:r>
      <w:r w:rsidR="00691386" w:rsidRPr="00691386">
        <w:t>,</w:t>
      </w:r>
      <w:r w:rsidR="00691386">
        <w:t xml:space="preserve"> from now on called “follower database”</w:t>
      </w:r>
      <w:r w:rsidR="00485A94" w:rsidRPr="00485A94">
        <w:t>)</w:t>
      </w:r>
      <w:r w:rsidR="00691386">
        <w:t xml:space="preserve">. This account information consists of information such as number of friends and followers, </w:t>
      </w:r>
      <w:r w:rsidR="009A3510">
        <w:t xml:space="preserve">tweets, likes, account description, and name. Furthermore, </w:t>
      </w:r>
      <w:r w:rsidR="00BC375E">
        <w:t>I downloaded the recent 3200 tweets of each agency, resulting in XXX</w:t>
      </w:r>
      <w:r w:rsidR="00545227">
        <w:t xml:space="preserve"> individual tweets.</w:t>
      </w:r>
      <w:r w:rsidR="00FF4FF0">
        <w:rPr>
          <w:rStyle w:val="FootnoteReference"/>
        </w:rPr>
        <w:footnoteReference w:id="3"/>
      </w:r>
      <w:r w:rsidR="00545227">
        <w:t xml:space="preserve"> </w:t>
      </w:r>
      <w:r w:rsidR="00FF4FF0">
        <w:t xml:space="preserve">For each tweet, </w:t>
      </w:r>
    </w:p>
    <w:p w14:paraId="47427421" w14:textId="77777777" w:rsidR="00A80689" w:rsidRDefault="00A80689" w:rsidP="007C6193">
      <w:pPr>
        <w:spacing w:line="360" w:lineRule="auto"/>
      </w:pPr>
    </w:p>
    <w:p w14:paraId="20F4F2C2" w14:textId="61564FDB" w:rsidR="001B7D5B" w:rsidRDefault="000B4220" w:rsidP="007C6193">
      <w:pPr>
        <w:spacing w:line="360" w:lineRule="auto"/>
      </w:pPr>
      <w:r>
        <w:t>Collected last 3200 Tweets of all EU agencies active on Twitter (n=13)</w:t>
      </w:r>
    </w:p>
    <w:p w14:paraId="01F6F7BD" w14:textId="16D33DE6" w:rsidR="000B4220" w:rsidRDefault="000B4220" w:rsidP="00320AF4">
      <w:pPr>
        <w:pStyle w:val="ListParagraph"/>
        <w:numPr>
          <w:ilvl w:val="0"/>
          <w:numId w:val="1"/>
        </w:numPr>
        <w:spacing w:line="360" w:lineRule="auto"/>
      </w:pPr>
      <w:r>
        <w:t xml:space="preserve">Collected account information of </w:t>
      </w:r>
      <w:r w:rsidR="00607066">
        <w:t>followers of these agencies</w:t>
      </w:r>
    </w:p>
    <w:p w14:paraId="40FA51A2" w14:textId="526BA3EB" w:rsidR="00607066" w:rsidRDefault="00C45566" w:rsidP="00320AF4">
      <w:pPr>
        <w:pStyle w:val="ListParagraph"/>
        <w:numPr>
          <w:ilvl w:val="0"/>
          <w:numId w:val="1"/>
        </w:numPr>
        <w:spacing w:line="360" w:lineRule="auto"/>
      </w:pPr>
      <w:r>
        <w:t>(</w:t>
      </w:r>
      <w:proofErr w:type="spellStart"/>
      <w:r>
        <w:t>tbd</w:t>
      </w:r>
      <w:proofErr w:type="spellEnd"/>
      <w:r>
        <w:t>) used Twitter firehose to collect tweets directed at the agencies</w:t>
      </w:r>
    </w:p>
    <w:p w14:paraId="067C52DB" w14:textId="68409E83" w:rsidR="004463DD" w:rsidRDefault="003A3342" w:rsidP="00320AF4">
      <w:pPr>
        <w:spacing w:line="360" w:lineRule="auto"/>
      </w:pPr>
      <w:r>
        <w:t>Hypotheses:</w:t>
      </w:r>
    </w:p>
    <w:p w14:paraId="7D2C04B2" w14:textId="16FB93E0" w:rsidR="00DA482D" w:rsidRDefault="003A3342" w:rsidP="00320AF4">
      <w:pPr>
        <w:spacing w:line="360" w:lineRule="auto"/>
        <w:rPr>
          <w:i/>
        </w:rPr>
      </w:pPr>
      <w:r w:rsidRPr="003A3342">
        <w:rPr>
          <w:i/>
        </w:rPr>
        <w:t xml:space="preserve">H1: </w:t>
      </w:r>
      <w:r>
        <w:rPr>
          <w:i/>
        </w:rPr>
        <w:t xml:space="preserve">Regulatory agencies </w:t>
      </w:r>
      <w:r w:rsidR="00923F07">
        <w:rPr>
          <w:i/>
        </w:rPr>
        <w:t xml:space="preserve">use Twitter as a platform for broadcasting rather than engagement </w:t>
      </w:r>
    </w:p>
    <w:p w14:paraId="5288EB47" w14:textId="4C64A34F" w:rsidR="00873E88" w:rsidRDefault="00923F07" w:rsidP="00320AF4">
      <w:pPr>
        <w:spacing w:line="360" w:lineRule="auto"/>
        <w:rPr>
          <w:i/>
        </w:rPr>
      </w:pPr>
      <w:r>
        <w:rPr>
          <w:i/>
        </w:rPr>
        <w:t xml:space="preserve">H2: The </w:t>
      </w:r>
      <w:r w:rsidR="00873E88">
        <w:rPr>
          <w:i/>
        </w:rPr>
        <w:t>Twitter audience of Twitter accounts of EU agencies is mainly composed of private citizens with an interest in certain regulation</w:t>
      </w:r>
      <w:r w:rsidR="00893D11">
        <w:rPr>
          <w:i/>
        </w:rPr>
        <w:t xml:space="preserve">, with smaller numbers of professionals and </w:t>
      </w:r>
      <w:r w:rsidR="00DA482D">
        <w:rPr>
          <w:i/>
        </w:rPr>
        <w:t>organizations</w:t>
      </w:r>
    </w:p>
    <w:p w14:paraId="4BD9EA9C" w14:textId="7EE619EA" w:rsidR="00DA482D" w:rsidRPr="003A3342" w:rsidRDefault="00DA482D" w:rsidP="00320AF4">
      <w:pPr>
        <w:spacing w:line="360" w:lineRule="auto"/>
        <w:rPr>
          <w:i/>
        </w:rPr>
      </w:pPr>
      <w:r>
        <w:rPr>
          <w:i/>
        </w:rPr>
        <w:t xml:space="preserve">H3: Agencies </w:t>
      </w:r>
      <w:r w:rsidR="00860A3F">
        <w:rPr>
          <w:i/>
        </w:rPr>
        <w:t xml:space="preserve">mainly </w:t>
      </w:r>
      <w:r>
        <w:rPr>
          <w:i/>
        </w:rPr>
        <w:t xml:space="preserve">rely on each other, because they </w:t>
      </w:r>
      <w:r w:rsidR="00565746">
        <w:rPr>
          <w:i/>
        </w:rPr>
        <w:t>spread news of each other via retweets within their distinct networks</w:t>
      </w:r>
    </w:p>
    <w:p w14:paraId="0E6318CF" w14:textId="0CE20838" w:rsidR="004463DD" w:rsidRDefault="004463DD" w:rsidP="00320AF4">
      <w:pPr>
        <w:spacing w:line="360" w:lineRule="auto"/>
      </w:pPr>
      <w:r>
        <w:t xml:space="preserve">Methodology: </w:t>
      </w:r>
    </w:p>
    <w:p w14:paraId="20E36F94" w14:textId="6DB743DA" w:rsidR="00511E40" w:rsidRDefault="00511E40" w:rsidP="00320AF4">
      <w:pPr>
        <w:pStyle w:val="ListParagraph"/>
        <w:numPr>
          <w:ilvl w:val="0"/>
          <w:numId w:val="1"/>
        </w:numPr>
        <w:spacing w:line="360" w:lineRule="auto"/>
      </w:pPr>
      <w:r>
        <w:lastRenderedPageBreak/>
        <w:t>Machine Learning Part I:</w:t>
      </w:r>
    </w:p>
    <w:p w14:paraId="5661F973" w14:textId="09807A06" w:rsidR="004463DD" w:rsidRDefault="004463DD" w:rsidP="00320AF4">
      <w:pPr>
        <w:pStyle w:val="ListParagraph"/>
        <w:numPr>
          <w:ilvl w:val="1"/>
          <w:numId w:val="1"/>
        </w:numPr>
        <w:spacing w:line="360" w:lineRule="auto"/>
      </w:pPr>
      <w:r>
        <w:t xml:space="preserve">Code </w:t>
      </w:r>
      <w:r w:rsidR="00163C8E">
        <w:t xml:space="preserve">sample of </w:t>
      </w:r>
      <w:r>
        <w:t xml:space="preserve">Tweets according to if they are engaging or broadcasting (like </w:t>
      </w:r>
      <w:proofErr w:type="spellStart"/>
      <w:r>
        <w:t>Barbera</w:t>
      </w:r>
      <w:proofErr w:type="spellEnd"/>
      <w:r>
        <w:t xml:space="preserve"> at al.</w:t>
      </w:r>
      <w:r w:rsidR="003A3342">
        <w:t xml:space="preserve"> 2015</w:t>
      </w:r>
      <w:r>
        <w:t>)</w:t>
      </w:r>
    </w:p>
    <w:p w14:paraId="6360DA6E" w14:textId="0A30A2A2" w:rsidR="00163C8E" w:rsidRDefault="00511E40" w:rsidP="00320AF4">
      <w:pPr>
        <w:pStyle w:val="ListParagraph"/>
        <w:numPr>
          <w:ilvl w:val="1"/>
          <w:numId w:val="1"/>
        </w:numPr>
        <w:spacing w:line="360" w:lineRule="auto"/>
      </w:pPr>
      <w:r>
        <w:t xml:space="preserve">Use machine learning to classify tweets of the agencies </w:t>
      </w:r>
      <w:r w:rsidR="003F4F4C">
        <w:t>depending on their content</w:t>
      </w:r>
    </w:p>
    <w:p w14:paraId="2C9E63B9" w14:textId="3892FA69" w:rsidR="003F4F4C" w:rsidRDefault="003F4F4C" w:rsidP="00320AF4">
      <w:pPr>
        <w:pStyle w:val="ListParagraph"/>
        <w:numPr>
          <w:ilvl w:val="0"/>
          <w:numId w:val="1"/>
        </w:numPr>
        <w:spacing w:line="360" w:lineRule="auto"/>
      </w:pPr>
      <w:r>
        <w:t>Machine Learning Part II:</w:t>
      </w:r>
    </w:p>
    <w:p w14:paraId="799D6249" w14:textId="1FBA82CA" w:rsidR="003F4F4C" w:rsidRDefault="003F4F4C" w:rsidP="00320AF4">
      <w:pPr>
        <w:pStyle w:val="ListParagraph"/>
        <w:numPr>
          <w:ilvl w:val="1"/>
          <w:numId w:val="1"/>
        </w:numPr>
        <w:spacing w:line="360" w:lineRule="auto"/>
      </w:pPr>
      <w:r>
        <w:t xml:space="preserve">Code description (and potentially more information) based on </w:t>
      </w:r>
      <w:r w:rsidR="003772AE">
        <w:t>if they belong to a certain citizen or organization group</w:t>
      </w:r>
    </w:p>
    <w:p w14:paraId="5C03E5A2" w14:textId="7EE2BF7C" w:rsidR="003772AE" w:rsidRDefault="003772AE" w:rsidP="00320AF4">
      <w:pPr>
        <w:pStyle w:val="ListParagraph"/>
        <w:numPr>
          <w:ilvl w:val="1"/>
          <w:numId w:val="1"/>
        </w:numPr>
        <w:spacing w:line="360" w:lineRule="auto"/>
      </w:pPr>
      <w:r>
        <w:t>Use machine learning to classify accounts of followers</w:t>
      </w:r>
    </w:p>
    <w:p w14:paraId="5BD8F999" w14:textId="525AD89E" w:rsidR="00964DA9" w:rsidRDefault="00BF0AF4" w:rsidP="00320AF4">
      <w:pPr>
        <w:pStyle w:val="ListParagraph"/>
        <w:numPr>
          <w:ilvl w:val="0"/>
          <w:numId w:val="1"/>
        </w:numPr>
        <w:spacing w:line="360" w:lineRule="auto"/>
      </w:pPr>
      <w:r>
        <w:t>Social Network analysis:</w:t>
      </w:r>
    </w:p>
    <w:p w14:paraId="3C517EDF" w14:textId="570C6737" w:rsidR="00CC495F" w:rsidRDefault="00BF0AF4" w:rsidP="00DA482D">
      <w:pPr>
        <w:pStyle w:val="ListParagraph"/>
        <w:numPr>
          <w:ilvl w:val="1"/>
          <w:numId w:val="1"/>
        </w:numPr>
        <w:spacing w:line="360" w:lineRule="auto"/>
      </w:pPr>
      <w:r>
        <w:t>Detect communities amongst followers</w:t>
      </w:r>
    </w:p>
    <w:p w14:paraId="11E0855F" w14:textId="2EC8E4B2" w:rsidR="00DA482D" w:rsidRDefault="00DA482D" w:rsidP="00DA482D">
      <w:pPr>
        <w:pStyle w:val="ListParagraph"/>
        <w:numPr>
          <w:ilvl w:val="1"/>
          <w:numId w:val="1"/>
        </w:numPr>
        <w:spacing w:line="360" w:lineRule="auto"/>
      </w:pPr>
      <w:r>
        <w:t xml:space="preserve">Who is at the </w:t>
      </w:r>
      <w:r w:rsidR="00565746">
        <w:t xml:space="preserve">core of </w:t>
      </w:r>
      <w:r w:rsidR="00B37841">
        <w:t xml:space="preserve">the group of followers (i.e. who follows more than 2 agencies?) </w:t>
      </w:r>
    </w:p>
    <w:p w14:paraId="56AD3F8A" w14:textId="0B3BDAB8" w:rsidR="000B4220" w:rsidRDefault="0005779C" w:rsidP="00320AF4">
      <w:pPr>
        <w:spacing w:line="360" w:lineRule="auto"/>
      </w:pPr>
      <w:r>
        <w:t xml:space="preserve">DUMP: </w:t>
      </w:r>
    </w:p>
    <w:p w14:paraId="1E4D7997" w14:textId="77777777" w:rsidR="0005779C" w:rsidRDefault="0005779C" w:rsidP="0005779C">
      <w:pPr>
        <w:spacing w:line="360" w:lineRule="auto"/>
      </w:pPr>
      <w:r>
        <w:t xml:space="preserve">During the last decades, regulatory policymaking in most European countries has been critiqued by academics, journalists, and the public for not representing the best interest of the citizens. Until the 1960s the dominating view has been that regulation is designed to maximize the wellbeing of private citizens (public interest theory). This theory was increasingly questioned (amongst others by eventual Nobel laureates Buchanan, Stigler, Becker, Smith, and Ostrom) and eventually, public choice theory was developed to offer a contrasting view on interest representation in policymaking. Stigler </w:t>
      </w:r>
      <w:r>
        <w:fldChar w:fldCharType="begin" w:fldLock="1"/>
      </w:r>
      <w:r>
        <w:instrText>ADDIN CSL_CITATION {"citationItems":[{"id":"ITEM-1","itemData":{"DOI":"10.2307/3003160","ISBN":"0005-8556","abstract":"The potential uses of public resources and powers to improve the economic status of economic groups (such as industries and occupations) are analyzed to provide a scheme of the demand for regulation. The characteristics of the political process which allow relatively small groups to obtain such regulation is then sketched to provide elements of a theory of supply of regulation. A variety of empirical evidence and illustration is also presented.","author":[{"dropping-particle":"","family":"Stigler","given":"George J","non-dropping-particle":"","parse-names":false,"suffix":""}],"container-title":"The Bell Journal of Economics and Management Science","id":"ITEM-1","issue":"1","issued":{"date-parts":[["1971"]]},"page":"3-21","title":"The Theory of Economic Regulation","type":"article-journal","volume":"2"},"uris":["http://www.mendeley.com/documents/?uuid=3b1e0508-a022-4e65-845c-7ccf78c0606b"]}],"mendeley":{"formattedCitation":"(Stigler 1971)","manualFormatting":"(1971)","plainTextFormattedCitation":"(Stigler 1971)","previouslyFormattedCitation":"(Stigler 1971)"},"properties":{"noteIndex":0},"schema":"https://github.com/citation-style-language/schema/raw/master/csl-citation.json"}</w:instrText>
      </w:r>
      <w:r>
        <w:fldChar w:fldCharType="separate"/>
      </w:r>
      <w:r w:rsidRPr="00D65710">
        <w:rPr>
          <w:noProof/>
        </w:rPr>
        <w:t>(1971)</w:t>
      </w:r>
      <w:r>
        <w:fldChar w:fldCharType="end"/>
      </w:r>
      <w:r>
        <w:t xml:space="preserve"> argues that regulation is not designed and implemented in a vacuum, but is instead created in an environment of competing (public and private) interests. In designing and implementing regulations, the state holds a powerful instrument to either advantage or disadvantage certain groups within society, particularly certain industries. As Stigler argues, the parties that are the target of the regulation tend to be most interested in influencing said regulation. He thereby theorized that it is not the public good that is the main aim of regulation, but “[…] as a rule, regulation is acquired by the industry and is designed and operated primarily for its benefits” (p.3). </w:t>
      </w:r>
    </w:p>
    <w:p w14:paraId="12428DFA" w14:textId="77777777" w:rsidR="0005779C" w:rsidRPr="009A67BB" w:rsidRDefault="0005779C" w:rsidP="00320AF4">
      <w:pPr>
        <w:spacing w:line="360" w:lineRule="auto"/>
      </w:pPr>
    </w:p>
    <w:sectPr w:rsidR="0005779C" w:rsidRPr="009A67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BD00D" w14:textId="77777777" w:rsidR="00CB1F5E" w:rsidRDefault="00CB1F5E" w:rsidP="00A70CFC">
      <w:pPr>
        <w:spacing w:after="0" w:line="240" w:lineRule="auto"/>
      </w:pPr>
      <w:r>
        <w:separator/>
      </w:r>
    </w:p>
  </w:endnote>
  <w:endnote w:type="continuationSeparator" w:id="0">
    <w:p w14:paraId="1BD0C5C2" w14:textId="77777777" w:rsidR="00CB1F5E" w:rsidRDefault="00CB1F5E" w:rsidP="00A70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0342A" w14:textId="77777777" w:rsidR="00CB1F5E" w:rsidRDefault="00CB1F5E" w:rsidP="00A70CFC">
      <w:pPr>
        <w:spacing w:after="0" w:line="240" w:lineRule="auto"/>
      </w:pPr>
      <w:r>
        <w:separator/>
      </w:r>
    </w:p>
  </w:footnote>
  <w:footnote w:type="continuationSeparator" w:id="0">
    <w:p w14:paraId="09E4E95C" w14:textId="77777777" w:rsidR="00CB1F5E" w:rsidRDefault="00CB1F5E" w:rsidP="00A70CFC">
      <w:pPr>
        <w:spacing w:after="0" w:line="240" w:lineRule="auto"/>
      </w:pPr>
      <w:r>
        <w:continuationSeparator/>
      </w:r>
    </w:p>
  </w:footnote>
  <w:footnote w:id="1">
    <w:p w14:paraId="27DEB5CB" w14:textId="694C5C0D" w:rsidR="00A70CFC" w:rsidRPr="009A6844" w:rsidRDefault="00A70CFC">
      <w:pPr>
        <w:pStyle w:val="FootnoteText"/>
      </w:pPr>
      <w:r>
        <w:rPr>
          <w:rStyle w:val="FootnoteReference"/>
        </w:rPr>
        <w:footnoteRef/>
      </w:r>
      <w:r>
        <w:t xml:space="preserve"> </w:t>
      </w:r>
      <w:r w:rsidR="00254A78">
        <w:t xml:space="preserve">E.g. </w:t>
      </w:r>
      <w:r w:rsidR="009A6844">
        <w:t>‘</w:t>
      </w:r>
      <w:proofErr w:type="spellStart"/>
      <w:r w:rsidR="009A6844" w:rsidRPr="007F0AFF">
        <w:rPr>
          <w:i/>
        </w:rPr>
        <w:t>interactieve</w:t>
      </w:r>
      <w:proofErr w:type="spellEnd"/>
      <w:r w:rsidR="009A6844" w:rsidRPr="007F0AFF">
        <w:rPr>
          <w:i/>
        </w:rPr>
        <w:t xml:space="preserve"> </w:t>
      </w:r>
      <w:proofErr w:type="spellStart"/>
      <w:r w:rsidR="009A6844" w:rsidRPr="007F0AFF">
        <w:rPr>
          <w:i/>
        </w:rPr>
        <w:t>beleidsvoorbereiding</w:t>
      </w:r>
      <w:proofErr w:type="spellEnd"/>
      <w:r w:rsidR="009A6844">
        <w:t xml:space="preserve">’ in the Netherlands: A forum in which citizens and local policymakers discuss possible regulations in the early stage of the policymaking process, see </w:t>
      </w:r>
      <w:r w:rsidR="009A6844">
        <w:fldChar w:fldCharType="begin" w:fldLock="1"/>
      </w:r>
      <w:r w:rsidR="003F1170">
        <w:instrText>ADDIN CSL_CITATION {"citationItems":[{"id":"ITEM-1","itemData":{"author":[{"dropping-particle":"","family":"Hoogerwerf","given":"A.","non-dropping-particle":"","parse-names":false,"suffix":""},{"dropping-particle":"","family":"Herweijer","given":"M.","non-dropping-particle":"","parse-names":false,"suffix":""}],"id":"ITEM-1","issued":{"date-parts":[["2014"]]},"publisher":"Kluwer","publisher-place":"Alphen aan de Rijn","title":"Overheidsbeleid: Een inleiding in de beleidswetenschap","type":"book"},"uris":["http://www.mendeley.com/documents/?uuid=69d8a5aa-8115-458f-a7c8-7f3ef464170f"]}],"mendeley":{"formattedCitation":"(Hoogerwerf and Herweijer 2014)","manualFormatting":"Hoogerwerf and Herweijer 2014","plainTextFormattedCitation":"(Hoogerwerf and Herweijer 2014)","previouslyFormattedCitation":"(Hoogerwerf and Herweijer 2014)"},"properties":{"noteIndex":0},"schema":"https://github.com/citation-style-language/schema/raw/master/csl-citation.json"}</w:instrText>
      </w:r>
      <w:r w:rsidR="009A6844">
        <w:fldChar w:fldCharType="separate"/>
      </w:r>
      <w:r w:rsidR="009A6844" w:rsidRPr="00112CBA">
        <w:rPr>
          <w:noProof/>
        </w:rPr>
        <w:t>Hoogerwerf and Herweijer 2014</w:t>
      </w:r>
      <w:r w:rsidR="009A6844">
        <w:fldChar w:fldCharType="end"/>
      </w:r>
      <w:r w:rsidR="006629A2">
        <w:fldChar w:fldCharType="begin" w:fldLock="1"/>
      </w:r>
      <w:r w:rsidR="006629A2">
        <w:instrText>ADDIN CSL_CITATION {"citationItems":[{"id":"ITEM-1","itemData":{"DOI":"10.1177/1461444815616221","ISBN":"0816629145","ISSN":"14617315","PMID":"25246403","abstract":"This meta-analytic study reviews empirical research published from 2007 to 2013 with an aim of providing robust conclusions about the relationship between social media use and citizen engagement. It includes 22 studies that used self-reported measures of social media use and participation, with a total of 116 relationships/effects. The results suggest that social media use generally has a positive relationship with engagement and its three sub-categories, that is, social capital, civic engagement, and political participation. More specifically, we find small-to-medium size positive relationships between expressive, informational, and relational uses of social media and the above indicators of citizen engagement. For identity- and entertainment-oriented uses of social media, our analyses find little evidence supporting their relationship with citizen engagement. Keywords","author":[{"dropping-particle":"","family":"Skoric","given":"Marko M","non-dropping-particle":"","parse-names":false,"suffix":""},{"dropping-particle":"","family":"Zhu","given":"Qinfeng","non-dropping-particle":"","parse-names":false,"suffix":""},{"dropping-particle":"","family":"Goh","given":"Debbie","non-dropping-particle":"","parse-names":false,"suffix":""},{"dropping-particle":"","family":"Pang","given":"Natalie","non-dropping-particle":"","parse-names":false,"suffix":""}],"container-title":"New Media and Society","id":"ITEM-1","issue":"9","issued":{"date-parts":[["2016"]]},"page":"1817-1839","title":"Social media and citizen engagement: A meta-analytic review","type":"article-journal","volume":"18"},"uris":["http://www.mendeley.com/documents/?uuid=a8dd44d1-aebb-31f0-8bf0-9eb7f83a5f40"]}],"mendeley":{"formattedCitation":"(Skoric et al. 2016)","manualFormatting":", Skoric et al. 2016)","plainTextFormattedCitation":"(Skoric et al. 2016)","previouslyFormattedCitation":"(Skoric et al. 2016)"},"properties":{"noteIndex":0},"schema":"https://github.com/citation-style-language/schema/raw/master/csl-citation.json"}</w:instrText>
      </w:r>
      <w:r w:rsidR="006629A2">
        <w:fldChar w:fldCharType="separate"/>
      </w:r>
      <w:r w:rsidR="006629A2">
        <w:rPr>
          <w:noProof/>
        </w:rPr>
        <w:t xml:space="preserve">, </w:t>
      </w:r>
      <w:r w:rsidR="006629A2" w:rsidRPr="00CF0B0C">
        <w:rPr>
          <w:noProof/>
        </w:rPr>
        <w:t>Skoric et al. 2016)</w:t>
      </w:r>
      <w:r w:rsidR="006629A2">
        <w:fldChar w:fldCharType="end"/>
      </w:r>
    </w:p>
  </w:footnote>
  <w:footnote w:id="2">
    <w:p w14:paraId="6B0D9F69" w14:textId="7D431126" w:rsidR="00D23479" w:rsidRPr="00D23479" w:rsidRDefault="00D23479">
      <w:pPr>
        <w:pStyle w:val="FootnoteText"/>
      </w:pPr>
      <w:r>
        <w:rPr>
          <w:rStyle w:val="FootnoteReference"/>
        </w:rPr>
        <w:footnoteRef/>
      </w:r>
      <w:r>
        <w:t xml:space="preserve"> E.g. making them co-designers of policies, see </w:t>
      </w:r>
      <w:r>
        <w:fldChar w:fldCharType="begin" w:fldLock="1"/>
      </w:r>
      <w:r w:rsidR="00BC5EDC">
        <w:instrText>ADDIN CSL_CITATION {"citationItems":[{"id":"ITEM-1","itemData":{"DOI":"10.2307/j.ctt1t89d4k.20","author":[{"dropping-particle":"","family":"Evans","given":"Mark","non-dropping-particle":"","parse-names":false,"suffix":""},{"dropping-particle":"","family":"Terrey","given":"Nina","non-dropping-particle":"","parse-names":false,"suffix":""}],"container-title":"Evidence-based policy making in the social sciences","id":"ITEM-1","issued":{"date-parts":[["2016"]]},"page":"243-262","publisher":"Bristol University Press","publisher-place":"Bristol","title":"Co-design with citizens and stakeholders","type":"chapter"},"uris":["http://www.mendeley.com/documents/?uuid=ae4885ec-5658-4913-98df-12ec8de3b028"]},{"id":"ITEM-2","itemData":{"DOI":"10.1111/j.1540-6210.2006.00667.x","ISSN":"0033-3352, 1540-6210","author":[{"dropping-particle":"","family":"Fung","given":"Archon","non-dropping-particle":"","parse-names":false,"suffix":""}],"container-title":"Public Administration Review","id":"ITEM-2","issue":"s1","issued":{"date-parts":[["2006"]]},"page":"66-75","publisher":"Collaborative Public Management","title":"Varieties of Participation in Complex Governance","type":"article-journal","volume":"66"},"uris":["http://www.mendeley.com/documents/?uuid=2bc7d3a4-6832-3ca6-976c-9d36c18ade1d"]}],"mendeley":{"formattedCitation":"(Evans and Terrey 2016; Fung 2006)","plainTextFormattedCitation":"(Evans and Terrey 2016; Fung 2006)","previouslyFormattedCitation":"(Evans and Terrey 2016; Fung 2006)"},"properties":{"noteIndex":0},"schema":"https://github.com/citation-style-language/schema/raw/master/csl-citation.json"}</w:instrText>
      </w:r>
      <w:r>
        <w:fldChar w:fldCharType="separate"/>
      </w:r>
      <w:r w:rsidR="006629A2" w:rsidRPr="006629A2">
        <w:rPr>
          <w:noProof/>
        </w:rPr>
        <w:t>(Evans and Terrey 2016; Fung 2006)</w:t>
      </w:r>
      <w:r>
        <w:fldChar w:fldCharType="end"/>
      </w:r>
    </w:p>
  </w:footnote>
  <w:footnote w:id="3">
    <w:p w14:paraId="262494D9" w14:textId="4067016E" w:rsidR="00FF4FF0" w:rsidRDefault="00FF4FF0">
      <w:pPr>
        <w:pStyle w:val="FootnoteText"/>
      </w:pPr>
      <w:r>
        <w:rPr>
          <w:rStyle w:val="FootnoteReference"/>
        </w:rPr>
        <w:footnoteRef/>
      </w:r>
      <w:r>
        <w:t xml:space="preserve"> The free tier Twitter API only allows for </w:t>
      </w:r>
      <w:r w:rsidR="008B36DD">
        <w:t xml:space="preserve">the download of </w:t>
      </w:r>
      <w:r w:rsidR="00FD1C1F">
        <w:t xml:space="preserve">the last 3200 tweets. </w:t>
      </w:r>
      <w:r w:rsidR="001D0DEA">
        <w:t>Therefore, depending on the tweeting frequency of each agency, the tweet database is covering varying timeframes</w:t>
      </w:r>
      <w:r w:rsidR="0077415C">
        <w:t xml:space="preserve">. </w:t>
      </w:r>
      <w:r w:rsidR="0077415C">
        <w:t>Since the database also contains information about the time that each tweet was posted, I ran the later analyses with time as a control variable</w:t>
      </w:r>
      <w:r w:rsidR="00E302FF">
        <w:t xml:space="preserve">, showing that the link between </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339F6"/>
    <w:multiLevelType w:val="hybridMultilevel"/>
    <w:tmpl w:val="2DFEB536"/>
    <w:lvl w:ilvl="0" w:tplc="565682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47"/>
    <w:rsid w:val="00004DC4"/>
    <w:rsid w:val="00026FD2"/>
    <w:rsid w:val="00033A35"/>
    <w:rsid w:val="00051AF1"/>
    <w:rsid w:val="000529E1"/>
    <w:rsid w:val="0005779C"/>
    <w:rsid w:val="0006294E"/>
    <w:rsid w:val="00067364"/>
    <w:rsid w:val="00093373"/>
    <w:rsid w:val="000959BB"/>
    <w:rsid w:val="000A0E68"/>
    <w:rsid w:val="000A140F"/>
    <w:rsid w:val="000A712B"/>
    <w:rsid w:val="000A7AB3"/>
    <w:rsid w:val="000B148F"/>
    <w:rsid w:val="000B4220"/>
    <w:rsid w:val="000B4549"/>
    <w:rsid w:val="000C16A2"/>
    <w:rsid w:val="000C57C3"/>
    <w:rsid w:val="000D069F"/>
    <w:rsid w:val="000D7708"/>
    <w:rsid w:val="000F1C83"/>
    <w:rsid w:val="000F5DF0"/>
    <w:rsid w:val="00105E6B"/>
    <w:rsid w:val="00112CBA"/>
    <w:rsid w:val="001157FB"/>
    <w:rsid w:val="001170AB"/>
    <w:rsid w:val="001316AC"/>
    <w:rsid w:val="001356E1"/>
    <w:rsid w:val="00136355"/>
    <w:rsid w:val="00137B55"/>
    <w:rsid w:val="001623EE"/>
    <w:rsid w:val="00163C8E"/>
    <w:rsid w:val="00171EAF"/>
    <w:rsid w:val="0018496F"/>
    <w:rsid w:val="001B7D5B"/>
    <w:rsid w:val="001D066F"/>
    <w:rsid w:val="001D0DEA"/>
    <w:rsid w:val="001D6B9D"/>
    <w:rsid w:val="001E605F"/>
    <w:rsid w:val="001F6335"/>
    <w:rsid w:val="00210D37"/>
    <w:rsid w:val="00226B7F"/>
    <w:rsid w:val="00231162"/>
    <w:rsid w:val="00236301"/>
    <w:rsid w:val="00244474"/>
    <w:rsid w:val="00246831"/>
    <w:rsid w:val="00254A78"/>
    <w:rsid w:val="002653DD"/>
    <w:rsid w:val="00265DFD"/>
    <w:rsid w:val="00272C82"/>
    <w:rsid w:val="00274376"/>
    <w:rsid w:val="00297BCF"/>
    <w:rsid w:val="002A7E32"/>
    <w:rsid w:val="002B5B03"/>
    <w:rsid w:val="002C0C3E"/>
    <w:rsid w:val="002C74CB"/>
    <w:rsid w:val="002C7ECE"/>
    <w:rsid w:val="002D1056"/>
    <w:rsid w:val="002D3843"/>
    <w:rsid w:val="002D56E8"/>
    <w:rsid w:val="002D58A6"/>
    <w:rsid w:val="002D6470"/>
    <w:rsid w:val="002E3EFC"/>
    <w:rsid w:val="002E665F"/>
    <w:rsid w:val="002F5C75"/>
    <w:rsid w:val="003025DD"/>
    <w:rsid w:val="00303CF2"/>
    <w:rsid w:val="00320AF4"/>
    <w:rsid w:val="003236F6"/>
    <w:rsid w:val="00331DA4"/>
    <w:rsid w:val="003364C1"/>
    <w:rsid w:val="00337453"/>
    <w:rsid w:val="00337931"/>
    <w:rsid w:val="00344557"/>
    <w:rsid w:val="00345EC1"/>
    <w:rsid w:val="00373912"/>
    <w:rsid w:val="003772AE"/>
    <w:rsid w:val="00396B24"/>
    <w:rsid w:val="003A0676"/>
    <w:rsid w:val="003A3342"/>
    <w:rsid w:val="003B5940"/>
    <w:rsid w:val="003B6A8E"/>
    <w:rsid w:val="003C006F"/>
    <w:rsid w:val="003D3B4B"/>
    <w:rsid w:val="003D7ADA"/>
    <w:rsid w:val="003E557A"/>
    <w:rsid w:val="003E5EDE"/>
    <w:rsid w:val="003F1170"/>
    <w:rsid w:val="003F2249"/>
    <w:rsid w:val="003F36A7"/>
    <w:rsid w:val="003F4F4C"/>
    <w:rsid w:val="00401355"/>
    <w:rsid w:val="004301FB"/>
    <w:rsid w:val="00430A2E"/>
    <w:rsid w:val="004463DD"/>
    <w:rsid w:val="004525D4"/>
    <w:rsid w:val="00475CAF"/>
    <w:rsid w:val="00485A94"/>
    <w:rsid w:val="00487ABD"/>
    <w:rsid w:val="004A21AA"/>
    <w:rsid w:val="004A26A7"/>
    <w:rsid w:val="004B02F1"/>
    <w:rsid w:val="004D4979"/>
    <w:rsid w:val="004E6600"/>
    <w:rsid w:val="004E7984"/>
    <w:rsid w:val="00503115"/>
    <w:rsid w:val="0050727E"/>
    <w:rsid w:val="00511E40"/>
    <w:rsid w:val="0051224B"/>
    <w:rsid w:val="00513B32"/>
    <w:rsid w:val="0052267E"/>
    <w:rsid w:val="0053030C"/>
    <w:rsid w:val="00531343"/>
    <w:rsid w:val="00533C25"/>
    <w:rsid w:val="00535F2B"/>
    <w:rsid w:val="00542628"/>
    <w:rsid w:val="00543699"/>
    <w:rsid w:val="00545227"/>
    <w:rsid w:val="00565746"/>
    <w:rsid w:val="00581E5F"/>
    <w:rsid w:val="005A3AAF"/>
    <w:rsid w:val="005B5F18"/>
    <w:rsid w:val="005B6EBC"/>
    <w:rsid w:val="005C3E4C"/>
    <w:rsid w:val="005C78D5"/>
    <w:rsid w:val="005E3F6B"/>
    <w:rsid w:val="005F78DA"/>
    <w:rsid w:val="00607066"/>
    <w:rsid w:val="00613833"/>
    <w:rsid w:val="00620157"/>
    <w:rsid w:val="00626EE2"/>
    <w:rsid w:val="00633C8D"/>
    <w:rsid w:val="0063556E"/>
    <w:rsid w:val="006433F2"/>
    <w:rsid w:val="0065417A"/>
    <w:rsid w:val="00656E43"/>
    <w:rsid w:val="006629A2"/>
    <w:rsid w:val="00664276"/>
    <w:rsid w:val="00666C3D"/>
    <w:rsid w:val="0067539F"/>
    <w:rsid w:val="00675562"/>
    <w:rsid w:val="00676C74"/>
    <w:rsid w:val="00681546"/>
    <w:rsid w:val="00691386"/>
    <w:rsid w:val="00694786"/>
    <w:rsid w:val="006A44CD"/>
    <w:rsid w:val="006C1272"/>
    <w:rsid w:val="006D2E74"/>
    <w:rsid w:val="00702572"/>
    <w:rsid w:val="007070B0"/>
    <w:rsid w:val="00722D8B"/>
    <w:rsid w:val="007233FA"/>
    <w:rsid w:val="00724296"/>
    <w:rsid w:val="007569E4"/>
    <w:rsid w:val="00757743"/>
    <w:rsid w:val="0077415C"/>
    <w:rsid w:val="00784B47"/>
    <w:rsid w:val="0079358A"/>
    <w:rsid w:val="007958BD"/>
    <w:rsid w:val="007A4167"/>
    <w:rsid w:val="007B1C9E"/>
    <w:rsid w:val="007B24B9"/>
    <w:rsid w:val="007B6FD8"/>
    <w:rsid w:val="007B7BFB"/>
    <w:rsid w:val="007C4569"/>
    <w:rsid w:val="007C6193"/>
    <w:rsid w:val="007D1EAA"/>
    <w:rsid w:val="007D1EBE"/>
    <w:rsid w:val="007E23DF"/>
    <w:rsid w:val="007F0AFF"/>
    <w:rsid w:val="008035F3"/>
    <w:rsid w:val="00813AC8"/>
    <w:rsid w:val="008349DB"/>
    <w:rsid w:val="00835089"/>
    <w:rsid w:val="00836404"/>
    <w:rsid w:val="00850185"/>
    <w:rsid w:val="0085108F"/>
    <w:rsid w:val="008535FE"/>
    <w:rsid w:val="00856A9A"/>
    <w:rsid w:val="00860A3F"/>
    <w:rsid w:val="00873E88"/>
    <w:rsid w:val="008828C3"/>
    <w:rsid w:val="00893D11"/>
    <w:rsid w:val="0089655B"/>
    <w:rsid w:val="00897319"/>
    <w:rsid w:val="008A0AE8"/>
    <w:rsid w:val="008B36DD"/>
    <w:rsid w:val="008B406C"/>
    <w:rsid w:val="008E6808"/>
    <w:rsid w:val="00922B9D"/>
    <w:rsid w:val="00923F07"/>
    <w:rsid w:val="00924A1C"/>
    <w:rsid w:val="00925B8A"/>
    <w:rsid w:val="00925D9C"/>
    <w:rsid w:val="00927088"/>
    <w:rsid w:val="009326A2"/>
    <w:rsid w:val="0094176D"/>
    <w:rsid w:val="00962738"/>
    <w:rsid w:val="00964DA9"/>
    <w:rsid w:val="009737CF"/>
    <w:rsid w:val="00991264"/>
    <w:rsid w:val="009A3510"/>
    <w:rsid w:val="009A49BF"/>
    <w:rsid w:val="009A4C05"/>
    <w:rsid w:val="009A65A8"/>
    <w:rsid w:val="009A67BB"/>
    <w:rsid w:val="009A6844"/>
    <w:rsid w:val="009B2D0C"/>
    <w:rsid w:val="009C126B"/>
    <w:rsid w:val="009C1CF3"/>
    <w:rsid w:val="009E4D7A"/>
    <w:rsid w:val="009E7DD8"/>
    <w:rsid w:val="009F333D"/>
    <w:rsid w:val="009F6E7A"/>
    <w:rsid w:val="00A120CF"/>
    <w:rsid w:val="00A1565D"/>
    <w:rsid w:val="00A26150"/>
    <w:rsid w:val="00A26F14"/>
    <w:rsid w:val="00A368CD"/>
    <w:rsid w:val="00A43CBB"/>
    <w:rsid w:val="00A531C8"/>
    <w:rsid w:val="00A53619"/>
    <w:rsid w:val="00A70CFC"/>
    <w:rsid w:val="00A80689"/>
    <w:rsid w:val="00AA28F1"/>
    <w:rsid w:val="00AD0714"/>
    <w:rsid w:val="00AE0BDF"/>
    <w:rsid w:val="00B03A33"/>
    <w:rsid w:val="00B0511A"/>
    <w:rsid w:val="00B1028B"/>
    <w:rsid w:val="00B2088E"/>
    <w:rsid w:val="00B22DAC"/>
    <w:rsid w:val="00B276D2"/>
    <w:rsid w:val="00B36844"/>
    <w:rsid w:val="00B37841"/>
    <w:rsid w:val="00B43AA7"/>
    <w:rsid w:val="00B45E79"/>
    <w:rsid w:val="00B50CE4"/>
    <w:rsid w:val="00B5519F"/>
    <w:rsid w:val="00B578EF"/>
    <w:rsid w:val="00B677C2"/>
    <w:rsid w:val="00B715C7"/>
    <w:rsid w:val="00B72A21"/>
    <w:rsid w:val="00B76F69"/>
    <w:rsid w:val="00BB2BEA"/>
    <w:rsid w:val="00BB3E41"/>
    <w:rsid w:val="00BB5FBA"/>
    <w:rsid w:val="00BC375E"/>
    <w:rsid w:val="00BC5EDC"/>
    <w:rsid w:val="00BC73BE"/>
    <w:rsid w:val="00BD2F0C"/>
    <w:rsid w:val="00BE29ED"/>
    <w:rsid w:val="00BE6D47"/>
    <w:rsid w:val="00BF06FD"/>
    <w:rsid w:val="00BF0AF4"/>
    <w:rsid w:val="00BF37BF"/>
    <w:rsid w:val="00C014BB"/>
    <w:rsid w:val="00C04C55"/>
    <w:rsid w:val="00C07ED8"/>
    <w:rsid w:val="00C218D5"/>
    <w:rsid w:val="00C27928"/>
    <w:rsid w:val="00C333C5"/>
    <w:rsid w:val="00C42A79"/>
    <w:rsid w:val="00C45566"/>
    <w:rsid w:val="00C51585"/>
    <w:rsid w:val="00C5243E"/>
    <w:rsid w:val="00C64277"/>
    <w:rsid w:val="00C70913"/>
    <w:rsid w:val="00C7502B"/>
    <w:rsid w:val="00C7511A"/>
    <w:rsid w:val="00C76CC2"/>
    <w:rsid w:val="00C80F32"/>
    <w:rsid w:val="00C84E45"/>
    <w:rsid w:val="00C94A7C"/>
    <w:rsid w:val="00C976ED"/>
    <w:rsid w:val="00C97D18"/>
    <w:rsid w:val="00CA3C58"/>
    <w:rsid w:val="00CB051A"/>
    <w:rsid w:val="00CB1F5E"/>
    <w:rsid w:val="00CB28A8"/>
    <w:rsid w:val="00CB785C"/>
    <w:rsid w:val="00CC36AB"/>
    <w:rsid w:val="00CC4902"/>
    <w:rsid w:val="00CC495F"/>
    <w:rsid w:val="00CC558B"/>
    <w:rsid w:val="00CD3D44"/>
    <w:rsid w:val="00CE0393"/>
    <w:rsid w:val="00CE05FB"/>
    <w:rsid w:val="00CF0B0C"/>
    <w:rsid w:val="00CF2A5F"/>
    <w:rsid w:val="00D14D3B"/>
    <w:rsid w:val="00D17A8C"/>
    <w:rsid w:val="00D23479"/>
    <w:rsid w:val="00D30203"/>
    <w:rsid w:val="00D31885"/>
    <w:rsid w:val="00D458D0"/>
    <w:rsid w:val="00D51EE3"/>
    <w:rsid w:val="00D65710"/>
    <w:rsid w:val="00D70556"/>
    <w:rsid w:val="00D7071B"/>
    <w:rsid w:val="00D77DE6"/>
    <w:rsid w:val="00DA2B69"/>
    <w:rsid w:val="00DA482D"/>
    <w:rsid w:val="00DB0243"/>
    <w:rsid w:val="00DB5AB8"/>
    <w:rsid w:val="00DC2476"/>
    <w:rsid w:val="00DC7769"/>
    <w:rsid w:val="00DF0D97"/>
    <w:rsid w:val="00DF7FE2"/>
    <w:rsid w:val="00E15C7B"/>
    <w:rsid w:val="00E1784E"/>
    <w:rsid w:val="00E302FF"/>
    <w:rsid w:val="00E45590"/>
    <w:rsid w:val="00E45B60"/>
    <w:rsid w:val="00E50550"/>
    <w:rsid w:val="00E56CA7"/>
    <w:rsid w:val="00E77D5D"/>
    <w:rsid w:val="00E8295C"/>
    <w:rsid w:val="00E910F3"/>
    <w:rsid w:val="00E91988"/>
    <w:rsid w:val="00EA540F"/>
    <w:rsid w:val="00EB3CD8"/>
    <w:rsid w:val="00EB5327"/>
    <w:rsid w:val="00EC30C6"/>
    <w:rsid w:val="00EC4962"/>
    <w:rsid w:val="00EC790D"/>
    <w:rsid w:val="00EE1591"/>
    <w:rsid w:val="00EE3DD0"/>
    <w:rsid w:val="00EE479E"/>
    <w:rsid w:val="00F0228E"/>
    <w:rsid w:val="00F153F9"/>
    <w:rsid w:val="00F368C6"/>
    <w:rsid w:val="00F378C3"/>
    <w:rsid w:val="00F463F5"/>
    <w:rsid w:val="00F6353D"/>
    <w:rsid w:val="00F63D73"/>
    <w:rsid w:val="00F716F8"/>
    <w:rsid w:val="00F765FD"/>
    <w:rsid w:val="00F8208C"/>
    <w:rsid w:val="00F84473"/>
    <w:rsid w:val="00F92FCE"/>
    <w:rsid w:val="00F956A4"/>
    <w:rsid w:val="00FA0E85"/>
    <w:rsid w:val="00FA1837"/>
    <w:rsid w:val="00FC5C55"/>
    <w:rsid w:val="00FD0288"/>
    <w:rsid w:val="00FD1C1F"/>
    <w:rsid w:val="00FD417D"/>
    <w:rsid w:val="00FE3BE7"/>
    <w:rsid w:val="00FE57AC"/>
    <w:rsid w:val="00FF4FF0"/>
    <w:rsid w:val="00FF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AE770"/>
  <w15:chartTrackingRefBased/>
  <w15:docId w15:val="{961C28C6-FA06-4299-AE9B-67A3B9F7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203"/>
    <w:pPr>
      <w:ind w:left="720"/>
      <w:contextualSpacing/>
    </w:pPr>
  </w:style>
  <w:style w:type="paragraph" w:styleId="FootnoteText">
    <w:name w:val="footnote text"/>
    <w:basedOn w:val="Normal"/>
    <w:link w:val="FootnoteTextChar"/>
    <w:uiPriority w:val="99"/>
    <w:semiHidden/>
    <w:unhideWhenUsed/>
    <w:rsid w:val="00A70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0CFC"/>
    <w:rPr>
      <w:sz w:val="20"/>
      <w:szCs w:val="20"/>
    </w:rPr>
  </w:style>
  <w:style w:type="character" w:styleId="FootnoteReference">
    <w:name w:val="footnote reference"/>
    <w:basedOn w:val="DefaultParagraphFont"/>
    <w:uiPriority w:val="99"/>
    <w:semiHidden/>
    <w:unhideWhenUsed/>
    <w:rsid w:val="00A70C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2084F-1524-414C-8852-CFE3E63AD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2828</TotalTime>
  <Pages>5</Pages>
  <Words>6885</Words>
  <Characters>39246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13</cp:revision>
  <dcterms:created xsi:type="dcterms:W3CDTF">2018-10-23T13:09:00Z</dcterms:created>
  <dcterms:modified xsi:type="dcterms:W3CDTF">2018-12-12T13:01:00Z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http://csl.mendeley.com/styles/477163761/chicago-author-date</vt:lpwstr>
  </property>
  <property fmtid="{D5CDD505-2E9C-101B-9397-08002B2CF9AE}" pid="13" name="Mendeley Recent Style Name 5_1">
    <vt:lpwstr>Chicago Manual of Style 17th edition (author-date) - Moritz Müller</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6d56ddc5-1953-31a0-84df-5f75bc3501f5</vt:lpwstr>
  </property>
  <property fmtid="{D5CDD505-2E9C-101B-9397-08002B2CF9AE}" pid="24" name="Mendeley Citation Style_1">
    <vt:lpwstr>http://csl.mendeley.com/styles/477163761/chicago-author-date</vt:lpwstr>
  </property>
  <property fmtid="{D5CDD505-2E9C-101B-9397-08002B2CF9AE}" pid="25" name="FileId">
    <vt:lpwstr>528113</vt:lpwstr>
  </property>
  <property fmtid="{D5CDD505-2E9C-101B-9397-08002B2CF9AE}" pid="26" name="InsertAsFootnote">
    <vt:lpwstr>False</vt:lpwstr>
  </property>
  <property fmtid="{D5CDD505-2E9C-101B-9397-08002B2CF9AE}" pid="27" name="ProjectId">
    <vt:lpwstr>0</vt:lpwstr>
  </property>
  <property fmtid="{D5CDD505-2E9C-101B-9397-08002B2CF9AE}" pid="28" name="StyleId">
    <vt:lpwstr>http://www.zotero.org/styles/vancouver</vt:lpwstr>
  </property>
</Properties>
</file>