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&lt;svg xmlns="http://www.w3.org/2000/svg" viewBox="0 0 900 700" font-family="Georgia, serif"&gt;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&lt;rect width="900" height="700" fill="#f6f2e8"/&gt;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x="30" y="40" font-size="17" fill="#222"&gt;Arato, &lt;tspan font-style="italic"&gt;Fenómenos&lt;/tspan&gt; 783-787: la luna fina del tercer día&lt;/text&gt;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x="30" y="80" font-size="13" fill="#888"&gt;783&lt;/text&gt;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x="70" y="80" font-size="20" fill="#111"&gt;&lt;tspan fill="#e0322d" font-weight="bold"&gt;Λ&lt;/tspan&gt;επτὴ μὲν καθαρή τε περὶ τρίτον ἦμαρ ἐοῦσα&lt;/text&gt;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x="30" y="112" font-size="13" fill="#888"&gt;784&lt;/text&gt;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x="70" y="112" font-size="20" fill="#111"&gt;&lt;tspan fill="#e0322d" font-weight="bold"&gt;Ε&lt;/tspan&gt;ὔδιός κ’ εἴη, λεπτὴ δὲ καὶ εὖ μάλ’ ἐρευθὴς&lt;/text&gt;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x="30" y="144" font-size="13" fill="#888"&gt;785&lt;/text&gt;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x="70" y="144" font-size="20" fill="#111"&gt;&lt;tspan fill="#e0322d" font-weight="bold"&gt;Π&lt;/tspan&gt;νευματίη· παχίων δὲ καὶ ἀμβλείῃσι κεραίαις&lt;/text&gt;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x="30" y="176" font-size="13" fill="#888"&gt;786&lt;/text&gt;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x="70" y="176" font-size="20" fill="#111"&gt;&lt;tspan fill="#e0322d" font-weight="bold"&gt;Τ&lt;/tspan&gt;έτρατον ἐκ τριτάτοιο φόως ἀμενηνὸν ἔχουσα&lt;/text&gt;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x="30" y="208" font-size="13" fill="#888"&gt;787&lt;/text&gt;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x="70" y="208" font-size="20" fill="#111"&gt;&lt;tspan fill="#e0322d" font-weight="bold"&gt;Η&lt;/tspan&gt;ὲ νότου ἀμβλύνετ’ ἢ ὕδατος ἐγγὺς ἐόντος.&lt;/text&gt;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x="30" y="250" font-size="14" fill="#555"&gt;Las iniciales dicen ΛΕΠΤΗ, "fina"; la palabra está además dentro del primer verso y del segundo.&lt;/text&gt;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x="30" y="300" font-size="17" fill="#222"&gt;Virgilio, &lt;tspan font-style="italic"&gt;Geórgicas&lt;/tspan&gt; 1.427-435: el mismo pasaje, traducido&lt;/text&gt;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x="30" y="340" font-size="13" fill="#888"&gt;427&lt;/text&gt;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x="70" y="340" font-size="18" fill="#111"&gt;&lt;tspan fill="#111"&gt;lu&lt;/tspan&gt;na reuertentis cum primum colligit ignis,&lt;/text&gt;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x="30" y="368" font-size="13" fill="#888"&gt;428&lt;/text&gt;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x="70" y="368" font-size="18" fill="#111"&gt;&lt;tspan fill="#111"&gt;si&lt;/tspan&gt; nigrum obscuro comprenderit aera cornu,&lt;/text&gt;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x="30" y="396" font-size="13" fill="#888"&gt;429&lt;/text&gt;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x="70" y="396" font-size="18" fill="#111"&gt;&lt;tspan fill="#e0322d" font-weight="bold"&gt;MA&lt;/tspan&gt;ximus agricolis pelagoque parabitur imber;&lt;/text&gt;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x="30" y="424" font-size="13" fill="#888"&gt;430&lt;/text&gt;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x="70" y="424" font-size="18" fill="#111"&gt;&lt;tspan fill="#111"&gt;at&lt;/tspan&gt; si uirgineum suffuderit ore ruborem,&lt;/text&gt;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x="30" y="452" font-size="13" fill="#888"&gt;431&lt;/text&gt;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x="70" y="452" font-size="18" fill="#111"&gt;&lt;tspan fill="#e0322d" font-weight="bold"&gt;VE&lt;/tspan&gt;ntus erit: uento semper rubet aurea Phoebe.&lt;/text&gt;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x="30" y="480" font-size="13" fill="#888"&gt;432&lt;/text&gt;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x="70" y="480" font-size="18" fill="#111"&gt;&lt;tspan fill="#111"&gt;si&lt;/tspan&gt;n ortu quarto (namque is certissimus auctor)&lt;/text&gt;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x="30" y="508" font-size="13" fill="#888"&gt;433&lt;/text&gt;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x="70" y="508" font-size="18" fill="#111"&gt;&lt;tspan fill="#e0322d" font-weight="bold"&gt;PU&lt;/tspan&gt;ra neque obtunsis per caelum cornibus ibit,&lt;/text&gt;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x="30" y="536" font-size="13" fill="#888"&gt;434&lt;/text&gt;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x="70" y="536" font-size="18" fill="#111"&gt;&lt;tspan fill="#111"&gt;to&lt;/tspan&gt;tus et ille dies et qui nascentur ab illo&lt;/text&gt;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x="30" y="564" font-size="13" fill="#888"&gt;435&lt;/text&gt;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x="70" y="564" font-size="18" fill="#111"&gt;&lt;tspan fill="#111"&gt;ex&lt;/tspan&gt;actum ad mensem pluuia uentisque carebunt,&lt;/text&gt;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x="30" y="602" font-size="14" fill="#555"&gt;Un verso sí y uno no, 429-433: MA VE PU, el nombre al revés (Publius Vergilius Maro).&lt;/text&gt;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x="30" y="622" font-size="14" fill="#555"&gt;Y las iniciales de 433-435 son P, T, E: las tres últimas letras de ΛΕΠΤΗ (Danielewicz).&lt;/text&gt;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x="30" y="686" font-size="11" fill="#777"&gt;Tiempo libre, 15/10/2026. Textos: Kidd (Arato, citado en Enthymema 2019) y The Latin Library (Virgilio).&lt;/text&gt;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&lt;/svg&gt;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