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9CB" w:rsidRDefault="00091792">
      <w:r>
        <w:rPr>
          <w:noProof/>
        </w:rPr>
        <w:pict>
          <v:rect id="_x0000_s1054" style="position:absolute;margin-left:452.15pt;margin-top:22.85pt;width:98.35pt;height:33.35pt;z-index:251683840">
            <v:textbox>
              <w:txbxContent>
                <w:p w:rsidR="00337688" w:rsidRDefault="00337688" w:rsidP="00337688">
                  <w:r>
                    <w:t xml:space="preserve">Electroplating </w:t>
                  </w:r>
                </w:p>
              </w:txbxContent>
            </v:textbox>
          </v:rect>
        </w:pict>
      </w:r>
      <w:r w:rsidR="00C320C3">
        <w:rPr>
          <w:noProof/>
        </w:rPr>
        <w:pict>
          <v:rect id="_x0000_s1026" style="position:absolute;margin-left:204.55pt;margin-top:-43.9pt;width:115.95pt;height:33.35pt;z-index:251658240">
            <v:textbox style="mso-next-textbox:#_x0000_s1026">
              <w:txbxContent>
                <w:p w:rsidR="00B4734A" w:rsidRPr="00C320C3" w:rsidRDefault="00B4734A">
                  <w:pPr>
                    <w:rPr>
                      <w:sz w:val="28"/>
                      <w:szCs w:val="28"/>
                    </w:rPr>
                  </w:pPr>
                  <w:r w:rsidRPr="00C320C3">
                    <w:rPr>
                      <w:sz w:val="28"/>
                      <w:szCs w:val="28"/>
                    </w:rPr>
                    <w:t>Electrochemistry</w:t>
                  </w:r>
                </w:p>
              </w:txbxContent>
            </v:textbox>
          </v:rect>
        </w:pict>
      </w:r>
      <w:r w:rsidR="00DF0AD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59.9pt;margin-top:14.95pt;width:0;height:11.4pt;z-index:251660288" o:connectortype="straight"/>
        </w:pict>
      </w:r>
      <w:r w:rsidR="00B4734A">
        <w:rPr>
          <w:noProof/>
        </w:rPr>
        <w:pict>
          <v:shape id="_x0000_s1027" type="#_x0000_t32" style="position:absolute;margin-left:259.9pt;margin-top:-10.55pt;width:0;height:12.3pt;z-index:251659264" o:connectortype="straight"/>
        </w:pict>
      </w:r>
      <w:r w:rsidR="00B4734A">
        <w:t xml:space="preserve">                                                                                                 </w:t>
      </w:r>
      <w:r w:rsidR="00DF0ADA">
        <w:t>R</w:t>
      </w:r>
      <w:r w:rsidR="00B4734A">
        <w:t>elates</w:t>
      </w:r>
    </w:p>
    <w:p w:rsidR="00DF0ADA" w:rsidRDefault="00337688">
      <w:r>
        <w:rPr>
          <w:noProof/>
        </w:rPr>
        <w:pict>
          <v:rect id="_x0000_s1055" style="position:absolute;margin-left:5.8pt;margin-top:2.9pt;width:98.35pt;height:33.35pt;z-index:251684864">
            <v:textbox style="mso-next-textbox:#_x0000_s1055">
              <w:txbxContent>
                <w:p w:rsidR="00337688" w:rsidRDefault="00337688" w:rsidP="00337688">
                  <w:r>
                    <w:t>Batteries</w:t>
                  </w:r>
                </w:p>
              </w:txbxContent>
            </v:textbox>
          </v:rect>
        </w:pict>
      </w:r>
      <w:r w:rsidR="005E3A51">
        <w:rPr>
          <w:noProof/>
        </w:rPr>
        <w:pict>
          <v:shape id="_x0000_s1037" type="#_x0000_t32" style="position:absolute;margin-left:259.9pt;margin-top:66.1pt;width:.05pt;height:13.2pt;z-index:251669504" o:connectortype="straight"/>
        </w:pict>
      </w:r>
      <w:r w:rsidR="00C40971">
        <w:rPr>
          <w:noProof/>
        </w:rPr>
        <w:pict>
          <v:shape id="_x0000_s1036" type="#_x0000_t32" style="position:absolute;margin-left:211.6pt;margin-top:66.1pt;width:98.35pt;height:0;z-index:251668480" o:connectortype="straight"/>
        </w:pict>
      </w:r>
      <w:r w:rsidR="003D6DA3">
        <w:rPr>
          <w:noProof/>
        </w:rPr>
        <w:pict>
          <v:shape id="_x0000_s1035" type="#_x0000_t32" style="position:absolute;margin-left:309.95pt;margin-top:52.05pt;width:0;height:14.05pt;z-index:251667456" o:connectortype="straight"/>
        </w:pict>
      </w:r>
      <w:r w:rsidR="00314C33">
        <w:rPr>
          <w:noProof/>
        </w:rPr>
        <w:pict>
          <v:shape id="_x0000_s1034" type="#_x0000_t32" style="position:absolute;margin-left:211.6pt;margin-top:52.05pt;width:0;height:14.05pt;z-index:251666432" o:connectortype="straight"/>
        </w:pict>
      </w:r>
      <w:r w:rsidR="003E659F">
        <w:rPr>
          <w:noProof/>
        </w:rPr>
        <w:pict>
          <v:rect id="_x0000_s1033" style="position:absolute;margin-left:266.65pt;margin-top:18.7pt;width:98.35pt;height:33.35pt;z-index:251665408">
            <v:textbox style="mso-next-textbox:#_x0000_s1033">
              <w:txbxContent>
                <w:p w:rsidR="003E659F" w:rsidRDefault="003E659F" w:rsidP="003E659F">
                  <w:r>
                    <w:t>Electrical Energy</w:t>
                  </w:r>
                </w:p>
              </w:txbxContent>
            </v:textbox>
          </v:rect>
        </w:pict>
      </w:r>
      <w:r w:rsidR="0057756B">
        <w:rPr>
          <w:noProof/>
        </w:rPr>
        <w:pict>
          <v:rect id="_x0000_s1032" style="position:absolute;margin-left:155.1pt;margin-top:18.7pt;width:98.35pt;height:33.35pt;z-index:251664384">
            <v:textbox style="mso-next-textbox:#_x0000_s1032">
              <w:txbxContent>
                <w:p w:rsidR="0057756B" w:rsidRDefault="003E659F" w:rsidP="0057756B">
                  <w:r>
                    <w:t>Chemical Energy</w:t>
                  </w:r>
                </w:p>
              </w:txbxContent>
            </v:textbox>
          </v:rect>
        </w:pict>
      </w:r>
      <w:r w:rsidR="00AA491B">
        <w:rPr>
          <w:noProof/>
        </w:rPr>
        <w:pict>
          <v:shape id="_x0000_s1031" type="#_x0000_t32" style="position:absolute;margin-left:309.95pt;margin-top:2.9pt;width:0;height:15.8pt;z-index:251663360" o:connectortype="straight"/>
        </w:pict>
      </w:r>
      <w:r w:rsidR="002B7068">
        <w:rPr>
          <w:noProof/>
        </w:rPr>
        <w:pict>
          <v:shape id="_x0000_s1030" type="#_x0000_t32" style="position:absolute;margin-left:211.6pt;margin-top:2.9pt;width:0;height:15.8pt;z-index:251662336" o:connectortype="straight"/>
        </w:pict>
      </w:r>
      <w:r w:rsidR="00A27B7F">
        <w:rPr>
          <w:noProof/>
        </w:rPr>
        <w:pict>
          <v:shape id="_x0000_s1029" type="#_x0000_t32" style="position:absolute;margin-left:211.6pt;margin-top:2.9pt;width:98.35pt;height:0;z-index:251661312" o:connectortype="straight"/>
        </w:pict>
      </w:r>
      <w:r w:rsidR="00DF0ADA">
        <w:t xml:space="preserve"> </w:t>
      </w:r>
      <w:r w:rsidR="006248E7">
        <w:t xml:space="preserve">   </w:t>
      </w:r>
      <w:r w:rsidR="00DF0ADA">
        <w:t xml:space="preserve">                                                                                                     </w:t>
      </w:r>
    </w:p>
    <w:p w:rsidR="00F03947" w:rsidRDefault="00337688">
      <w:r>
        <w:rPr>
          <w:noProof/>
        </w:rPr>
        <w:pict>
          <v:shape id="_x0000_s1056" type="#_x0000_t32" style="position:absolute;margin-left:75.5pt;margin-top:14.6pt;width:19.35pt;height:14.05pt;flip:x y;z-index:251685888" o:connectortype="straight">
            <v:stroke endarrow="block"/>
          </v:shape>
        </w:pict>
      </w:r>
      <w:r w:rsidR="00E7714D">
        <w:rPr>
          <w:noProof/>
        </w:rPr>
        <w:pict>
          <v:shape id="_x0000_s1052" type="#_x0000_t32" style="position:absolute;margin-left:457.45pt;margin-top:9.35pt;width:33.4pt;height:19.3pt;flip:y;z-index:251682816" o:connectortype="straight">
            <v:stroke endarrow="block"/>
          </v:shape>
        </w:pict>
      </w:r>
    </w:p>
    <w:p w:rsidR="00F03947" w:rsidRDefault="00E7714D">
      <w:r>
        <w:rPr>
          <w:noProof/>
        </w:rPr>
        <w:pict>
          <v:shape id="_x0000_s1051" type="#_x0000_t32" style="position:absolute;margin-left:115pt;margin-top:19.25pt;width:27.8pt;height:24.6pt;flip:x y;z-index:251681792" o:connectortype="straight">
            <v:stroke endarrow="block"/>
          </v:shape>
        </w:pict>
      </w:r>
      <w:r w:rsidR="00947386">
        <w:rPr>
          <w:noProof/>
        </w:rPr>
        <w:pict>
          <v:shape id="_x0000_s1050" type="#_x0000_t32" style="position:absolute;margin-left:387.8pt;margin-top:19.25pt;width:40.7pt;height:24.6pt;flip:y;z-index:251680768" o:connectortype="straight">
            <v:stroke endarrow="block"/>
          </v:shape>
        </w:pict>
      </w:r>
      <w:r w:rsidR="00947386">
        <w:t xml:space="preserve">                          </w:t>
      </w:r>
      <w:r>
        <w:t xml:space="preserve">         </w:t>
      </w:r>
      <w:r w:rsidR="00947386">
        <w:t xml:space="preserve">   </w:t>
      </w:r>
      <w:r>
        <w:t>Used in</w:t>
      </w:r>
      <w:r w:rsidR="00947386">
        <w:t xml:space="preserve">                                                                                                              </w:t>
      </w:r>
      <w:r>
        <w:t xml:space="preserve">      </w:t>
      </w:r>
      <w:r w:rsidR="00947386">
        <w:t xml:space="preserve">  Used in </w:t>
      </w:r>
    </w:p>
    <w:p w:rsidR="002E1AB9" w:rsidRDefault="00205636">
      <w:r>
        <w:rPr>
          <w:noProof/>
        </w:rPr>
        <w:pict>
          <v:rect id="_x0000_s1049" style="position:absolute;margin-left:289.45pt;margin-top:67.85pt;width:98.35pt;height:33.35pt;z-index:251679744">
            <v:textbox style="mso-next-textbox:#_x0000_s1049">
              <w:txbxContent>
                <w:p w:rsidR="00205636" w:rsidRDefault="00205636" w:rsidP="00205636">
                  <w:proofErr w:type="spellStart"/>
                  <w:r>
                    <w:t>Nonspontaneous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48" style="position:absolute;margin-left:138.4pt;margin-top:67.85pt;width:98.35pt;height:33.35pt;z-index:251678720">
            <v:textbox style="mso-next-textbox:#_x0000_s1048">
              <w:txbxContent>
                <w:p w:rsidR="00205636" w:rsidRDefault="00205636" w:rsidP="00205636">
                  <w:r>
                    <w:t>Spontaneous</w:t>
                  </w:r>
                </w:p>
              </w:txbxContent>
            </v:textbox>
          </v:rect>
        </w:pict>
      </w:r>
      <w:r w:rsidR="00267A4F">
        <w:rPr>
          <w:noProof/>
        </w:rPr>
        <w:pict>
          <v:shape id="_x0000_s1047" type="#_x0000_t32" style="position:absolute;margin-left:320.5pt;margin-top:53.8pt;width:0;height:14.05pt;z-index:251677696" o:connectortype="straight"/>
        </w:pict>
      </w:r>
      <w:r w:rsidR="000C1C91">
        <w:rPr>
          <w:noProof/>
        </w:rPr>
        <w:pict>
          <v:shape id="_x0000_s1046" type="#_x0000_t32" style="position:absolute;margin-left:211.6pt;margin-top:53.8pt;width:0;height:14.05pt;z-index:251676672" o:connectortype="straight"/>
        </w:pict>
      </w:r>
      <w:r w:rsidR="005857B9">
        <w:rPr>
          <w:noProof/>
        </w:rPr>
        <w:pict>
          <v:rect id="_x0000_s1045" style="position:absolute;margin-left:289.45pt;margin-top:20.45pt;width:98.35pt;height:33.35pt;z-index:251675648">
            <v:textbox style="mso-next-textbox:#_x0000_s1045">
              <w:txbxContent>
                <w:p w:rsidR="005857B9" w:rsidRDefault="005857B9" w:rsidP="005857B9">
                  <w:r>
                    <w:t>Electrolytic Cells</w:t>
                  </w:r>
                </w:p>
              </w:txbxContent>
            </v:textbox>
          </v:rect>
        </w:pict>
      </w:r>
      <w:r w:rsidR="005857B9">
        <w:rPr>
          <w:noProof/>
        </w:rPr>
        <w:pict>
          <v:rect id="_x0000_s1044" style="position:absolute;margin-left:142.8pt;margin-top:20.45pt;width:98.35pt;height:33.35pt;z-index:251674624">
            <v:textbox style="mso-next-textbox:#_x0000_s1044">
              <w:txbxContent>
                <w:p w:rsidR="005857B9" w:rsidRDefault="005857B9" w:rsidP="005857B9">
                  <w:r>
                    <w:t>Galvanic (Voltaic) Cells</w:t>
                  </w:r>
                </w:p>
                <w:p w:rsidR="005857B9" w:rsidRDefault="005857B9" w:rsidP="005857B9"/>
              </w:txbxContent>
            </v:textbox>
          </v:rect>
        </w:pict>
      </w:r>
      <w:r w:rsidR="006267B8">
        <w:rPr>
          <w:noProof/>
        </w:rPr>
        <w:pict>
          <v:shape id="_x0000_s1043" type="#_x0000_t32" style="position:absolute;margin-left:320.5pt;margin-top:9.05pt;width:0;height:11.4pt;z-index:251673600" o:connectortype="straight"/>
        </w:pict>
      </w:r>
      <w:r w:rsidR="00766B3A">
        <w:rPr>
          <w:noProof/>
        </w:rPr>
        <w:pict>
          <v:shape id="_x0000_s1042" type="#_x0000_t32" style="position:absolute;margin-left:211.6pt;margin-top:9.05pt;width:0;height:11.4pt;z-index:251672576" o:connectortype="straight"/>
        </w:pict>
      </w:r>
      <w:r w:rsidR="00DA74CC">
        <w:rPr>
          <w:noProof/>
        </w:rPr>
        <w:pict>
          <v:shape id="_x0000_s1040" type="#_x0000_t32" style="position:absolute;margin-left:309.95pt;margin-top:9.05pt;width:10.55pt;height:0;z-index:251671552" o:connectortype="straight"/>
        </w:pict>
      </w:r>
      <w:r w:rsidR="005C414B">
        <w:rPr>
          <w:noProof/>
        </w:rPr>
        <w:pict>
          <v:shape id="_x0000_s1038" type="#_x0000_t32" style="position:absolute;margin-left:211.6pt;margin-top:9.05pt;width:11.4pt;height:0;flip:x;z-index:251670528" o:connectortype="straight"/>
        </w:pict>
      </w:r>
      <w:r w:rsidR="00F03947">
        <w:t xml:space="preserve">                                                                                          </w:t>
      </w:r>
      <w:proofErr w:type="spellStart"/>
      <w:proofErr w:type="gramStart"/>
      <w:r w:rsidR="00F03947">
        <w:t>Interconverted</w:t>
      </w:r>
      <w:proofErr w:type="spellEnd"/>
      <w:r w:rsidR="00F03947">
        <w:t xml:space="preserve">  in</w:t>
      </w:r>
      <w:proofErr w:type="gramEnd"/>
      <w:r w:rsidR="00F03947">
        <w:t xml:space="preserve">          </w:t>
      </w:r>
    </w:p>
    <w:p w:rsidR="00F03947" w:rsidRDefault="00110CFF">
      <w:r>
        <w:rPr>
          <w:noProof/>
        </w:rPr>
        <w:pict>
          <v:rect id="_x0000_s1067" style="position:absolute;margin-left:353.8pt;margin-top:97.95pt;width:98.35pt;height:46.55pt;z-index:251692032">
            <v:textbox style="mso-next-textbox:#_x0000_s1067">
              <w:txbxContent>
                <w:p w:rsidR="00110CFF" w:rsidRPr="00110CFF" w:rsidRDefault="00110CFF" w:rsidP="00110CFF">
                  <w:r w:rsidRPr="00110CFF">
                    <w:t xml:space="preserve">∆G = </w:t>
                  </w:r>
                  <w:r>
                    <w:t>positive</w:t>
                  </w:r>
                </w:p>
                <w:p w:rsidR="00110CFF" w:rsidRPr="00110CFF" w:rsidRDefault="00110CFF" w:rsidP="00110CFF">
                  <w:r w:rsidRPr="00110CFF">
                    <w:t xml:space="preserve">E   = </w:t>
                  </w:r>
                  <w:r>
                    <w:t>negative</w:t>
                  </w:r>
                </w:p>
                <w:p w:rsidR="00110CFF" w:rsidRPr="00110CFF" w:rsidRDefault="00110CFF" w:rsidP="00110CFF"/>
              </w:txbxContent>
            </v:textbox>
          </v:rect>
        </w:pict>
      </w:r>
      <w:r>
        <w:rPr>
          <w:noProof/>
        </w:rPr>
        <w:pict>
          <v:rect id="_x0000_s1066" style="position:absolute;margin-left:66.1pt;margin-top:97.95pt;width:98.35pt;height:46.55pt;z-index:251691008">
            <v:textbox style="mso-next-textbox:#_x0000_s1066">
              <w:txbxContent>
                <w:p w:rsidR="00110CFF" w:rsidRDefault="00110CFF" w:rsidP="00110CFF">
                  <w:r>
                    <w:rPr>
                      <w:rFonts w:cstheme="minorHAnsi"/>
                    </w:rPr>
                    <w:t>∆</w:t>
                  </w:r>
                  <w:r>
                    <w:t>G = negative</w:t>
                  </w:r>
                </w:p>
                <w:p w:rsidR="00110CFF" w:rsidRDefault="00110CFF" w:rsidP="00110CFF">
                  <w:r>
                    <w:t>E   = positive</w:t>
                  </w:r>
                </w:p>
                <w:p w:rsidR="00110CFF" w:rsidRPr="00110CFF" w:rsidRDefault="00110CFF" w:rsidP="00110CFF"/>
              </w:txbxContent>
            </v:textbox>
          </v:rect>
        </w:pict>
      </w:r>
      <w:r w:rsidR="00120936">
        <w:rPr>
          <w:noProof/>
        </w:rPr>
        <w:pict>
          <v:shape id="_x0000_s1064" type="#_x0000_t32" style="position:absolute;margin-left:365pt;margin-top:77.75pt;width:0;height:20.2pt;z-index:251689984" o:connectortype="straight"/>
        </w:pict>
      </w:r>
      <w:r w:rsidR="00120936">
        <w:rPr>
          <w:noProof/>
        </w:rPr>
        <w:pict>
          <v:shape id="_x0000_s1063" type="#_x0000_t32" style="position:absolute;margin-left:309.95pt;margin-top:77.75pt;width:0;height:20.2pt;z-index:251688960" o:connectortype="straight"/>
        </w:pict>
      </w:r>
      <w:r w:rsidR="00E66EE3">
        <w:rPr>
          <w:noProof/>
        </w:rPr>
        <w:pict>
          <v:shape id="_x0000_s1062" type="#_x0000_t32" style="position:absolute;margin-left:211.6pt;margin-top:77.75pt;width:0;height:20.2pt;z-index:251687936" o:connectortype="straight"/>
        </w:pict>
      </w:r>
      <w:r w:rsidR="00E66EE3">
        <w:rPr>
          <w:noProof/>
        </w:rPr>
        <w:pict>
          <v:shape id="_x0000_s1061" type="#_x0000_t32" style="position:absolute;margin-left:155.1pt;margin-top:77.75pt;width:0;height:20.2pt;z-index:251686912" o:connectortype="straight"/>
        </w:pict>
      </w:r>
      <w:r w:rsidR="002E1AB9">
        <w:t xml:space="preserve">             </w:t>
      </w:r>
      <w:r w:rsidR="00F03947">
        <w:t xml:space="preserve">                                            </w:t>
      </w:r>
    </w:p>
    <w:p w:rsidR="00110CFF" w:rsidRDefault="00F3697B">
      <w:r>
        <w:rPr>
          <w:noProof/>
        </w:rPr>
        <w:pict>
          <v:shape id="_x0000_s1077" type="#_x0000_t32" style="position:absolute;margin-left:5.8pt;margin-top:6.95pt;width:137pt;height:91.35pt;flip:x;z-index:251702272" o:connectortype="straight">
            <v:stroke endarrow="block"/>
          </v:shape>
        </w:pict>
      </w:r>
    </w:p>
    <w:p w:rsidR="00110CFF" w:rsidRDefault="00110CFF"/>
    <w:p w:rsidR="00110CFF" w:rsidRDefault="00FB52C1">
      <w:r>
        <w:rPr>
          <w:noProof/>
        </w:rPr>
        <w:pict>
          <v:shape id="_x0000_s1072" type="#_x0000_t32" style="position:absolute;margin-left:338.05pt;margin-top:7.5pt;width:.9pt;height:133.5pt;z-index:251697152" o:connectortype="straight"/>
        </w:pict>
      </w:r>
      <w:r>
        <w:rPr>
          <w:noProof/>
        </w:rPr>
        <w:pict>
          <v:shape id="_x0000_s1071" type="#_x0000_t32" style="position:absolute;margin-left:179.1pt;margin-top:7.5pt;width:2.65pt;height:133.5pt;z-index:251696128" o:connectortype="straight"/>
        </w:pict>
      </w:r>
    </w:p>
    <w:p w:rsidR="00110CFF" w:rsidRDefault="00110CFF">
      <w:r>
        <w:rPr>
          <w:noProof/>
        </w:rPr>
        <w:pict>
          <v:rect id="_x0000_s1068" style="position:absolute;margin-left:204.55pt;margin-top:28pt;width:110.65pt;height:33.35pt;z-index:251693056">
            <v:textbox style="mso-next-textbox:#_x0000_s1068">
              <w:txbxContent>
                <w:p w:rsidR="00110CFF" w:rsidRDefault="00110CFF" w:rsidP="00110CFF">
                  <w:r>
                    <w:t>Electric Current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0" type="#_x0000_t32" style="position:absolute;margin-left:309.95pt;margin-top:13.95pt;width:0;height:14.05pt;z-index:251695104" o:connectortype="straight"/>
        </w:pict>
      </w:r>
      <w:r>
        <w:rPr>
          <w:noProof/>
        </w:rPr>
        <w:pict>
          <v:shape id="_x0000_s1069" type="#_x0000_t32" style="position:absolute;margin-left:211.6pt;margin-top:13.95pt;width:0;height:14.05pt;z-index:251694080" o:connectortype="straight"/>
        </w:pict>
      </w:r>
      <w:r>
        <w:t xml:space="preserve">                                                                         Producing                     Requiring    </w:t>
      </w:r>
    </w:p>
    <w:p w:rsidR="0082186A" w:rsidRDefault="00973CF4">
      <w:r>
        <w:rPr>
          <w:noProof/>
        </w:rPr>
        <w:pict>
          <v:rect id="_x0000_s1078" style="position:absolute;margin-left:-50.05pt;margin-top:9.8pt;width:98.35pt;height:57.95pt;z-index:251703296">
            <v:textbox style="mso-next-textbox:#_x0000_s1078">
              <w:txbxContent>
                <w:p w:rsidR="00973CF4" w:rsidRDefault="00973CF4" w:rsidP="00973CF4">
                  <w:r>
                    <w:t xml:space="preserve">Standard Cell </w:t>
                  </w:r>
                </w:p>
                <w:p w:rsidR="00973CF4" w:rsidRPr="00973CF4" w:rsidRDefault="00973CF4" w:rsidP="00973CF4">
                  <w:pPr>
                    <w:rPr>
                      <w:vertAlign w:val="superscript"/>
                    </w:rPr>
                  </w:pPr>
                  <w:r>
                    <w:t>Potential, E</w:t>
                  </w:r>
                  <w:r>
                    <w:rPr>
                      <w:rFonts w:cstheme="minorHAnsi"/>
                      <w:vertAlign w:val="superscript"/>
                    </w:rPr>
                    <w:t>◦</w:t>
                  </w:r>
                </w:p>
              </w:txbxContent>
            </v:textbox>
          </v:rect>
        </w:pict>
      </w:r>
    </w:p>
    <w:p w:rsidR="0082186A" w:rsidRDefault="0082186A"/>
    <w:p w:rsidR="0082186A" w:rsidRDefault="00C3307B">
      <w:r>
        <w:rPr>
          <w:noProof/>
        </w:rPr>
        <w:pict>
          <v:shape id="_x0000_s1082" type="#_x0000_t32" style="position:absolute;margin-left:48.3pt;margin-top:20.9pt;width:116.15pt;height:138.75pt;z-index:251706368" o:connectortype="straight">
            <v:stroke endarrow="block"/>
          </v:shape>
        </w:pict>
      </w:r>
      <w:r w:rsidR="00446A92">
        <w:rPr>
          <w:noProof/>
        </w:rPr>
        <w:pict>
          <v:shape id="_x0000_s1079" type="#_x0000_t32" style="position:absolute;margin-left:-33.35pt;margin-top:20.9pt;width:.85pt;height:41.25pt;z-index:251704320" o:connectortype="straight"/>
        </w:pict>
      </w:r>
    </w:p>
    <w:p w:rsidR="0082186A" w:rsidRDefault="0082186A"/>
    <w:p w:rsidR="00446A92" w:rsidRDefault="00446A92">
      <w:r>
        <w:rPr>
          <w:noProof/>
        </w:rPr>
        <w:pict>
          <v:rect id="_x0000_s1080" style="position:absolute;margin-left:-63.2pt;margin-top:19.7pt;width:143.1pt;height:86.05pt;z-index:251705344">
            <v:textbox>
              <w:txbxContent>
                <w:p w:rsidR="00446A92" w:rsidRDefault="00446A92">
                  <w:r>
                    <w:t>Related to:</w:t>
                  </w:r>
                </w:p>
                <w:p w:rsidR="00446A92" w:rsidRPr="00E90C40" w:rsidRDefault="00446A92">
                  <w:pPr>
                    <w:rPr>
                      <w:vertAlign w:val="superscript"/>
                    </w:rPr>
                  </w:pPr>
                  <w:r>
                    <w:t>1.  Gibbs Free Energy</w:t>
                  </w:r>
                  <w:r w:rsidR="00E90C40">
                    <w:t xml:space="preserve">, </w:t>
                  </w:r>
                  <w:r w:rsidR="00E90C40">
                    <w:rPr>
                      <w:rFonts w:cstheme="minorHAnsi"/>
                    </w:rPr>
                    <w:t>∆</w:t>
                  </w:r>
                  <w:r w:rsidR="00E90C40">
                    <w:t>G</w:t>
                  </w:r>
                  <w:r w:rsidR="00E90C40">
                    <w:rPr>
                      <w:rFonts w:cstheme="minorHAnsi"/>
                      <w:vertAlign w:val="superscript"/>
                    </w:rPr>
                    <w:t>◦</w:t>
                  </w:r>
                </w:p>
                <w:p w:rsidR="00E90C40" w:rsidRDefault="00E90C40">
                  <w:r>
                    <w:t>2.  Equilibrium Constant, K</w:t>
                  </w:r>
                </w:p>
                <w:p w:rsidR="00446A92" w:rsidRDefault="00446A92"/>
              </w:txbxContent>
            </v:textbox>
          </v:rect>
        </w:pict>
      </w:r>
      <w:r w:rsidR="00EC3412">
        <w:rPr>
          <w:noProof/>
        </w:rPr>
        <w:pict>
          <v:rect id="_x0000_s1076" style="position:absolute;margin-left:289.45pt;margin-top:33.75pt;width:98.35pt;height:33.35pt;z-index:251701248">
            <v:textbox style="mso-next-textbox:#_x0000_s1076">
              <w:txbxContent>
                <w:p w:rsidR="00EC3412" w:rsidRDefault="00EC3412" w:rsidP="00EC3412">
                  <w:r>
                    <w:t>Cathode</w:t>
                  </w:r>
                </w:p>
              </w:txbxContent>
            </v:textbox>
          </v:rect>
        </w:pict>
      </w:r>
      <w:r w:rsidR="00EC3412">
        <w:rPr>
          <w:noProof/>
        </w:rPr>
        <w:pict>
          <v:rect id="_x0000_s1075" style="position:absolute;margin-left:131.95pt;margin-top:33.75pt;width:98.35pt;height:33.35pt;z-index:251700224">
            <v:textbox style="mso-next-textbox:#_x0000_s1075">
              <w:txbxContent>
                <w:p w:rsidR="00EC3412" w:rsidRDefault="00EC3412" w:rsidP="00EC3412">
                  <w:r>
                    <w:t>Anode</w:t>
                  </w:r>
                </w:p>
              </w:txbxContent>
            </v:textbox>
          </v:rect>
        </w:pict>
      </w:r>
      <w:r w:rsidR="005673A6">
        <w:rPr>
          <w:noProof/>
        </w:rPr>
        <w:pict>
          <v:shape id="_x0000_s1074" type="#_x0000_t32" style="position:absolute;margin-left:338.95pt;margin-top:15.3pt;width:0;height:13.2pt;z-index:251699200" o:connectortype="straight"/>
        </w:pict>
      </w:r>
      <w:r w:rsidR="0082186A">
        <w:rPr>
          <w:noProof/>
        </w:rPr>
        <w:pict>
          <v:shape id="_x0000_s1073" type="#_x0000_t32" style="position:absolute;margin-left:181.75pt;margin-top:15.3pt;width:0;height:13.2pt;z-index:251698176" o:connectortype="straight"/>
        </w:pict>
      </w:r>
      <w:r w:rsidR="0082186A">
        <w:t xml:space="preserve">                                                               Oxidation                                           Reduction </w:t>
      </w:r>
    </w:p>
    <w:p w:rsidR="00446A92" w:rsidRDefault="00C3307B">
      <w:r>
        <w:rPr>
          <w:noProof/>
        </w:rPr>
        <w:pict>
          <v:rect id="_x0000_s1083" style="position:absolute;margin-left:131.95pt;margin-top:89.4pt;width:143.1pt;height:86.05pt;z-index:251707392">
            <v:textbox>
              <w:txbxContent>
                <w:p w:rsidR="00C3307B" w:rsidRDefault="00C3307B" w:rsidP="00C3307B">
                  <w:r>
                    <w:t>Calculated from: Standard Reduction Potential Table</w:t>
                  </w:r>
                </w:p>
                <w:p w:rsidR="00C3307B" w:rsidRDefault="00C3307B" w:rsidP="00C3307B">
                  <w:r>
                    <w:t xml:space="preserve">Used in the </w:t>
                  </w:r>
                  <w:proofErr w:type="spellStart"/>
                  <w:r>
                    <w:t>Nerst</w:t>
                  </w:r>
                  <w:proofErr w:type="spellEnd"/>
                  <w:r>
                    <w:t xml:space="preserve"> Equation</w:t>
                  </w:r>
                </w:p>
                <w:p w:rsidR="00C3307B" w:rsidRDefault="00C3307B" w:rsidP="00C3307B"/>
              </w:txbxContent>
            </v:textbox>
          </v:rect>
        </w:pict>
      </w:r>
    </w:p>
    <w:sectPr w:rsidR="00446A92" w:rsidSect="00B473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4734A"/>
    <w:rsid w:val="00084591"/>
    <w:rsid w:val="00091792"/>
    <w:rsid w:val="00095182"/>
    <w:rsid w:val="000C1C91"/>
    <w:rsid w:val="000D3B08"/>
    <w:rsid w:val="000E5F0F"/>
    <w:rsid w:val="00110CFF"/>
    <w:rsid w:val="00120936"/>
    <w:rsid w:val="00133C8D"/>
    <w:rsid w:val="001A050E"/>
    <w:rsid w:val="00205636"/>
    <w:rsid w:val="00246266"/>
    <w:rsid w:val="0025487D"/>
    <w:rsid w:val="00267A4F"/>
    <w:rsid w:val="002A536A"/>
    <w:rsid w:val="002B7068"/>
    <w:rsid w:val="002E1AB9"/>
    <w:rsid w:val="002F086B"/>
    <w:rsid w:val="00314C33"/>
    <w:rsid w:val="00337688"/>
    <w:rsid w:val="003A42A6"/>
    <w:rsid w:val="003D6DA3"/>
    <w:rsid w:val="003E659F"/>
    <w:rsid w:val="00432954"/>
    <w:rsid w:val="00446A92"/>
    <w:rsid w:val="004620D7"/>
    <w:rsid w:val="004E7778"/>
    <w:rsid w:val="00507CA5"/>
    <w:rsid w:val="005673A6"/>
    <w:rsid w:val="0057756B"/>
    <w:rsid w:val="005857B9"/>
    <w:rsid w:val="005A03DE"/>
    <w:rsid w:val="005C414B"/>
    <w:rsid w:val="005D79CB"/>
    <w:rsid w:val="005E3A51"/>
    <w:rsid w:val="006248E7"/>
    <w:rsid w:val="006267B8"/>
    <w:rsid w:val="006529DD"/>
    <w:rsid w:val="006A2D25"/>
    <w:rsid w:val="00704CB4"/>
    <w:rsid w:val="00766B3A"/>
    <w:rsid w:val="0082186A"/>
    <w:rsid w:val="008F1D1F"/>
    <w:rsid w:val="0092771B"/>
    <w:rsid w:val="00947386"/>
    <w:rsid w:val="00973CF4"/>
    <w:rsid w:val="00A27B7F"/>
    <w:rsid w:val="00A56218"/>
    <w:rsid w:val="00AA14B8"/>
    <w:rsid w:val="00AA491B"/>
    <w:rsid w:val="00AE4DDB"/>
    <w:rsid w:val="00B4734A"/>
    <w:rsid w:val="00B54992"/>
    <w:rsid w:val="00C320C3"/>
    <w:rsid w:val="00C3307B"/>
    <w:rsid w:val="00C40971"/>
    <w:rsid w:val="00C5432E"/>
    <w:rsid w:val="00C83539"/>
    <w:rsid w:val="00CD7F9D"/>
    <w:rsid w:val="00D72749"/>
    <w:rsid w:val="00D949CF"/>
    <w:rsid w:val="00DA74CC"/>
    <w:rsid w:val="00DF0ADA"/>
    <w:rsid w:val="00E66EE3"/>
    <w:rsid w:val="00E7714D"/>
    <w:rsid w:val="00E90C40"/>
    <w:rsid w:val="00E91D48"/>
    <w:rsid w:val="00EC3412"/>
    <w:rsid w:val="00F02694"/>
    <w:rsid w:val="00F03947"/>
    <w:rsid w:val="00F2678E"/>
    <w:rsid w:val="00F3697B"/>
    <w:rsid w:val="00FB5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1"/>
        <o:r id="V:Rule12" type="connector" idref="#_x0000_s1034"/>
        <o:r id="V:Rule14" type="connector" idref="#_x0000_s1035"/>
        <o:r id="V:Rule16" type="connector" idref="#_x0000_s1036"/>
        <o:r id="V:Rule18" type="connector" idref="#_x0000_s1037"/>
        <o:r id="V:Rule20" type="connector" idref="#_x0000_s1038"/>
        <o:r id="V:Rule24" type="connector" idref="#_x0000_s1040"/>
        <o:r id="V:Rule28" type="connector" idref="#_x0000_s1042"/>
        <o:r id="V:Rule30" type="connector" idref="#_x0000_s1043"/>
        <o:r id="V:Rule32" type="connector" idref="#_x0000_s1046"/>
        <o:r id="V:Rule34" type="connector" idref="#_x0000_s1047"/>
        <o:r id="V:Rule36" type="connector" idref="#_x0000_s1050"/>
        <o:r id="V:Rule38" type="connector" idref="#_x0000_s1051"/>
        <o:r id="V:Rule40" type="connector" idref="#_x0000_s1052"/>
        <o:r id="V:Rule44" type="connector" idref="#_x0000_s1056"/>
        <o:r id="V:Rule52" type="connector" idref="#_x0000_s1061"/>
        <o:r id="V:Rule53" type="connector" idref="#_x0000_s1062"/>
        <o:r id="V:Rule54" type="connector" idref="#_x0000_s1063"/>
        <o:r id="V:Rule55" type="connector" idref="#_x0000_s1064"/>
        <o:r id="V:Rule58" type="connector" idref="#_x0000_s1069"/>
        <o:r id="V:Rule60" type="connector" idref="#_x0000_s1070"/>
        <o:r id="V:Rule62" type="connector" idref="#_x0000_s1071"/>
        <o:r id="V:Rule64" type="connector" idref="#_x0000_s1072"/>
        <o:r id="V:Rule66" type="connector" idref="#_x0000_s1073"/>
        <o:r id="V:Rule68" type="connector" idref="#_x0000_s1074"/>
        <o:r id="V:Rule70" type="connector" idref="#_x0000_s1077"/>
        <o:r id="V:Rule72" type="connector" idref="#_x0000_s1079"/>
        <o:r id="V:Rule76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4B8"/>
    <w:pPr>
      <w:spacing w:after="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68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Pamelal Adams</dc:creator>
  <cp:lastModifiedBy>Pamelal Adams</cp:lastModifiedBy>
  <cp:revision>2</cp:revision>
  <dcterms:created xsi:type="dcterms:W3CDTF">2011-07-24T22:49:00Z</dcterms:created>
  <dcterms:modified xsi:type="dcterms:W3CDTF">2011-07-24T22:49:00Z</dcterms:modified>
</cp:coreProperties>
</file>