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DA9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</w:pPr>
      <w:r>
        <w:rPr>
          <w:rFonts w:hint="eastAsia" w:ascii="华文宋体" w:hAnsi="华文宋体" w:eastAsia="华文宋体" w:cs="华文宋体"/>
          <w:b/>
          <w:sz w:val="36"/>
        </w:rPr>
        <w:t>附录1：背景说明、术语解释与数据字典</w:t>
      </w:r>
    </w:p>
    <w:p w14:paraId="718628AD">
      <w:pPr>
        <w:pStyle w:val="2"/>
        <w:bidi w:val="0"/>
      </w:pPr>
      <w:r>
        <w:rPr>
          <w:rFonts w:hint="eastAsia" w:ascii="华文宋体" w:hAnsi="华文宋体" w:eastAsia="华文宋体" w:cs="华文宋体"/>
        </w:rPr>
        <w:t>一、附录目的与使用说明</w:t>
      </w:r>
    </w:p>
    <w:p w14:paraId="6AB178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</w:pPr>
      <w:r>
        <w:rPr>
          <w:rFonts w:hint="eastAsia" w:ascii="华文宋体" w:hAnsi="华文宋体" w:eastAsia="华文宋体" w:cs="华文宋体"/>
          <w:sz w:val="21"/>
        </w:rPr>
        <w:t>本附录用于配合赛题正文使用，集中说明算电协同背景、源网荷储算系统结构、核心术语、附件数据表、变量口径与主要评价指标。本赛题中的数据既包括输入参数，也包括基准运行状态和基准结果。参赛队伍在建立优化模型时，应根据各问题要求重新计算优化后的调度结果，并与附件给出的基准状态进行对比分析。</w:t>
      </w:r>
    </w:p>
    <w:p w14:paraId="5C81ADA8">
      <w:pPr>
        <w:pStyle w:val="2"/>
        <w:bidi w:val="0"/>
      </w:pPr>
      <w:r>
        <w:rPr>
          <w:rFonts w:hint="eastAsia" w:ascii="华文宋体" w:hAnsi="华文宋体" w:eastAsia="华文宋体" w:cs="华文宋体"/>
        </w:rPr>
        <w:t>二、背景与系统场景说明</w:t>
      </w:r>
    </w:p>
    <w:p w14:paraId="58EE3D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</w:pPr>
      <w:r>
        <w:rPr>
          <w:rFonts w:hint="eastAsia" w:ascii="华文宋体" w:hAnsi="华文宋体" w:eastAsia="华文宋体" w:cs="华文宋体"/>
          <w:sz w:val="21"/>
        </w:rPr>
        <w:t>随着人工智能算力规模持续增长，数据中心的用电需求、碳排放和电网交互影响不断增强。算电协同关注算力负荷与电力系统之间的实时耦合关系，目标是在满足任务服务质量和数据中心资源约束的前提下，</w:t>
      </w:r>
      <w:r>
        <w:rPr>
          <w:rFonts w:hint="eastAsia" w:ascii="华文宋体" w:hAnsi="华文宋体" w:eastAsia="华文宋体" w:cs="华文宋体"/>
          <w:sz w:val="21"/>
          <w:lang w:val="en-US" w:eastAsia="zh-CN"/>
        </w:rPr>
        <w:t>协调算力调度、电力成本、碳排放、新能源消纳、储能运行及区域购售电边界约束</w:t>
      </w:r>
      <w:r>
        <w:rPr>
          <w:rFonts w:hint="eastAsia" w:ascii="华文宋体" w:hAnsi="华文宋体" w:eastAsia="华文宋体" w:cs="华文宋体"/>
          <w:sz w:val="21"/>
        </w:rPr>
        <w:t>。</w:t>
      </w:r>
    </w:p>
    <w:p w14:paraId="3FDE7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</w:pPr>
      <w:r>
        <w:rPr>
          <w:rFonts w:hint="eastAsia" w:ascii="华文宋体" w:hAnsi="华文宋体" w:eastAsia="华文宋体" w:cs="华文宋体"/>
          <w:sz w:val="21"/>
        </w:rPr>
        <w:t>本赛题设置六个典型区域：RegionA、RegionB、RegionC 表示东部高负荷区域，实时业务需求强、网络时延要求高；RegionD 表示西部算力中心，具备较大算力承载能力；RegionE 表示光伏资源较丰富区域；RegionF 表示风电资源较丰富区域。各区域通过广域网络互联，构成跨区域算力调度与能源协同优化场景。</w:t>
      </w:r>
    </w:p>
    <w:p w14:paraId="5A61C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/>
        <w:textAlignment w:val="auto"/>
      </w:pPr>
      <w:r>
        <w:rPr>
          <w:rFonts w:hint="eastAsia" w:ascii="华文宋体" w:hAnsi="华文宋体" w:eastAsia="华文宋体" w:cs="华文宋体"/>
          <w:sz w:val="21"/>
          <w:lang w:val="en-US" w:eastAsia="zh-CN"/>
        </w:rPr>
        <w:t>系统主运行周期为第0–2399小时，时间粒度为1小时。第2400–2405小时用于结清第2399小时前到达但尚未完成的末端任务；第2406小时不产生新任务，也不安排未完成任务，仅用于电力与储能终端状态结算。所有任务最迟应在时点2406前完成，即不得占用第2406小时。所有任务均不可抢占、不可拆分或中途迁移。</w:t>
      </w:r>
    </w:p>
    <w:p w14:paraId="4C133F3A">
      <w:pPr>
        <w:pStyle w:val="2"/>
        <w:numPr>
          <w:ilvl w:val="0"/>
          <w:numId w:val="1"/>
        </w:numPr>
        <w:bidi w:val="0"/>
      </w:pPr>
      <w:r>
        <w:rPr>
          <w:rFonts w:hint="eastAsia" w:ascii="华文宋体" w:hAnsi="华文宋体" w:eastAsia="华文宋体" w:cs="华文宋体"/>
          <w:lang w:val="en-US" w:eastAsia="zh-CN"/>
        </w:rPr>
        <w:t>基础数据表格</w:t>
      </w:r>
      <w:r>
        <w:rPr>
          <w:rFonts w:hint="eastAsia" w:ascii="华文宋体" w:hAnsi="华文宋体" w:eastAsia="华文宋体" w:cs="华文宋体"/>
        </w:rPr>
        <w:t>说明</w:t>
      </w:r>
    </w:p>
    <w:p w14:paraId="059F0E38">
      <w:pPr>
        <w:numPr>
          <w:ilvl w:val="0"/>
          <w:numId w:val="0"/>
        </w:numPr>
        <w:jc w:val="center"/>
        <w:rPr>
          <w:rFonts w:hint="default" w:eastAsia="宋体"/>
          <w:lang w:val="en-US" w:eastAsia="zh-CN"/>
        </w:rPr>
      </w:pPr>
      <w:r>
        <w:rPr>
          <w:rFonts w:hint="eastAsia" w:ascii="华文宋体" w:hAnsi="华文宋体" w:eastAsia="华文宋体" w:cs="华文宋体"/>
          <w:lang w:val="en-US" w:eastAsia="zh-CN"/>
        </w:rPr>
        <w:t>表1. 区域情况说明</w:t>
      </w:r>
    </w:p>
    <w:tbl>
      <w:tblPr>
        <w:tblStyle w:val="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1701"/>
        <w:gridCol w:w="5923"/>
      </w:tblGrid>
      <w:tr w14:paraId="28BB0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6" w:type="pct"/>
            <w:shd w:val="clear" w:color="auto" w:fill="D9EAF7"/>
            <w:vAlign w:val="center"/>
          </w:tcPr>
          <w:p w14:paraId="5608E1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7"/>
              </w:rPr>
              <w:t>区域</w:t>
            </w:r>
          </w:p>
        </w:tc>
        <w:tc>
          <w:tcPr>
            <w:tcW w:w="998" w:type="pct"/>
            <w:shd w:val="clear" w:color="auto" w:fill="D9EAF7"/>
            <w:vAlign w:val="center"/>
          </w:tcPr>
          <w:p w14:paraId="42BDA9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7"/>
              </w:rPr>
              <w:t>定位</w:t>
            </w:r>
          </w:p>
        </w:tc>
        <w:tc>
          <w:tcPr>
            <w:tcW w:w="3475" w:type="pct"/>
            <w:shd w:val="clear" w:color="auto" w:fill="D9EAF7"/>
            <w:vAlign w:val="center"/>
          </w:tcPr>
          <w:p w14:paraId="403469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7"/>
              </w:rPr>
              <w:t>含义</w:t>
            </w:r>
          </w:p>
        </w:tc>
      </w:tr>
      <w:tr w14:paraId="63D9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6" w:type="pct"/>
            <w:vAlign w:val="center"/>
          </w:tcPr>
          <w:p w14:paraId="0234AA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RegionA</w:t>
            </w:r>
          </w:p>
        </w:tc>
        <w:tc>
          <w:tcPr>
            <w:tcW w:w="998" w:type="pct"/>
            <w:vAlign w:val="center"/>
          </w:tcPr>
          <w:p w14:paraId="2248FA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东部高负荷区域</w:t>
            </w:r>
          </w:p>
        </w:tc>
        <w:tc>
          <w:tcPr>
            <w:tcW w:w="3475" w:type="pct"/>
            <w:vAlign w:val="center"/>
          </w:tcPr>
          <w:p w14:paraId="0F35A9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实时业务需求较高，算力压力较大，适合优先保障低时延任务。</w:t>
            </w:r>
          </w:p>
        </w:tc>
      </w:tr>
      <w:tr w14:paraId="472E4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6" w:type="pct"/>
            <w:vAlign w:val="center"/>
          </w:tcPr>
          <w:p w14:paraId="4095CD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RegionB</w:t>
            </w:r>
          </w:p>
        </w:tc>
        <w:tc>
          <w:tcPr>
            <w:tcW w:w="998" w:type="pct"/>
            <w:vAlign w:val="center"/>
          </w:tcPr>
          <w:p w14:paraId="59ED04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东部高负荷区域</w:t>
            </w:r>
          </w:p>
        </w:tc>
        <w:tc>
          <w:tcPr>
            <w:tcW w:w="3475" w:type="pct"/>
            <w:vAlign w:val="center"/>
          </w:tcPr>
          <w:p w14:paraId="4A9420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靠近用户侧，适合承接实时推理和部分批量推理任务。</w:t>
            </w:r>
          </w:p>
        </w:tc>
      </w:tr>
      <w:tr w14:paraId="1F585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6" w:type="pct"/>
            <w:vAlign w:val="center"/>
          </w:tcPr>
          <w:p w14:paraId="618886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RegionC</w:t>
            </w:r>
          </w:p>
        </w:tc>
        <w:tc>
          <w:tcPr>
            <w:tcW w:w="998" w:type="pct"/>
            <w:vAlign w:val="center"/>
          </w:tcPr>
          <w:p w14:paraId="47AEA1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东部高负荷区域</w:t>
            </w:r>
          </w:p>
        </w:tc>
        <w:tc>
          <w:tcPr>
            <w:tcW w:w="3475" w:type="pct"/>
            <w:vAlign w:val="center"/>
          </w:tcPr>
          <w:p w14:paraId="7EC2C3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负荷水平较高，可作为东部任务承接与迁移对比区域。</w:t>
            </w:r>
          </w:p>
        </w:tc>
      </w:tr>
      <w:tr w14:paraId="14C29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6" w:type="pct"/>
            <w:vAlign w:val="center"/>
          </w:tcPr>
          <w:p w14:paraId="44003A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RegionD</w:t>
            </w:r>
          </w:p>
        </w:tc>
        <w:tc>
          <w:tcPr>
            <w:tcW w:w="998" w:type="pct"/>
            <w:vAlign w:val="center"/>
          </w:tcPr>
          <w:p w14:paraId="5DB4DC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西部算力中心</w:t>
            </w:r>
          </w:p>
        </w:tc>
        <w:tc>
          <w:tcPr>
            <w:tcW w:w="3475" w:type="pct"/>
            <w:vAlign w:val="center"/>
          </w:tcPr>
          <w:p w14:paraId="03F3E3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算力容量较大，适合承接可迁移的批量推理和训练任务。</w:t>
            </w:r>
          </w:p>
        </w:tc>
      </w:tr>
      <w:tr w14:paraId="2E7EC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6" w:type="pct"/>
            <w:vAlign w:val="center"/>
          </w:tcPr>
          <w:p w14:paraId="01B1FB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RegionE</w:t>
            </w:r>
          </w:p>
        </w:tc>
        <w:tc>
          <w:tcPr>
            <w:tcW w:w="998" w:type="pct"/>
            <w:vAlign w:val="center"/>
          </w:tcPr>
          <w:p w14:paraId="41EEEB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光伏资源富集区域</w:t>
            </w:r>
          </w:p>
        </w:tc>
        <w:tc>
          <w:tcPr>
            <w:tcW w:w="3475" w:type="pct"/>
            <w:vAlign w:val="center"/>
          </w:tcPr>
          <w:p w14:paraId="210CCC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新能源出力具有明显日间特征，适合开展低碳调度与新能源消纳分析。</w:t>
            </w:r>
          </w:p>
        </w:tc>
      </w:tr>
      <w:tr w14:paraId="63050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6" w:type="pct"/>
            <w:vAlign w:val="center"/>
          </w:tcPr>
          <w:p w14:paraId="419D7B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RegionF</w:t>
            </w:r>
          </w:p>
        </w:tc>
        <w:tc>
          <w:tcPr>
            <w:tcW w:w="998" w:type="pct"/>
            <w:vAlign w:val="center"/>
          </w:tcPr>
          <w:p w14:paraId="3AFC62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风电资源富集区域</w:t>
            </w:r>
          </w:p>
        </w:tc>
        <w:tc>
          <w:tcPr>
            <w:tcW w:w="3475" w:type="pct"/>
            <w:vAlign w:val="center"/>
          </w:tcPr>
          <w:p w14:paraId="0B1C29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新能源出力具有波动性，适合开展储能协同与风电消纳分析。</w:t>
            </w:r>
          </w:p>
        </w:tc>
      </w:tr>
    </w:tbl>
    <w:p w14:paraId="6DF634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eastAsia="宋体"/>
          <w:lang w:val="en-US" w:eastAsia="zh-CN"/>
        </w:rPr>
      </w:pPr>
      <w:r>
        <w:rPr>
          <w:rFonts w:hint="eastAsia" w:ascii="华文宋体" w:hAnsi="华文宋体" w:eastAsia="华文宋体" w:cs="华文宋体"/>
          <w:lang w:val="en-US" w:eastAsia="zh-CN"/>
        </w:rPr>
        <w:t>表2.三种不同AI任务的说明</w:t>
      </w:r>
    </w:p>
    <w:tbl>
      <w:tblPr>
        <w:tblStyle w:val="7"/>
        <w:tblW w:w="500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1187"/>
        <w:gridCol w:w="1399"/>
        <w:gridCol w:w="4303"/>
      </w:tblGrid>
      <w:tr w14:paraId="684B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959" w:type="pct"/>
            <w:shd w:val="clear" w:color="auto" w:fill="D9EAF7"/>
            <w:vAlign w:val="center"/>
          </w:tcPr>
          <w:p w14:paraId="540185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7"/>
              </w:rPr>
              <w:t>TaskType</w:t>
            </w:r>
          </w:p>
        </w:tc>
        <w:tc>
          <w:tcPr>
            <w:tcW w:w="696" w:type="pct"/>
            <w:shd w:val="clear" w:color="auto" w:fill="D9EAF7"/>
            <w:vAlign w:val="center"/>
          </w:tcPr>
          <w:p w14:paraId="504E50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7"/>
              </w:rPr>
              <w:t>中文名称</w:t>
            </w:r>
          </w:p>
        </w:tc>
        <w:tc>
          <w:tcPr>
            <w:tcW w:w="820" w:type="pct"/>
            <w:shd w:val="clear" w:color="auto" w:fill="D9EAF7"/>
            <w:vAlign w:val="center"/>
          </w:tcPr>
          <w:p w14:paraId="1BB330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7"/>
              </w:rPr>
              <w:t>DelaySensitivity</w:t>
            </w:r>
          </w:p>
        </w:tc>
        <w:tc>
          <w:tcPr>
            <w:tcW w:w="2524" w:type="pct"/>
            <w:shd w:val="clear" w:color="auto" w:fill="D9EAF7"/>
            <w:vAlign w:val="center"/>
          </w:tcPr>
          <w:p w14:paraId="0BFAAC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7"/>
              </w:rPr>
              <w:t>调度含义</w:t>
            </w:r>
          </w:p>
        </w:tc>
      </w:tr>
      <w:tr w14:paraId="3C3E7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959" w:type="pct"/>
            <w:vAlign w:val="center"/>
          </w:tcPr>
          <w:p w14:paraId="170F9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RealTimeInference</w:t>
            </w:r>
          </w:p>
        </w:tc>
        <w:tc>
          <w:tcPr>
            <w:tcW w:w="696" w:type="pct"/>
            <w:vAlign w:val="center"/>
          </w:tcPr>
          <w:p w14:paraId="47DBDB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实时推理任务</w:t>
            </w:r>
          </w:p>
        </w:tc>
        <w:tc>
          <w:tcPr>
            <w:tcW w:w="820" w:type="pct"/>
            <w:vAlign w:val="center"/>
          </w:tcPr>
          <w:p w14:paraId="38F065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High</w:t>
            </w:r>
          </w:p>
        </w:tc>
        <w:tc>
          <w:tcPr>
            <w:tcW w:w="2524" w:type="pct"/>
            <w:vAlign w:val="center"/>
          </w:tcPr>
          <w:p w14:paraId="5E3BB5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时延约束强，原则上不宜远距离迁移，优先满足 SLA 和网络时延约束。</w:t>
            </w:r>
          </w:p>
        </w:tc>
      </w:tr>
      <w:tr w14:paraId="30B2E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959" w:type="pct"/>
            <w:vAlign w:val="center"/>
          </w:tcPr>
          <w:p w14:paraId="505F06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BatchInference</w:t>
            </w:r>
          </w:p>
        </w:tc>
        <w:tc>
          <w:tcPr>
            <w:tcW w:w="696" w:type="pct"/>
            <w:vAlign w:val="center"/>
          </w:tcPr>
          <w:p w14:paraId="61591B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批量推理任务</w:t>
            </w:r>
          </w:p>
        </w:tc>
        <w:tc>
          <w:tcPr>
            <w:tcW w:w="820" w:type="pct"/>
            <w:vAlign w:val="center"/>
          </w:tcPr>
          <w:p w14:paraId="4D7C14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Medium</w:t>
            </w:r>
          </w:p>
        </w:tc>
        <w:tc>
          <w:tcPr>
            <w:tcW w:w="2524" w:type="pct"/>
            <w:vAlign w:val="center"/>
          </w:tcPr>
          <w:p w14:paraId="0422DD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具有一定调度弹性，可在成本、时延和容量之间折中。</w:t>
            </w:r>
          </w:p>
        </w:tc>
      </w:tr>
      <w:tr w14:paraId="27E36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959" w:type="pct"/>
            <w:vAlign w:val="center"/>
          </w:tcPr>
          <w:p w14:paraId="630DD7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AITraining</w:t>
            </w:r>
          </w:p>
        </w:tc>
        <w:tc>
          <w:tcPr>
            <w:tcW w:w="696" w:type="pct"/>
            <w:vAlign w:val="center"/>
          </w:tcPr>
          <w:p w14:paraId="1B70D8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AI 训练任务</w:t>
            </w:r>
          </w:p>
        </w:tc>
        <w:tc>
          <w:tcPr>
            <w:tcW w:w="820" w:type="pct"/>
            <w:vAlign w:val="center"/>
          </w:tcPr>
          <w:p w14:paraId="6B45F8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Low</w:t>
            </w:r>
          </w:p>
        </w:tc>
        <w:tc>
          <w:tcPr>
            <w:tcW w:w="2524" w:type="pct"/>
            <w:vAlign w:val="center"/>
          </w:tcPr>
          <w:p w14:paraId="1C2938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7"/>
              </w:rPr>
              <w:t>对实时网络时延不敏感，通常是低电价、低碳和新能源消纳调度的主要调节对象。</w:t>
            </w:r>
          </w:p>
        </w:tc>
      </w:tr>
    </w:tbl>
    <w:p w14:paraId="3061E4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 w:ascii="华文宋体" w:hAnsi="华文宋体" w:eastAsia="华文宋体" w:cs="华文宋体"/>
          <w:lang w:val="en-US" w:eastAsia="zh-CN"/>
        </w:rPr>
        <w:t>表3. 附件数据表说明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742"/>
        <w:gridCol w:w="725"/>
        <w:gridCol w:w="725"/>
        <w:gridCol w:w="725"/>
        <w:gridCol w:w="3397"/>
      </w:tblGrid>
      <w:tr w14:paraId="787E1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8" w:type="dxa"/>
            <w:shd w:val="clear" w:color="auto" w:fill="D9EAF7"/>
            <w:vAlign w:val="center"/>
          </w:tcPr>
          <w:p w14:paraId="7D4181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数据表</w:t>
            </w:r>
          </w:p>
        </w:tc>
        <w:tc>
          <w:tcPr>
            <w:tcW w:w="742" w:type="dxa"/>
            <w:shd w:val="clear" w:color="auto" w:fill="D9EAF7"/>
            <w:vAlign w:val="center"/>
          </w:tcPr>
          <w:p w14:paraId="76CB57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问题一</w:t>
            </w:r>
          </w:p>
        </w:tc>
        <w:tc>
          <w:tcPr>
            <w:tcW w:w="725" w:type="dxa"/>
            <w:shd w:val="clear" w:color="auto" w:fill="D9EAF7"/>
            <w:vAlign w:val="center"/>
          </w:tcPr>
          <w:p w14:paraId="732FC3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问题二</w:t>
            </w:r>
          </w:p>
        </w:tc>
        <w:tc>
          <w:tcPr>
            <w:tcW w:w="725" w:type="dxa"/>
            <w:shd w:val="clear" w:color="auto" w:fill="D9EAF7"/>
            <w:vAlign w:val="center"/>
          </w:tcPr>
          <w:p w14:paraId="0BF5DC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问题三</w:t>
            </w:r>
          </w:p>
        </w:tc>
        <w:tc>
          <w:tcPr>
            <w:tcW w:w="725" w:type="dxa"/>
            <w:shd w:val="clear" w:color="auto" w:fill="D9EAF7"/>
            <w:vAlign w:val="center"/>
          </w:tcPr>
          <w:p w14:paraId="5A2A08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问题四</w:t>
            </w:r>
          </w:p>
        </w:tc>
        <w:tc>
          <w:tcPr>
            <w:tcW w:w="3397" w:type="dxa"/>
            <w:shd w:val="clear" w:color="auto" w:fill="D9EAF7"/>
            <w:vAlign w:val="center"/>
          </w:tcPr>
          <w:p w14:paraId="4A4984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说明</w:t>
            </w:r>
          </w:p>
        </w:tc>
      </w:tr>
      <w:tr w14:paraId="60AFF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8" w:type="dxa"/>
            <w:vAlign w:val="center"/>
          </w:tcPr>
          <w:p w14:paraId="73BC91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GPU_information.xlsx</w:t>
            </w:r>
          </w:p>
        </w:tc>
        <w:tc>
          <w:tcPr>
            <w:tcW w:w="742" w:type="dxa"/>
            <w:vAlign w:val="center"/>
          </w:tcPr>
          <w:p w14:paraId="757B25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241C9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7B3BA8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2F273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3397" w:type="dxa"/>
            <w:vAlign w:val="center"/>
          </w:tcPr>
          <w:p w14:paraId="134FA8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数据中心 GPU 容量、IT 功率容量、PUE 和设施侧容量约束。</w:t>
            </w:r>
          </w:p>
        </w:tc>
      </w:tr>
      <w:tr w14:paraId="69BA8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8" w:type="dxa"/>
            <w:vAlign w:val="center"/>
          </w:tcPr>
          <w:p w14:paraId="4E2BD2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workload_trace.xlsx</w:t>
            </w:r>
          </w:p>
        </w:tc>
        <w:tc>
          <w:tcPr>
            <w:tcW w:w="742" w:type="dxa"/>
            <w:vAlign w:val="center"/>
          </w:tcPr>
          <w:p w14:paraId="79DD53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2B4218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1847D2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74E4E8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3397" w:type="dxa"/>
            <w:vAlign w:val="center"/>
          </w:tcPr>
          <w:p w14:paraId="455A4D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AI 任务轨迹、任务类型、来源区域、GPU 需求、SLA 与预测验证目标。</w:t>
            </w:r>
          </w:p>
        </w:tc>
      </w:tr>
      <w:tr w14:paraId="490DC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8" w:type="dxa"/>
            <w:vAlign w:val="center"/>
          </w:tcPr>
          <w:p w14:paraId="4C1804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network_latency.xlsx</w:t>
            </w:r>
          </w:p>
        </w:tc>
        <w:tc>
          <w:tcPr>
            <w:tcW w:w="742" w:type="dxa"/>
            <w:vAlign w:val="center"/>
          </w:tcPr>
          <w:p w14:paraId="015AE3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41E757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71973E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69ABEC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3397" w:type="dxa"/>
            <w:vAlign w:val="center"/>
          </w:tcPr>
          <w:p w14:paraId="113636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区域间网络时延矩阵，用于跨区域迁移时延与 SLA 约束。</w:t>
            </w:r>
          </w:p>
        </w:tc>
      </w:tr>
      <w:tr w14:paraId="0A07B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8" w:type="dxa"/>
            <w:vAlign w:val="center"/>
          </w:tcPr>
          <w:p w14:paraId="537C07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region_time_data.xlsx</w:t>
            </w:r>
          </w:p>
        </w:tc>
        <w:tc>
          <w:tcPr>
            <w:tcW w:w="742" w:type="dxa"/>
            <w:vAlign w:val="center"/>
          </w:tcPr>
          <w:p w14:paraId="5BEDA4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113442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0E40A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58EE0E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3397" w:type="dxa"/>
            <w:vAlign w:val="center"/>
          </w:tcPr>
          <w:p w14:paraId="7BEC6F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区域-小时级电价、碳强度、新能源、负荷、购售电、储能和基准运行状态。</w:t>
            </w:r>
          </w:p>
        </w:tc>
      </w:tr>
      <w:tr w14:paraId="0C4BB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8" w:type="dxa"/>
            <w:shd w:val="clear" w:color="auto" w:fill="auto"/>
            <w:vAlign w:val="center"/>
          </w:tcPr>
          <w:p w14:paraId="30FD1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华文宋体" w:hAnsi="华文宋体" w:eastAsia="华文宋体" w:cs="华文宋体"/>
                <w:b w:val="0"/>
                <w:sz w:val="16"/>
                <w:szCs w:val="22"/>
                <w:lang w:val="en-US" w:eastAsia="en-US" w:bidi="ar-SA"/>
              </w:rPr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  <w:lang w:val="en-US" w:eastAsia="zh-CN"/>
              </w:rPr>
              <w:t>power_mapping.xlsx</w:t>
            </w:r>
          </w:p>
        </w:tc>
        <w:tc>
          <w:tcPr>
            <w:tcW w:w="742" w:type="dxa"/>
            <w:shd w:val="clear" w:color="auto" w:fill="auto"/>
            <w:vAlign w:val="center"/>
          </w:tcPr>
          <w:p w14:paraId="09ACD4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华文宋体" w:hAnsi="华文宋体" w:eastAsia="华文宋体" w:cs="华文宋体"/>
                <w:b w:val="0"/>
                <w:sz w:val="16"/>
                <w:szCs w:val="22"/>
                <w:lang w:val="en-US" w:eastAsia="en-US" w:bidi="ar-SA"/>
              </w:rPr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  <w:lang w:val="en-US" w:eastAsia="en-US"/>
              </w:rPr>
              <w:t>√</w:t>
            </w:r>
          </w:p>
        </w:tc>
        <w:tc>
          <w:tcPr>
            <w:tcW w:w="725" w:type="dxa"/>
            <w:shd w:val="clear" w:color="auto" w:fill="auto"/>
            <w:vAlign w:val="center"/>
          </w:tcPr>
          <w:p w14:paraId="5CE22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华文宋体" w:hAnsi="华文宋体" w:eastAsia="华文宋体" w:cs="华文宋体"/>
                <w:b w:val="0"/>
                <w:sz w:val="16"/>
                <w:szCs w:val="22"/>
                <w:lang w:val="en-US" w:eastAsia="en-US" w:bidi="ar-SA"/>
              </w:rPr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  <w:lang w:val="en-US" w:eastAsia="en-US"/>
              </w:rPr>
              <w:t>√</w:t>
            </w:r>
          </w:p>
        </w:tc>
        <w:tc>
          <w:tcPr>
            <w:tcW w:w="725" w:type="dxa"/>
            <w:shd w:val="clear" w:color="auto" w:fill="auto"/>
            <w:vAlign w:val="center"/>
          </w:tcPr>
          <w:p w14:paraId="5DD8C7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华文宋体" w:hAnsi="华文宋体" w:eastAsia="华文宋体" w:cs="华文宋体"/>
                <w:b w:val="0"/>
                <w:sz w:val="16"/>
                <w:szCs w:val="22"/>
                <w:lang w:val="en-US" w:eastAsia="zh-CN" w:bidi="ar-SA"/>
              </w:rPr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shd w:val="clear" w:color="auto" w:fill="auto"/>
            <w:vAlign w:val="center"/>
          </w:tcPr>
          <w:p w14:paraId="448730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Noto Serif CJK SC" w:hAnsi="Noto Serif CJK SC" w:eastAsia="Noto Serif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54C9D4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Noto Serif CJK SC" w:hAnsi="Noto Serif CJK SC" w:eastAsia="Noto Serif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  <w:lang w:val="en-US" w:eastAsia="en-US"/>
              </w:rPr>
              <w:t>给出三类任务单位等效 GPU 的平均 IT 功率。用于将任务调度结果换算为 AI IT 负荷，进而计算设施负荷、电费、碳排放与新能源利用率。</w:t>
            </w:r>
          </w:p>
        </w:tc>
      </w:tr>
      <w:tr w14:paraId="4345A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8" w:type="dxa"/>
            <w:vAlign w:val="center"/>
          </w:tcPr>
          <w:p w14:paraId="318ADF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storage_information.xlsx</w:t>
            </w:r>
          </w:p>
        </w:tc>
        <w:tc>
          <w:tcPr>
            <w:tcW w:w="742" w:type="dxa"/>
            <w:vAlign w:val="center"/>
          </w:tcPr>
          <w:p w14:paraId="154043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</w:p>
        </w:tc>
        <w:tc>
          <w:tcPr>
            <w:tcW w:w="725" w:type="dxa"/>
            <w:vAlign w:val="center"/>
          </w:tcPr>
          <w:p w14:paraId="558050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</w:p>
        </w:tc>
        <w:tc>
          <w:tcPr>
            <w:tcW w:w="725" w:type="dxa"/>
            <w:vAlign w:val="center"/>
          </w:tcPr>
          <w:p w14:paraId="4A9A82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725" w:type="dxa"/>
            <w:vAlign w:val="center"/>
          </w:tcPr>
          <w:p w14:paraId="298CB6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√</w:t>
            </w:r>
          </w:p>
        </w:tc>
        <w:tc>
          <w:tcPr>
            <w:tcW w:w="3397" w:type="dxa"/>
            <w:vAlign w:val="center"/>
          </w:tcPr>
          <w:p w14:paraId="7C014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储能容量、SOC 上下限、充放电功率、效率和外送上限。</w:t>
            </w:r>
          </w:p>
        </w:tc>
      </w:tr>
    </w:tbl>
    <w:p w14:paraId="31C93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0"/>
        <w:textAlignment w:val="auto"/>
      </w:pPr>
      <w:r>
        <w:rPr>
          <w:rFonts w:hint="eastAsia" w:ascii="华文宋体" w:hAnsi="华文宋体" w:eastAsia="华文宋体" w:cs="华文宋体"/>
          <w:sz w:val="21"/>
        </w:rPr>
        <w:t>注：“√”表示对应问题建议或必须使用该数据表</w:t>
      </w:r>
      <w:bookmarkStart w:id="0" w:name="_GoBack"/>
      <w:bookmarkEnd w:id="0"/>
      <w:r>
        <w:rPr>
          <w:rFonts w:hint="eastAsia" w:ascii="华文宋体" w:hAnsi="华文宋体" w:eastAsia="华文宋体" w:cs="华文宋体"/>
          <w:sz w:val="21"/>
        </w:rPr>
        <w:t>。问题二至问题四为保证结果可比性，原则上均以附件给出的实际数据作为统一优化输入。</w:t>
      </w:r>
    </w:p>
    <w:p w14:paraId="6D9B42F4">
      <w:pPr>
        <w:pStyle w:val="2"/>
        <w:bidi w:val="0"/>
      </w:pPr>
      <w:r>
        <w:rPr>
          <w:rFonts w:hint="eastAsia" w:ascii="华文宋体" w:hAnsi="华文宋体" w:eastAsia="华文宋体" w:cs="华文宋体"/>
          <w:lang w:val="en-US" w:eastAsia="zh-CN"/>
        </w:rPr>
        <w:t>四</w:t>
      </w:r>
      <w:r>
        <w:rPr>
          <w:rFonts w:hint="eastAsia" w:ascii="华文宋体" w:hAnsi="华文宋体" w:eastAsia="华文宋体" w:cs="华文宋体"/>
        </w:rPr>
        <w:t>、核心数据字段与变量口径</w:t>
      </w:r>
    </w:p>
    <w:p w14:paraId="23DCF4D3">
      <w:pPr>
        <w:pStyle w:val="3"/>
        <w:bidi w:val="0"/>
        <w:jc w:val="left"/>
      </w:pPr>
      <w:r>
        <w:rPr>
          <w:rFonts w:hint="eastAsia" w:ascii="华文宋体" w:hAnsi="华文宋体" w:eastAsia="华文宋体" w:cs="华文宋体"/>
          <w:lang w:val="en-US" w:eastAsia="zh-CN"/>
        </w:rPr>
        <w:t>4</w:t>
      </w:r>
      <w:r>
        <w:rPr>
          <w:rFonts w:hint="eastAsia" w:ascii="华文宋体" w:hAnsi="华文宋体" w:eastAsia="华文宋体" w:cs="华文宋体"/>
        </w:rPr>
        <w:t>.1 GPU_information.xlsx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5"/>
        <w:gridCol w:w="1369"/>
        <w:gridCol w:w="1234"/>
        <w:gridCol w:w="1070"/>
        <w:gridCol w:w="2984"/>
      </w:tblGrid>
      <w:tr w14:paraId="3E707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5" w:type="dxa"/>
            <w:shd w:val="clear" w:color="auto" w:fill="D9EAF7"/>
            <w:vAlign w:val="center"/>
          </w:tcPr>
          <w:p w14:paraId="3680B1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字段</w:t>
            </w:r>
          </w:p>
        </w:tc>
        <w:tc>
          <w:tcPr>
            <w:tcW w:w="1369" w:type="dxa"/>
            <w:shd w:val="clear" w:color="auto" w:fill="D9EAF7"/>
            <w:vAlign w:val="center"/>
          </w:tcPr>
          <w:p w14:paraId="1B046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中文名称</w:t>
            </w:r>
          </w:p>
        </w:tc>
        <w:tc>
          <w:tcPr>
            <w:tcW w:w="1234" w:type="dxa"/>
            <w:shd w:val="clear" w:color="auto" w:fill="D9EAF7"/>
            <w:vAlign w:val="center"/>
          </w:tcPr>
          <w:p w14:paraId="389AF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单位</w:t>
            </w:r>
          </w:p>
        </w:tc>
        <w:tc>
          <w:tcPr>
            <w:tcW w:w="1070" w:type="dxa"/>
            <w:shd w:val="clear" w:color="auto" w:fill="D9EAF7"/>
            <w:vAlign w:val="center"/>
          </w:tcPr>
          <w:p w14:paraId="4082E1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属性</w:t>
            </w:r>
          </w:p>
        </w:tc>
        <w:tc>
          <w:tcPr>
            <w:tcW w:w="2984" w:type="dxa"/>
            <w:shd w:val="clear" w:color="auto" w:fill="D9EAF7"/>
            <w:vAlign w:val="center"/>
          </w:tcPr>
          <w:p w14:paraId="24E70A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说明</w:t>
            </w:r>
          </w:p>
        </w:tc>
      </w:tr>
      <w:tr w14:paraId="12C23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5" w:type="dxa"/>
            <w:vAlign w:val="center"/>
          </w:tcPr>
          <w:p w14:paraId="6124C3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Region</w:t>
            </w:r>
          </w:p>
        </w:tc>
        <w:tc>
          <w:tcPr>
            <w:tcW w:w="1369" w:type="dxa"/>
            <w:vAlign w:val="center"/>
          </w:tcPr>
          <w:p w14:paraId="4B4C04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区域编号</w:t>
            </w:r>
          </w:p>
        </w:tc>
        <w:tc>
          <w:tcPr>
            <w:tcW w:w="1234" w:type="dxa"/>
            <w:vAlign w:val="center"/>
          </w:tcPr>
          <w:p w14:paraId="7BEDA1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无</w:t>
            </w:r>
          </w:p>
        </w:tc>
        <w:tc>
          <w:tcPr>
            <w:tcW w:w="1070" w:type="dxa"/>
            <w:vAlign w:val="center"/>
          </w:tcPr>
          <w:p w14:paraId="305EB8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输入索引</w:t>
            </w:r>
          </w:p>
        </w:tc>
        <w:tc>
          <w:tcPr>
            <w:tcW w:w="2984" w:type="dxa"/>
            <w:vAlign w:val="center"/>
          </w:tcPr>
          <w:p w14:paraId="1CEF9B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RegionA 至 RegionF。</w:t>
            </w:r>
          </w:p>
        </w:tc>
      </w:tr>
      <w:tr w14:paraId="5EDCE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5" w:type="dxa"/>
            <w:vAlign w:val="center"/>
          </w:tcPr>
          <w:p w14:paraId="6C3CF8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Total_GPU</w:t>
            </w:r>
          </w:p>
        </w:tc>
        <w:tc>
          <w:tcPr>
            <w:tcW w:w="1369" w:type="dxa"/>
            <w:vAlign w:val="center"/>
          </w:tcPr>
          <w:p w14:paraId="6BB581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GPU 总容量</w:t>
            </w:r>
          </w:p>
        </w:tc>
        <w:tc>
          <w:tcPr>
            <w:tcW w:w="1234" w:type="dxa"/>
            <w:vAlign w:val="center"/>
          </w:tcPr>
          <w:p w14:paraId="6238E7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等效GPU单元</w:t>
            </w:r>
          </w:p>
        </w:tc>
        <w:tc>
          <w:tcPr>
            <w:tcW w:w="1070" w:type="dxa"/>
            <w:vAlign w:val="center"/>
          </w:tcPr>
          <w:p w14:paraId="441485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2984" w:type="dxa"/>
            <w:vAlign w:val="center"/>
          </w:tcPr>
          <w:p w14:paraId="47C0B0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表示区域数据中心总体算力资源规模。</w:t>
            </w:r>
          </w:p>
        </w:tc>
      </w:tr>
      <w:tr w14:paraId="79E50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5" w:type="dxa"/>
            <w:vAlign w:val="center"/>
          </w:tcPr>
          <w:p w14:paraId="705FB8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Available_GPU</w:t>
            </w:r>
          </w:p>
        </w:tc>
        <w:tc>
          <w:tcPr>
            <w:tcW w:w="1369" w:type="dxa"/>
            <w:vAlign w:val="center"/>
          </w:tcPr>
          <w:p w14:paraId="7247A6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可调度 GPU 容量</w:t>
            </w:r>
          </w:p>
        </w:tc>
        <w:tc>
          <w:tcPr>
            <w:tcW w:w="1234" w:type="dxa"/>
            <w:vAlign w:val="center"/>
          </w:tcPr>
          <w:p w14:paraId="6E2435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等效GPU单元</w:t>
            </w:r>
          </w:p>
        </w:tc>
        <w:tc>
          <w:tcPr>
            <w:tcW w:w="1070" w:type="dxa"/>
            <w:vAlign w:val="center"/>
          </w:tcPr>
          <w:p w14:paraId="4A6D17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2984" w:type="dxa"/>
            <w:vAlign w:val="center"/>
          </w:tcPr>
          <w:p w14:paraId="2CE90B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扣除预留比例后的可调度容量，用于容量约束。</w:t>
            </w:r>
          </w:p>
        </w:tc>
      </w:tr>
      <w:tr w14:paraId="4ECAD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5" w:type="dxa"/>
            <w:vAlign w:val="center"/>
          </w:tcPr>
          <w:p w14:paraId="2BCEA6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Max_IT_Power_MW</w:t>
            </w:r>
          </w:p>
        </w:tc>
        <w:tc>
          <w:tcPr>
            <w:tcW w:w="1369" w:type="dxa"/>
            <w:vAlign w:val="center"/>
          </w:tcPr>
          <w:p w14:paraId="16A4DF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最大 IT 功率</w:t>
            </w:r>
          </w:p>
        </w:tc>
        <w:tc>
          <w:tcPr>
            <w:tcW w:w="1234" w:type="dxa"/>
            <w:vAlign w:val="center"/>
          </w:tcPr>
          <w:p w14:paraId="3CD8F9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MW</w:t>
            </w:r>
          </w:p>
        </w:tc>
        <w:tc>
          <w:tcPr>
            <w:tcW w:w="1070" w:type="dxa"/>
            <w:vAlign w:val="center"/>
          </w:tcPr>
          <w:p w14:paraId="04545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2984" w:type="dxa"/>
            <w:vAlign w:val="center"/>
          </w:tcPr>
          <w:p w14:paraId="605955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IT 侧负荷上限。</w:t>
            </w:r>
          </w:p>
        </w:tc>
      </w:tr>
      <w:tr w14:paraId="7FAB5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5" w:type="dxa"/>
            <w:vAlign w:val="center"/>
          </w:tcPr>
          <w:p w14:paraId="6E3E90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PUE</w:t>
            </w:r>
          </w:p>
        </w:tc>
        <w:tc>
          <w:tcPr>
            <w:tcW w:w="1369" w:type="dxa"/>
            <w:vAlign w:val="center"/>
          </w:tcPr>
          <w:p w14:paraId="33B92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能源使用效率</w:t>
            </w:r>
          </w:p>
        </w:tc>
        <w:tc>
          <w:tcPr>
            <w:tcW w:w="1234" w:type="dxa"/>
            <w:vAlign w:val="center"/>
          </w:tcPr>
          <w:p w14:paraId="42BA89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无量纲</w:t>
            </w:r>
          </w:p>
        </w:tc>
        <w:tc>
          <w:tcPr>
            <w:tcW w:w="1070" w:type="dxa"/>
            <w:vAlign w:val="center"/>
          </w:tcPr>
          <w:p w14:paraId="640E1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2984" w:type="dxa"/>
            <w:vAlign w:val="center"/>
          </w:tcPr>
          <w:p w14:paraId="12A4C2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设施侧总负荷与 IT 负荷之间的转换系数。</w:t>
            </w:r>
          </w:p>
        </w:tc>
      </w:tr>
      <w:tr w14:paraId="45DEA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5" w:type="dxa"/>
            <w:vAlign w:val="center"/>
          </w:tcPr>
          <w:p w14:paraId="592147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Max_Facility_Power_MW</w:t>
            </w:r>
          </w:p>
        </w:tc>
        <w:tc>
          <w:tcPr>
            <w:tcW w:w="1369" w:type="dxa"/>
            <w:vAlign w:val="center"/>
          </w:tcPr>
          <w:p w14:paraId="37627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设施侧最大功率</w:t>
            </w:r>
          </w:p>
        </w:tc>
        <w:tc>
          <w:tcPr>
            <w:tcW w:w="1234" w:type="dxa"/>
            <w:vAlign w:val="center"/>
          </w:tcPr>
          <w:p w14:paraId="338849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MW</w:t>
            </w:r>
          </w:p>
        </w:tc>
        <w:tc>
          <w:tcPr>
            <w:tcW w:w="1070" w:type="dxa"/>
            <w:vAlign w:val="center"/>
          </w:tcPr>
          <w:p w14:paraId="462D9C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2984" w:type="dxa"/>
            <w:vAlign w:val="center"/>
          </w:tcPr>
          <w:p w14:paraId="6D485A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数据中心设施侧最大用电功率。</w:t>
            </w:r>
          </w:p>
        </w:tc>
      </w:tr>
    </w:tbl>
    <w:p w14:paraId="731B9087">
      <w:pPr>
        <w:pStyle w:val="3"/>
        <w:bidi w:val="0"/>
      </w:pPr>
      <w:r>
        <w:rPr>
          <w:rFonts w:hint="eastAsia" w:ascii="华文宋体" w:hAnsi="华文宋体" w:eastAsia="华文宋体" w:cs="华文宋体"/>
          <w:lang w:val="en-US" w:eastAsia="zh-CN"/>
        </w:rPr>
        <w:t>4</w:t>
      </w:r>
      <w:r>
        <w:rPr>
          <w:rFonts w:hint="eastAsia" w:ascii="华文宋体" w:hAnsi="华文宋体" w:eastAsia="华文宋体" w:cs="华文宋体"/>
        </w:rPr>
        <w:t>.2 workload_trace.xlsx</w:t>
      </w:r>
    </w:p>
    <w:p w14:paraId="24384B1D">
      <w:r>
        <w:rPr>
          <w:rFonts w:hint="eastAsia" w:ascii="华文宋体" w:hAnsi="华文宋体" w:eastAsia="华文宋体" w:cs="华文宋体"/>
          <w:sz w:val="21"/>
        </w:rPr>
        <w:t>补充说明：GPU_Demand 表示任务运行时持续占用的等效GPU数量，EstimatedDuration_min 表示不可抢占的连续执行时长。每小时容量约束以实际重叠时长折算GPU-hour。任务迁移后的AI IT功率必须按 power_mapping.xlsx 的 GPU_Power_MW_per_EquivalentGPU 计算；区域总IT负荷=NonAI_IT_Load_MW+调度形成的AI IT负荷，设施负荷=总IT负荷×PUE。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1341"/>
        <w:gridCol w:w="1211"/>
        <w:gridCol w:w="1042"/>
        <w:gridCol w:w="3069"/>
      </w:tblGrid>
      <w:tr w14:paraId="3655B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59" w:type="dxa"/>
            <w:shd w:val="clear" w:color="auto" w:fill="D9EAF7"/>
            <w:vAlign w:val="center"/>
          </w:tcPr>
          <w:p w14:paraId="204B30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字段</w:t>
            </w:r>
          </w:p>
        </w:tc>
        <w:tc>
          <w:tcPr>
            <w:tcW w:w="1341" w:type="dxa"/>
            <w:shd w:val="clear" w:color="auto" w:fill="D9EAF7"/>
            <w:vAlign w:val="center"/>
          </w:tcPr>
          <w:p w14:paraId="1671E2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中文名称</w:t>
            </w:r>
          </w:p>
        </w:tc>
        <w:tc>
          <w:tcPr>
            <w:tcW w:w="1211" w:type="dxa"/>
            <w:shd w:val="clear" w:color="auto" w:fill="D9EAF7"/>
            <w:vAlign w:val="center"/>
          </w:tcPr>
          <w:p w14:paraId="77203B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单位</w:t>
            </w:r>
          </w:p>
        </w:tc>
        <w:tc>
          <w:tcPr>
            <w:tcW w:w="1042" w:type="dxa"/>
            <w:shd w:val="clear" w:color="auto" w:fill="D9EAF7"/>
            <w:vAlign w:val="center"/>
          </w:tcPr>
          <w:p w14:paraId="09A160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属性</w:t>
            </w:r>
          </w:p>
        </w:tc>
        <w:tc>
          <w:tcPr>
            <w:tcW w:w="3069" w:type="dxa"/>
            <w:shd w:val="clear" w:color="auto" w:fill="D9EAF7"/>
            <w:vAlign w:val="center"/>
          </w:tcPr>
          <w:p w14:paraId="73C8D6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6"/>
              </w:rPr>
              <w:t>说明</w:t>
            </w:r>
          </w:p>
        </w:tc>
      </w:tr>
      <w:tr w14:paraId="55BE0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9" w:type="dxa"/>
            <w:vAlign w:val="center"/>
          </w:tcPr>
          <w:p w14:paraId="5A40D3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TaskID</w:t>
            </w:r>
          </w:p>
        </w:tc>
        <w:tc>
          <w:tcPr>
            <w:tcW w:w="1341" w:type="dxa"/>
            <w:vAlign w:val="center"/>
          </w:tcPr>
          <w:p w14:paraId="2F2EB7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任务编号</w:t>
            </w:r>
          </w:p>
        </w:tc>
        <w:tc>
          <w:tcPr>
            <w:tcW w:w="1211" w:type="dxa"/>
            <w:vAlign w:val="center"/>
          </w:tcPr>
          <w:p w14:paraId="5BB657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无</w:t>
            </w:r>
          </w:p>
        </w:tc>
        <w:tc>
          <w:tcPr>
            <w:tcW w:w="1042" w:type="dxa"/>
            <w:vAlign w:val="center"/>
          </w:tcPr>
          <w:p w14:paraId="265755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索引</w:t>
            </w:r>
          </w:p>
        </w:tc>
        <w:tc>
          <w:tcPr>
            <w:tcW w:w="3069" w:type="dxa"/>
            <w:vAlign w:val="center"/>
          </w:tcPr>
          <w:p w14:paraId="18F07E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任务唯一标识。</w:t>
            </w:r>
          </w:p>
        </w:tc>
      </w:tr>
      <w:tr w14:paraId="6B3E5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9" w:type="dxa"/>
            <w:vAlign w:val="center"/>
          </w:tcPr>
          <w:p w14:paraId="790B34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TaskType</w:t>
            </w:r>
          </w:p>
        </w:tc>
        <w:tc>
          <w:tcPr>
            <w:tcW w:w="1341" w:type="dxa"/>
            <w:vAlign w:val="center"/>
          </w:tcPr>
          <w:p w14:paraId="340D2B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任务类型</w:t>
            </w:r>
          </w:p>
        </w:tc>
        <w:tc>
          <w:tcPr>
            <w:tcW w:w="1211" w:type="dxa"/>
            <w:vAlign w:val="center"/>
          </w:tcPr>
          <w:p w14:paraId="7AAF5D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无</w:t>
            </w:r>
          </w:p>
        </w:tc>
        <w:tc>
          <w:tcPr>
            <w:tcW w:w="1042" w:type="dxa"/>
            <w:vAlign w:val="center"/>
          </w:tcPr>
          <w:p w14:paraId="6BAF2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3069" w:type="dxa"/>
            <w:vAlign w:val="center"/>
          </w:tcPr>
          <w:p w14:paraId="4D0717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RealTimeInference、BatchInference、AITraining。</w:t>
            </w:r>
          </w:p>
        </w:tc>
      </w:tr>
      <w:tr w14:paraId="0A5E6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9" w:type="dxa"/>
            <w:vAlign w:val="center"/>
          </w:tcPr>
          <w:p w14:paraId="0DC73A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ArrivalHour</w:t>
            </w:r>
          </w:p>
        </w:tc>
        <w:tc>
          <w:tcPr>
            <w:tcW w:w="1341" w:type="dxa"/>
            <w:vAlign w:val="center"/>
          </w:tcPr>
          <w:p w14:paraId="21D4CB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任务到达小时</w:t>
            </w:r>
          </w:p>
        </w:tc>
        <w:tc>
          <w:tcPr>
            <w:tcW w:w="1211" w:type="dxa"/>
            <w:vAlign w:val="center"/>
          </w:tcPr>
          <w:p w14:paraId="3D53FC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h</w:t>
            </w:r>
          </w:p>
        </w:tc>
        <w:tc>
          <w:tcPr>
            <w:tcW w:w="1042" w:type="dxa"/>
            <w:vAlign w:val="center"/>
          </w:tcPr>
          <w:p w14:paraId="075E95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3069" w:type="dxa"/>
            <w:vAlign w:val="center"/>
          </w:tcPr>
          <w:p w14:paraId="2D0DAA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任务到达的小时编号，范围为 0–2399。</w:t>
            </w:r>
          </w:p>
        </w:tc>
      </w:tr>
      <w:tr w14:paraId="5A386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9" w:type="dxa"/>
            <w:vAlign w:val="center"/>
          </w:tcPr>
          <w:p w14:paraId="588D74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SourceRegion</w:t>
            </w:r>
          </w:p>
        </w:tc>
        <w:tc>
          <w:tcPr>
            <w:tcW w:w="1341" w:type="dxa"/>
            <w:vAlign w:val="center"/>
          </w:tcPr>
          <w:p w14:paraId="363414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任务来源区域</w:t>
            </w:r>
          </w:p>
        </w:tc>
        <w:tc>
          <w:tcPr>
            <w:tcW w:w="1211" w:type="dxa"/>
            <w:vAlign w:val="center"/>
          </w:tcPr>
          <w:p w14:paraId="59D4A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无</w:t>
            </w:r>
          </w:p>
        </w:tc>
        <w:tc>
          <w:tcPr>
            <w:tcW w:w="1042" w:type="dxa"/>
            <w:vAlign w:val="center"/>
          </w:tcPr>
          <w:p w14:paraId="2ED86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3069" w:type="dxa"/>
            <w:vAlign w:val="center"/>
          </w:tcPr>
          <w:p w14:paraId="021C83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用于确定任务原始区域和跨区域网络时延。</w:t>
            </w:r>
          </w:p>
        </w:tc>
      </w:tr>
      <w:tr w14:paraId="3C50E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9" w:type="dxa"/>
            <w:vAlign w:val="center"/>
          </w:tcPr>
          <w:p w14:paraId="2D3E8C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GPU_Demand</w:t>
            </w:r>
          </w:p>
        </w:tc>
        <w:tc>
          <w:tcPr>
            <w:tcW w:w="1341" w:type="dxa"/>
            <w:vAlign w:val="center"/>
          </w:tcPr>
          <w:p w14:paraId="34BB6B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GPU 需求量</w:t>
            </w:r>
          </w:p>
        </w:tc>
        <w:tc>
          <w:tcPr>
            <w:tcW w:w="1211" w:type="dxa"/>
            <w:vAlign w:val="center"/>
          </w:tcPr>
          <w:p w14:paraId="27E8EF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等效GPU单元</w:t>
            </w:r>
          </w:p>
        </w:tc>
        <w:tc>
          <w:tcPr>
            <w:tcW w:w="1042" w:type="dxa"/>
            <w:vAlign w:val="center"/>
          </w:tcPr>
          <w:p w14:paraId="0CE784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3069" w:type="dxa"/>
            <w:vAlign w:val="center"/>
          </w:tcPr>
          <w:p w14:paraId="7B5291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任务执行所需的 GPU 资源需求。</w:t>
            </w:r>
          </w:p>
        </w:tc>
      </w:tr>
      <w:tr w14:paraId="456A0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9" w:type="dxa"/>
            <w:vAlign w:val="center"/>
          </w:tcPr>
          <w:p w14:paraId="5879AD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EstimatedDuration_min</w:t>
            </w:r>
          </w:p>
        </w:tc>
        <w:tc>
          <w:tcPr>
            <w:tcW w:w="1341" w:type="dxa"/>
            <w:vAlign w:val="center"/>
          </w:tcPr>
          <w:p w14:paraId="764057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预计执行时间</w:t>
            </w:r>
          </w:p>
        </w:tc>
        <w:tc>
          <w:tcPr>
            <w:tcW w:w="1211" w:type="dxa"/>
            <w:vAlign w:val="center"/>
          </w:tcPr>
          <w:p w14:paraId="2BD4F1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min</w:t>
            </w:r>
          </w:p>
        </w:tc>
        <w:tc>
          <w:tcPr>
            <w:tcW w:w="1042" w:type="dxa"/>
            <w:vAlign w:val="center"/>
          </w:tcPr>
          <w:p w14:paraId="5B42F0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3069" w:type="dxa"/>
            <w:vAlign w:val="center"/>
          </w:tcPr>
          <w:p w14:paraId="25F025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任务预计持续时间。</w:t>
            </w:r>
          </w:p>
        </w:tc>
      </w:tr>
      <w:tr w14:paraId="1108C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9" w:type="dxa"/>
            <w:vAlign w:val="center"/>
          </w:tcPr>
          <w:p w14:paraId="0341BC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MaxLatency_ms</w:t>
            </w:r>
          </w:p>
        </w:tc>
        <w:tc>
          <w:tcPr>
            <w:tcW w:w="1341" w:type="dxa"/>
            <w:vAlign w:val="center"/>
          </w:tcPr>
          <w:p w14:paraId="0ACF12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最大网络时延</w:t>
            </w:r>
          </w:p>
        </w:tc>
        <w:tc>
          <w:tcPr>
            <w:tcW w:w="1211" w:type="dxa"/>
            <w:vAlign w:val="center"/>
          </w:tcPr>
          <w:p w14:paraId="39B215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ms</w:t>
            </w:r>
          </w:p>
        </w:tc>
        <w:tc>
          <w:tcPr>
            <w:tcW w:w="1042" w:type="dxa"/>
            <w:vAlign w:val="center"/>
          </w:tcPr>
          <w:p w14:paraId="40502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3069" w:type="dxa"/>
            <w:vAlign w:val="center"/>
          </w:tcPr>
          <w:p w14:paraId="72E6F6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任务可接受的最大跨区域网络时延。</w:t>
            </w:r>
          </w:p>
        </w:tc>
      </w:tr>
      <w:tr w14:paraId="36CE6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9" w:type="dxa"/>
            <w:vAlign w:val="center"/>
          </w:tcPr>
          <w:p w14:paraId="5457C6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LatestFinishHour</w:t>
            </w:r>
          </w:p>
        </w:tc>
        <w:tc>
          <w:tcPr>
            <w:tcW w:w="1341" w:type="dxa"/>
            <w:vAlign w:val="center"/>
          </w:tcPr>
          <w:p w14:paraId="5C4276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最晚完成小时</w:t>
            </w:r>
          </w:p>
        </w:tc>
        <w:tc>
          <w:tcPr>
            <w:tcW w:w="1211" w:type="dxa"/>
            <w:vAlign w:val="center"/>
          </w:tcPr>
          <w:p w14:paraId="606F45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h</w:t>
            </w:r>
          </w:p>
        </w:tc>
        <w:tc>
          <w:tcPr>
            <w:tcW w:w="1042" w:type="dxa"/>
            <w:vAlign w:val="center"/>
          </w:tcPr>
          <w:p w14:paraId="56D713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输入参数</w:t>
            </w:r>
          </w:p>
        </w:tc>
        <w:tc>
          <w:tcPr>
            <w:tcW w:w="3069" w:type="dxa"/>
            <w:vAlign w:val="center"/>
          </w:tcPr>
          <w:p w14:paraId="60BCA2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6"/>
              </w:rPr>
              <w:t>主要用于批量推理和训练任务的延迟调度约束。</w:t>
            </w:r>
          </w:p>
        </w:tc>
      </w:tr>
    </w:tbl>
    <w:p w14:paraId="7F63162E">
      <w:pPr>
        <w:pStyle w:val="3"/>
        <w:bidi w:val="0"/>
      </w:pPr>
      <w:r>
        <w:rPr>
          <w:rFonts w:hint="eastAsia" w:ascii="华文宋体" w:hAnsi="华文宋体" w:eastAsia="华文宋体" w:cs="华文宋体"/>
          <w:lang w:val="en-US" w:eastAsia="zh-CN"/>
        </w:rPr>
        <w:t>4</w:t>
      </w:r>
      <w:r>
        <w:rPr>
          <w:rFonts w:hint="eastAsia" w:ascii="华文宋体" w:hAnsi="华文宋体" w:eastAsia="华文宋体" w:cs="华文宋体"/>
        </w:rPr>
        <w:t>.3 region_time_data.xlsx</w:t>
      </w:r>
    </w:p>
    <w:p w14:paraId="583100D6">
      <w:r>
        <w:rPr>
          <w:rFonts w:hint="eastAsia" w:ascii="华文宋体" w:hAnsi="华文宋体" w:eastAsia="华文宋体" w:cs="华文宋体"/>
          <w:sz w:val="21"/>
        </w:rPr>
        <w:t>补充说明：碳排放量按电网购电功率×碳强度×1小时累计。新能源利用率按（直接消纳新能源+新能源充电+新能源外送）/可用新能源累计计算。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1128"/>
        <w:gridCol w:w="1145"/>
        <w:gridCol w:w="906"/>
        <w:gridCol w:w="3013"/>
      </w:tblGrid>
      <w:tr w14:paraId="37C56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4C116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字段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10185C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中文名称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3BBD2E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单位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02CD1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属性</w:t>
            </w:r>
          </w:p>
        </w:tc>
        <w:tc>
          <w:tcPr>
            <w:tcW w:w="3345" w:type="dxa"/>
            <w:shd w:val="clear" w:color="auto" w:fill="D9EAF7"/>
            <w:vAlign w:val="center"/>
          </w:tcPr>
          <w:p w14:paraId="25BB6E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说明</w:t>
            </w:r>
          </w:p>
        </w:tc>
      </w:tr>
      <w:tr w14:paraId="42975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22AE8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ElectricityPrice_CNY_per_MWh</w:t>
            </w:r>
          </w:p>
        </w:tc>
        <w:tc>
          <w:tcPr>
            <w:tcW w:w="1531" w:type="dxa"/>
            <w:vAlign w:val="center"/>
          </w:tcPr>
          <w:p w14:paraId="5CD1A2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购电价格</w:t>
            </w:r>
          </w:p>
        </w:tc>
        <w:tc>
          <w:tcPr>
            <w:tcW w:w="1247" w:type="dxa"/>
            <w:vAlign w:val="center"/>
          </w:tcPr>
          <w:p w14:paraId="6F0AF8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元/MWh</w:t>
            </w:r>
          </w:p>
        </w:tc>
        <w:tc>
          <w:tcPr>
            <w:tcW w:w="1191" w:type="dxa"/>
            <w:vAlign w:val="center"/>
          </w:tcPr>
          <w:p w14:paraId="7C4D49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输入参数</w:t>
            </w:r>
          </w:p>
        </w:tc>
        <w:tc>
          <w:tcPr>
            <w:tcW w:w="3345" w:type="dxa"/>
            <w:vAlign w:val="center"/>
          </w:tcPr>
          <w:p w14:paraId="69B0F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计算电网购电成本。</w:t>
            </w:r>
          </w:p>
        </w:tc>
      </w:tr>
      <w:tr w14:paraId="768B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BBCC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SellPrice_CNY_per_MWh</w:t>
            </w:r>
          </w:p>
        </w:tc>
        <w:tc>
          <w:tcPr>
            <w:tcW w:w="1531" w:type="dxa"/>
            <w:vAlign w:val="center"/>
          </w:tcPr>
          <w:p w14:paraId="314FE9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售电价格</w:t>
            </w:r>
          </w:p>
        </w:tc>
        <w:tc>
          <w:tcPr>
            <w:tcW w:w="1247" w:type="dxa"/>
            <w:vAlign w:val="center"/>
          </w:tcPr>
          <w:p w14:paraId="6A270D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元/MWh</w:t>
            </w:r>
          </w:p>
        </w:tc>
        <w:tc>
          <w:tcPr>
            <w:tcW w:w="1191" w:type="dxa"/>
            <w:vAlign w:val="center"/>
          </w:tcPr>
          <w:p w14:paraId="7609B7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输入参数</w:t>
            </w:r>
          </w:p>
        </w:tc>
        <w:tc>
          <w:tcPr>
            <w:tcW w:w="3345" w:type="dxa"/>
            <w:vAlign w:val="center"/>
          </w:tcPr>
          <w:p w14:paraId="591D74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计算新能源富余外送收益。</w:t>
            </w:r>
          </w:p>
        </w:tc>
      </w:tr>
      <w:tr w14:paraId="62A9F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A156D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CarbonIntensity_tCO2_per_MWh</w:t>
            </w:r>
          </w:p>
        </w:tc>
        <w:tc>
          <w:tcPr>
            <w:tcW w:w="1531" w:type="dxa"/>
            <w:vAlign w:val="center"/>
          </w:tcPr>
          <w:p w14:paraId="75944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碳强度</w:t>
            </w:r>
          </w:p>
        </w:tc>
        <w:tc>
          <w:tcPr>
            <w:tcW w:w="1247" w:type="dxa"/>
            <w:vAlign w:val="center"/>
          </w:tcPr>
          <w:p w14:paraId="0F329E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tCO2/MWh</w:t>
            </w:r>
          </w:p>
        </w:tc>
        <w:tc>
          <w:tcPr>
            <w:tcW w:w="1191" w:type="dxa"/>
            <w:vAlign w:val="center"/>
          </w:tcPr>
          <w:p w14:paraId="31C88F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输入参数</w:t>
            </w:r>
          </w:p>
        </w:tc>
        <w:tc>
          <w:tcPr>
            <w:tcW w:w="3345" w:type="dxa"/>
            <w:vAlign w:val="center"/>
          </w:tcPr>
          <w:p w14:paraId="314FA8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计算购电对应碳排放。</w:t>
            </w:r>
          </w:p>
        </w:tc>
      </w:tr>
      <w:tr w14:paraId="65AC9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7A2E4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AvailableRenewable_MW</w:t>
            </w:r>
          </w:p>
        </w:tc>
        <w:tc>
          <w:tcPr>
            <w:tcW w:w="1531" w:type="dxa"/>
            <w:vAlign w:val="center"/>
          </w:tcPr>
          <w:p w14:paraId="7FEB12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可用新能源出力</w:t>
            </w:r>
          </w:p>
        </w:tc>
        <w:tc>
          <w:tcPr>
            <w:tcW w:w="1247" w:type="dxa"/>
            <w:vAlign w:val="center"/>
          </w:tcPr>
          <w:p w14:paraId="71904F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2BF03D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输入参数</w:t>
            </w:r>
          </w:p>
        </w:tc>
        <w:tc>
          <w:tcPr>
            <w:tcW w:w="3345" w:type="dxa"/>
            <w:vAlign w:val="center"/>
          </w:tcPr>
          <w:p w14:paraId="5A4E95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区域当前时段可用于消纳、储能或外送的新能源功率。</w:t>
            </w:r>
          </w:p>
        </w:tc>
      </w:tr>
      <w:tr w14:paraId="6DD97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3736A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UsedRenewable_MW</w:t>
            </w:r>
          </w:p>
        </w:tc>
        <w:tc>
          <w:tcPr>
            <w:tcW w:w="1531" w:type="dxa"/>
            <w:vAlign w:val="center"/>
          </w:tcPr>
          <w:p w14:paraId="1C1414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直接消纳新能源</w:t>
            </w:r>
          </w:p>
        </w:tc>
        <w:tc>
          <w:tcPr>
            <w:tcW w:w="1247" w:type="dxa"/>
            <w:vAlign w:val="center"/>
          </w:tcPr>
          <w:p w14:paraId="07CD0F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705BE8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0EBA8E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基准运行中直接满足负荷的新能源功率。</w:t>
            </w:r>
          </w:p>
        </w:tc>
      </w:tr>
      <w:tr w14:paraId="7B4C0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4B24B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RenewableCharge_MW</w:t>
            </w:r>
          </w:p>
        </w:tc>
        <w:tc>
          <w:tcPr>
            <w:tcW w:w="1531" w:type="dxa"/>
            <w:vAlign w:val="center"/>
          </w:tcPr>
          <w:p w14:paraId="3D57EF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新能源充电功率</w:t>
            </w:r>
          </w:p>
        </w:tc>
        <w:tc>
          <w:tcPr>
            <w:tcW w:w="1247" w:type="dxa"/>
            <w:vAlign w:val="center"/>
          </w:tcPr>
          <w:p w14:paraId="06CB43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022526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2E1432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基准运行中用于储能充电的新能源功率。</w:t>
            </w:r>
          </w:p>
        </w:tc>
      </w:tr>
      <w:tr w14:paraId="15ACA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1A0B2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Curtailment_MW</w:t>
            </w:r>
          </w:p>
        </w:tc>
        <w:tc>
          <w:tcPr>
            <w:tcW w:w="1531" w:type="dxa"/>
            <w:vAlign w:val="center"/>
          </w:tcPr>
          <w:p w14:paraId="3570A7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弃风弃光功率</w:t>
            </w:r>
          </w:p>
        </w:tc>
        <w:tc>
          <w:tcPr>
            <w:tcW w:w="1247" w:type="dxa"/>
            <w:vAlign w:val="center"/>
          </w:tcPr>
          <w:p w14:paraId="5A74AC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5D1D0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628F61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未被直接消纳、储能或外送利用的新能源功率。</w:t>
            </w:r>
          </w:p>
        </w:tc>
      </w:tr>
      <w:tr w14:paraId="21360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6F825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IT_Load_MW</w:t>
            </w:r>
          </w:p>
        </w:tc>
        <w:tc>
          <w:tcPr>
            <w:tcW w:w="1531" w:type="dxa"/>
            <w:vAlign w:val="center"/>
          </w:tcPr>
          <w:p w14:paraId="45FE38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IT 侧负荷</w:t>
            </w:r>
          </w:p>
        </w:tc>
        <w:tc>
          <w:tcPr>
            <w:tcW w:w="1247" w:type="dxa"/>
            <w:vAlign w:val="center"/>
          </w:tcPr>
          <w:p w14:paraId="199E75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695A73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基准状态</w:t>
            </w:r>
          </w:p>
        </w:tc>
        <w:tc>
          <w:tcPr>
            <w:tcW w:w="3345" w:type="dxa"/>
            <w:vAlign w:val="center"/>
          </w:tcPr>
          <w:p w14:paraId="5FAD00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数据中心计算设备侧负荷。</w:t>
            </w:r>
          </w:p>
        </w:tc>
      </w:tr>
      <w:tr w14:paraId="19C6A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41834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Total_Load_MW</w:t>
            </w:r>
          </w:p>
        </w:tc>
        <w:tc>
          <w:tcPr>
            <w:tcW w:w="1531" w:type="dxa"/>
            <w:vAlign w:val="center"/>
          </w:tcPr>
          <w:p w14:paraId="336044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设施侧总负荷</w:t>
            </w:r>
          </w:p>
        </w:tc>
        <w:tc>
          <w:tcPr>
            <w:tcW w:w="1247" w:type="dxa"/>
            <w:vAlign w:val="center"/>
          </w:tcPr>
          <w:p w14:paraId="34FDD8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7D983C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基准状态</w:t>
            </w:r>
          </w:p>
        </w:tc>
        <w:tc>
          <w:tcPr>
            <w:tcW w:w="3345" w:type="dxa"/>
            <w:vAlign w:val="center"/>
          </w:tcPr>
          <w:p w14:paraId="1A683C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按 IT_Load_MW × PUE 计算。</w:t>
            </w:r>
          </w:p>
        </w:tc>
      </w:tr>
      <w:tr w14:paraId="22880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EA4EB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GridPurchase_MW</w:t>
            </w:r>
          </w:p>
        </w:tc>
        <w:tc>
          <w:tcPr>
            <w:tcW w:w="1531" w:type="dxa"/>
            <w:vAlign w:val="center"/>
          </w:tcPr>
          <w:p w14:paraId="0E075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电网购电功率</w:t>
            </w:r>
          </w:p>
        </w:tc>
        <w:tc>
          <w:tcPr>
            <w:tcW w:w="1247" w:type="dxa"/>
            <w:vAlign w:val="center"/>
          </w:tcPr>
          <w:p w14:paraId="1F739F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0EF397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487321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包括供负荷购电和 GridCharge_MW。</w:t>
            </w:r>
          </w:p>
        </w:tc>
      </w:tr>
      <w:tr w14:paraId="00B5B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F2EC7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GridCharge_MW</w:t>
            </w:r>
          </w:p>
        </w:tc>
        <w:tc>
          <w:tcPr>
            <w:tcW w:w="1531" w:type="dxa"/>
            <w:vAlign w:val="center"/>
          </w:tcPr>
          <w:p w14:paraId="3006AF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电网充电功率</w:t>
            </w:r>
          </w:p>
        </w:tc>
        <w:tc>
          <w:tcPr>
            <w:tcW w:w="1247" w:type="dxa"/>
            <w:vAlign w:val="center"/>
          </w:tcPr>
          <w:p w14:paraId="39113D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3F2FBC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0894E7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低谷电价或平价时段从电网购电给储能充电。</w:t>
            </w:r>
          </w:p>
        </w:tc>
      </w:tr>
      <w:tr w14:paraId="19A16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B8716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GridSell_MW</w:t>
            </w:r>
          </w:p>
        </w:tc>
        <w:tc>
          <w:tcPr>
            <w:tcW w:w="1531" w:type="dxa"/>
            <w:vAlign w:val="center"/>
          </w:tcPr>
          <w:p w14:paraId="4975A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外送/售电功率</w:t>
            </w:r>
          </w:p>
        </w:tc>
        <w:tc>
          <w:tcPr>
            <w:tcW w:w="1247" w:type="dxa"/>
            <w:vAlign w:val="center"/>
          </w:tcPr>
          <w:p w14:paraId="31474A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3344DD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3C22D2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新能源富余外送或售电功率。</w:t>
            </w:r>
          </w:p>
        </w:tc>
      </w:tr>
      <w:tr w14:paraId="16643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E41CE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NetGridImport_MW</w:t>
            </w:r>
          </w:p>
        </w:tc>
        <w:tc>
          <w:tcPr>
            <w:tcW w:w="1531" w:type="dxa"/>
            <w:vAlign w:val="center"/>
          </w:tcPr>
          <w:p w14:paraId="06CDFE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净购电功率</w:t>
            </w:r>
          </w:p>
        </w:tc>
        <w:tc>
          <w:tcPr>
            <w:tcW w:w="1247" w:type="dxa"/>
            <w:vAlign w:val="center"/>
          </w:tcPr>
          <w:p w14:paraId="57BB45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7F61E8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477A58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GridPurchase_MW - GridSell_MW。</w:t>
            </w:r>
          </w:p>
        </w:tc>
      </w:tr>
      <w:tr w14:paraId="1242F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5D463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CarbonEmission_tCO2</w:t>
            </w:r>
          </w:p>
        </w:tc>
        <w:tc>
          <w:tcPr>
            <w:tcW w:w="1531" w:type="dxa"/>
            <w:vAlign w:val="center"/>
          </w:tcPr>
          <w:p w14:paraId="1EC680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碳排放量</w:t>
            </w:r>
          </w:p>
        </w:tc>
        <w:tc>
          <w:tcPr>
            <w:tcW w:w="1247" w:type="dxa"/>
            <w:vAlign w:val="center"/>
          </w:tcPr>
          <w:p w14:paraId="75E62A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tCO2</w:t>
            </w:r>
          </w:p>
        </w:tc>
        <w:tc>
          <w:tcPr>
            <w:tcW w:w="1191" w:type="dxa"/>
            <w:vAlign w:val="center"/>
          </w:tcPr>
          <w:p w14:paraId="36215D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7FFA56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GridPurchase_MW × CarbonIntensity_tCO2_per_MWh。</w:t>
            </w:r>
          </w:p>
        </w:tc>
      </w:tr>
      <w:tr w14:paraId="45260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102FD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SOC_MWh</w:t>
            </w:r>
          </w:p>
        </w:tc>
        <w:tc>
          <w:tcPr>
            <w:tcW w:w="1531" w:type="dxa"/>
            <w:vAlign w:val="center"/>
          </w:tcPr>
          <w:p w14:paraId="2004B7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储能荷电状态</w:t>
            </w:r>
          </w:p>
        </w:tc>
        <w:tc>
          <w:tcPr>
            <w:tcW w:w="1247" w:type="dxa"/>
            <w:vAlign w:val="center"/>
          </w:tcPr>
          <w:p w14:paraId="08AE14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MWh</w:t>
            </w:r>
          </w:p>
        </w:tc>
        <w:tc>
          <w:tcPr>
            <w:tcW w:w="1191" w:type="dxa"/>
            <w:vAlign w:val="center"/>
          </w:tcPr>
          <w:p w14:paraId="18C4CB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状态变量</w:t>
            </w:r>
          </w:p>
        </w:tc>
        <w:tc>
          <w:tcPr>
            <w:tcW w:w="3345" w:type="dxa"/>
            <w:vAlign w:val="center"/>
          </w:tcPr>
          <w:p w14:paraId="77321B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储能系统时段末 SOC。</w:t>
            </w:r>
          </w:p>
        </w:tc>
      </w:tr>
      <w:tr w14:paraId="3B5F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20BF6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ChargePower_MW</w:t>
            </w:r>
          </w:p>
        </w:tc>
        <w:tc>
          <w:tcPr>
            <w:tcW w:w="1531" w:type="dxa"/>
            <w:vAlign w:val="center"/>
          </w:tcPr>
          <w:p w14:paraId="01C5EE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储能总充电功率</w:t>
            </w:r>
          </w:p>
        </w:tc>
        <w:tc>
          <w:tcPr>
            <w:tcW w:w="1247" w:type="dxa"/>
            <w:vAlign w:val="center"/>
          </w:tcPr>
          <w:p w14:paraId="30D602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07C8F1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60CE71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RenewableCharge_MW + GridCharge_MW。</w:t>
            </w:r>
          </w:p>
        </w:tc>
      </w:tr>
      <w:tr w14:paraId="38424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551B9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DischargePower_MW</w:t>
            </w:r>
          </w:p>
        </w:tc>
        <w:tc>
          <w:tcPr>
            <w:tcW w:w="1531" w:type="dxa"/>
            <w:vAlign w:val="center"/>
          </w:tcPr>
          <w:p w14:paraId="76A4C6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储能放电功率</w:t>
            </w:r>
          </w:p>
        </w:tc>
        <w:tc>
          <w:tcPr>
            <w:tcW w:w="1247" w:type="dxa"/>
            <w:vAlign w:val="center"/>
          </w:tcPr>
          <w:p w14:paraId="3A3FBF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1191" w:type="dxa"/>
            <w:vAlign w:val="center"/>
          </w:tcPr>
          <w:p w14:paraId="11AE79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基准结果</w:t>
            </w:r>
          </w:p>
        </w:tc>
        <w:tc>
          <w:tcPr>
            <w:tcW w:w="3345" w:type="dxa"/>
            <w:vAlign w:val="center"/>
          </w:tcPr>
          <w:p w14:paraId="526A56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用于削峰填谷和降低电网购电峰值。</w:t>
            </w:r>
          </w:p>
        </w:tc>
      </w:tr>
    </w:tbl>
    <w:p w14:paraId="6B8E0E5B">
      <w:pPr>
        <w:pStyle w:val="3"/>
        <w:bidi w:val="0"/>
      </w:pPr>
      <w:r>
        <w:rPr>
          <w:rFonts w:hint="eastAsia" w:ascii="华文宋体" w:hAnsi="华文宋体" w:eastAsia="华文宋体" w:cs="华文宋体"/>
          <w:lang w:val="en-US" w:eastAsia="zh-CN"/>
        </w:rPr>
        <w:t>4</w:t>
      </w:r>
      <w:r>
        <w:rPr>
          <w:rFonts w:hint="eastAsia" w:ascii="华文宋体" w:hAnsi="华文宋体" w:eastAsia="华文宋体" w:cs="华文宋体"/>
        </w:rPr>
        <w:t>.4 network_latency.xlsx 与 storage_information.xlsx</w:t>
      </w:r>
    </w:p>
    <w:p w14:paraId="4ABAA510">
      <w:r>
        <w:rPr>
          <w:rFonts w:hint="eastAsia" w:ascii="华文宋体" w:hAnsi="华文宋体" w:eastAsia="华文宋体" w:cs="华文宋体"/>
          <w:sz w:val="21"/>
        </w:rPr>
        <w:t>补充说明：storage_information.xlsx 中 InitialSOC_MWh 是第0小时运行前的唯一初始状态；region_time_data.xlsx 中 SOC_MWh 是该小时运行后的时段末基准状态。SOC递推采用 SOC(t)=SOC(t−1)+ηc·ChargePower(t)−DischargePower(t)/ηd。优化结束时 SOC(2406) 不得低于 InitialSOC_MWh。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1841"/>
        <w:gridCol w:w="1226"/>
        <w:gridCol w:w="894"/>
        <w:gridCol w:w="2501"/>
      </w:tblGrid>
      <w:tr w14:paraId="097A7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0" w:type="dxa"/>
            <w:shd w:val="clear" w:color="auto" w:fill="D9EAF7"/>
            <w:vAlign w:val="center"/>
          </w:tcPr>
          <w:p w14:paraId="545EFE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数据表</w:t>
            </w:r>
          </w:p>
        </w:tc>
        <w:tc>
          <w:tcPr>
            <w:tcW w:w="1841" w:type="dxa"/>
            <w:shd w:val="clear" w:color="auto" w:fill="D9EAF7"/>
            <w:vAlign w:val="center"/>
          </w:tcPr>
          <w:p w14:paraId="29D27E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字段</w:t>
            </w:r>
          </w:p>
        </w:tc>
        <w:tc>
          <w:tcPr>
            <w:tcW w:w="1226" w:type="dxa"/>
            <w:shd w:val="clear" w:color="auto" w:fill="D9EAF7"/>
            <w:vAlign w:val="center"/>
          </w:tcPr>
          <w:p w14:paraId="584399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中文名称</w:t>
            </w:r>
          </w:p>
        </w:tc>
        <w:tc>
          <w:tcPr>
            <w:tcW w:w="894" w:type="dxa"/>
            <w:shd w:val="clear" w:color="auto" w:fill="D9EAF7"/>
            <w:vAlign w:val="center"/>
          </w:tcPr>
          <w:p w14:paraId="4BD219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单位</w:t>
            </w:r>
          </w:p>
        </w:tc>
        <w:tc>
          <w:tcPr>
            <w:tcW w:w="2501" w:type="dxa"/>
            <w:shd w:val="clear" w:color="auto" w:fill="D9EAF7"/>
            <w:vAlign w:val="center"/>
          </w:tcPr>
          <w:p w14:paraId="004917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hint="eastAsia" w:ascii="华文宋体" w:hAnsi="华文宋体" w:eastAsia="华文宋体" w:cs="华文宋体"/>
                <w:b/>
                <w:sz w:val="15"/>
              </w:rPr>
              <w:t>说明</w:t>
            </w:r>
          </w:p>
        </w:tc>
      </w:tr>
      <w:tr w14:paraId="7592E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0" w:type="dxa"/>
            <w:vAlign w:val="center"/>
          </w:tcPr>
          <w:p w14:paraId="3FA609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network_latency.xlsx</w:t>
            </w:r>
          </w:p>
        </w:tc>
        <w:tc>
          <w:tcPr>
            <w:tcW w:w="1841" w:type="dxa"/>
            <w:vAlign w:val="center"/>
          </w:tcPr>
          <w:p w14:paraId="7A2CAB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FromRegion</w:t>
            </w:r>
          </w:p>
        </w:tc>
        <w:tc>
          <w:tcPr>
            <w:tcW w:w="1226" w:type="dxa"/>
            <w:vAlign w:val="center"/>
          </w:tcPr>
          <w:p w14:paraId="5AA56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源区域</w:t>
            </w:r>
          </w:p>
        </w:tc>
        <w:tc>
          <w:tcPr>
            <w:tcW w:w="894" w:type="dxa"/>
            <w:vAlign w:val="center"/>
          </w:tcPr>
          <w:p w14:paraId="1F608F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无</w:t>
            </w:r>
          </w:p>
        </w:tc>
        <w:tc>
          <w:tcPr>
            <w:tcW w:w="2501" w:type="dxa"/>
            <w:vAlign w:val="center"/>
          </w:tcPr>
          <w:p w14:paraId="5819E3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任务来源区域或迁移起点。</w:t>
            </w:r>
          </w:p>
        </w:tc>
      </w:tr>
      <w:tr w14:paraId="68CCA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0" w:type="dxa"/>
            <w:vAlign w:val="center"/>
          </w:tcPr>
          <w:p w14:paraId="789725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network_latency.xlsx</w:t>
            </w:r>
          </w:p>
        </w:tc>
        <w:tc>
          <w:tcPr>
            <w:tcW w:w="1841" w:type="dxa"/>
            <w:vAlign w:val="center"/>
          </w:tcPr>
          <w:p w14:paraId="5BB517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ToRegion</w:t>
            </w:r>
          </w:p>
        </w:tc>
        <w:tc>
          <w:tcPr>
            <w:tcW w:w="1226" w:type="dxa"/>
            <w:vAlign w:val="center"/>
          </w:tcPr>
          <w:p w14:paraId="0503E9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目标区域</w:t>
            </w:r>
          </w:p>
        </w:tc>
        <w:tc>
          <w:tcPr>
            <w:tcW w:w="894" w:type="dxa"/>
            <w:vAlign w:val="center"/>
          </w:tcPr>
          <w:p w14:paraId="623092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无</w:t>
            </w:r>
          </w:p>
        </w:tc>
        <w:tc>
          <w:tcPr>
            <w:tcW w:w="2501" w:type="dxa"/>
            <w:vAlign w:val="center"/>
          </w:tcPr>
          <w:p w14:paraId="1257E4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任务执行区域或迁移终点。</w:t>
            </w:r>
          </w:p>
        </w:tc>
      </w:tr>
      <w:tr w14:paraId="55CA1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0" w:type="dxa"/>
            <w:vAlign w:val="center"/>
          </w:tcPr>
          <w:p w14:paraId="527A9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network_latency.xlsx</w:t>
            </w:r>
          </w:p>
        </w:tc>
        <w:tc>
          <w:tcPr>
            <w:tcW w:w="1841" w:type="dxa"/>
            <w:vAlign w:val="center"/>
          </w:tcPr>
          <w:p w14:paraId="6C6A32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NetworkLatency_ms</w:t>
            </w:r>
          </w:p>
        </w:tc>
        <w:tc>
          <w:tcPr>
            <w:tcW w:w="1226" w:type="dxa"/>
            <w:vAlign w:val="center"/>
          </w:tcPr>
          <w:p w14:paraId="0AD590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网络时延</w:t>
            </w:r>
          </w:p>
        </w:tc>
        <w:tc>
          <w:tcPr>
            <w:tcW w:w="894" w:type="dxa"/>
            <w:vAlign w:val="center"/>
          </w:tcPr>
          <w:p w14:paraId="6D9575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ms</w:t>
            </w:r>
          </w:p>
        </w:tc>
        <w:tc>
          <w:tcPr>
            <w:tcW w:w="2501" w:type="dxa"/>
            <w:vAlign w:val="center"/>
          </w:tcPr>
          <w:p w14:paraId="3AE2D7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用于判断跨区域调度是否满足 MaxLatency_ms 和 SLA 约束。</w:t>
            </w:r>
          </w:p>
        </w:tc>
      </w:tr>
      <w:tr w14:paraId="651B3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0" w:type="dxa"/>
            <w:vAlign w:val="center"/>
          </w:tcPr>
          <w:p w14:paraId="64E40A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storage_information.xlsx</w:t>
            </w:r>
          </w:p>
        </w:tc>
        <w:tc>
          <w:tcPr>
            <w:tcW w:w="1841" w:type="dxa"/>
            <w:vAlign w:val="center"/>
          </w:tcPr>
          <w:p w14:paraId="567DD0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StorageCapacity_MWh</w:t>
            </w:r>
          </w:p>
        </w:tc>
        <w:tc>
          <w:tcPr>
            <w:tcW w:w="1226" w:type="dxa"/>
            <w:vAlign w:val="center"/>
          </w:tcPr>
          <w:p w14:paraId="4C70BE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储能容量</w:t>
            </w:r>
          </w:p>
        </w:tc>
        <w:tc>
          <w:tcPr>
            <w:tcW w:w="894" w:type="dxa"/>
            <w:vAlign w:val="center"/>
          </w:tcPr>
          <w:p w14:paraId="0B8E02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MWh</w:t>
            </w:r>
          </w:p>
        </w:tc>
        <w:tc>
          <w:tcPr>
            <w:tcW w:w="2501" w:type="dxa"/>
            <w:vAlign w:val="center"/>
          </w:tcPr>
          <w:p w14:paraId="247122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储能系统最大容量。</w:t>
            </w:r>
          </w:p>
        </w:tc>
      </w:tr>
      <w:tr w14:paraId="3F72F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0" w:type="dxa"/>
            <w:vAlign w:val="center"/>
          </w:tcPr>
          <w:p w14:paraId="4A2496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storage_information.xlsx</w:t>
            </w:r>
          </w:p>
        </w:tc>
        <w:tc>
          <w:tcPr>
            <w:tcW w:w="1841" w:type="dxa"/>
            <w:vAlign w:val="center"/>
          </w:tcPr>
          <w:p w14:paraId="7ABE72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MinSOC_MWh</w:t>
            </w:r>
          </w:p>
        </w:tc>
        <w:tc>
          <w:tcPr>
            <w:tcW w:w="1226" w:type="dxa"/>
            <w:vAlign w:val="center"/>
          </w:tcPr>
          <w:p w14:paraId="460A78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最小 SOC</w:t>
            </w:r>
          </w:p>
        </w:tc>
        <w:tc>
          <w:tcPr>
            <w:tcW w:w="894" w:type="dxa"/>
            <w:vAlign w:val="center"/>
          </w:tcPr>
          <w:p w14:paraId="32806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MWh</w:t>
            </w:r>
          </w:p>
        </w:tc>
        <w:tc>
          <w:tcPr>
            <w:tcW w:w="2501" w:type="dxa"/>
            <w:vAlign w:val="center"/>
          </w:tcPr>
          <w:p w14:paraId="667F71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储能安全运行下限。</w:t>
            </w:r>
          </w:p>
        </w:tc>
      </w:tr>
      <w:tr w14:paraId="20CE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0" w:type="dxa"/>
            <w:vAlign w:val="center"/>
          </w:tcPr>
          <w:p w14:paraId="0707E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storage_information.xlsx</w:t>
            </w:r>
          </w:p>
        </w:tc>
        <w:tc>
          <w:tcPr>
            <w:tcW w:w="1841" w:type="dxa"/>
            <w:vAlign w:val="center"/>
          </w:tcPr>
          <w:p w14:paraId="78BD93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MaxChargePower_MW</w:t>
            </w:r>
          </w:p>
        </w:tc>
        <w:tc>
          <w:tcPr>
            <w:tcW w:w="1226" w:type="dxa"/>
            <w:vAlign w:val="center"/>
          </w:tcPr>
          <w:p w14:paraId="3ED4C6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最大充电功率</w:t>
            </w:r>
          </w:p>
        </w:tc>
        <w:tc>
          <w:tcPr>
            <w:tcW w:w="894" w:type="dxa"/>
            <w:vAlign w:val="center"/>
          </w:tcPr>
          <w:p w14:paraId="35EAD9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2501" w:type="dxa"/>
            <w:vAlign w:val="center"/>
          </w:tcPr>
          <w:p w14:paraId="16C1D1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储能充电功率上限。</w:t>
            </w:r>
          </w:p>
        </w:tc>
      </w:tr>
      <w:tr w14:paraId="01030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0" w:type="dxa"/>
            <w:vAlign w:val="center"/>
          </w:tcPr>
          <w:p w14:paraId="54878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storage_information.xlsx</w:t>
            </w:r>
          </w:p>
        </w:tc>
        <w:tc>
          <w:tcPr>
            <w:tcW w:w="1841" w:type="dxa"/>
            <w:vAlign w:val="center"/>
          </w:tcPr>
          <w:p w14:paraId="56B532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MaxDischargePower_MW</w:t>
            </w:r>
          </w:p>
        </w:tc>
        <w:tc>
          <w:tcPr>
            <w:tcW w:w="1226" w:type="dxa"/>
            <w:vAlign w:val="center"/>
          </w:tcPr>
          <w:p w14:paraId="21E905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最大放电功率</w:t>
            </w:r>
          </w:p>
        </w:tc>
        <w:tc>
          <w:tcPr>
            <w:tcW w:w="894" w:type="dxa"/>
            <w:vAlign w:val="center"/>
          </w:tcPr>
          <w:p w14:paraId="0146FE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2501" w:type="dxa"/>
            <w:vAlign w:val="center"/>
          </w:tcPr>
          <w:p w14:paraId="05DC3D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储能放电功率上限。</w:t>
            </w:r>
          </w:p>
        </w:tc>
      </w:tr>
      <w:tr w14:paraId="5F782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0" w:type="dxa"/>
            <w:vAlign w:val="center"/>
          </w:tcPr>
          <w:p w14:paraId="6AD1B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storage_information.xlsx</w:t>
            </w:r>
          </w:p>
        </w:tc>
        <w:tc>
          <w:tcPr>
            <w:tcW w:w="1841" w:type="dxa"/>
            <w:vAlign w:val="center"/>
          </w:tcPr>
          <w:p w14:paraId="3BE43B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ChargeEfficiency / DischargeEfficiency</w:t>
            </w:r>
          </w:p>
        </w:tc>
        <w:tc>
          <w:tcPr>
            <w:tcW w:w="1226" w:type="dxa"/>
            <w:vAlign w:val="center"/>
          </w:tcPr>
          <w:p w14:paraId="421FD9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充放电效率</w:t>
            </w:r>
          </w:p>
        </w:tc>
        <w:tc>
          <w:tcPr>
            <w:tcW w:w="894" w:type="dxa"/>
            <w:vAlign w:val="center"/>
          </w:tcPr>
          <w:p w14:paraId="5E01F1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无量纲</w:t>
            </w:r>
          </w:p>
        </w:tc>
        <w:tc>
          <w:tcPr>
            <w:tcW w:w="2501" w:type="dxa"/>
            <w:vAlign w:val="center"/>
          </w:tcPr>
          <w:p w14:paraId="4FC63B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用于储能 SOC 动态方程。</w:t>
            </w:r>
          </w:p>
        </w:tc>
      </w:tr>
      <w:tr w14:paraId="360E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0" w:type="dxa"/>
            <w:vAlign w:val="center"/>
          </w:tcPr>
          <w:p w14:paraId="081133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storage_information.xlsx</w:t>
            </w:r>
          </w:p>
        </w:tc>
        <w:tc>
          <w:tcPr>
            <w:tcW w:w="1841" w:type="dxa"/>
            <w:vAlign w:val="center"/>
          </w:tcPr>
          <w:p w14:paraId="580518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SellLimit_MW</w:t>
            </w:r>
          </w:p>
        </w:tc>
        <w:tc>
          <w:tcPr>
            <w:tcW w:w="1226" w:type="dxa"/>
            <w:vAlign w:val="center"/>
          </w:tcPr>
          <w:p w14:paraId="04B89F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外送上限</w:t>
            </w:r>
          </w:p>
        </w:tc>
        <w:tc>
          <w:tcPr>
            <w:tcW w:w="894" w:type="dxa"/>
            <w:vAlign w:val="center"/>
          </w:tcPr>
          <w:p w14:paraId="368397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MW</w:t>
            </w:r>
          </w:p>
        </w:tc>
        <w:tc>
          <w:tcPr>
            <w:tcW w:w="2501" w:type="dxa"/>
            <w:vAlign w:val="center"/>
          </w:tcPr>
          <w:p w14:paraId="64D2CA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hint="eastAsia" w:ascii="华文宋体" w:hAnsi="华文宋体" w:eastAsia="华文宋体" w:cs="华文宋体"/>
                <w:b w:val="0"/>
                <w:sz w:val="15"/>
              </w:rPr>
              <w:t>区域新能源富余外送功率上限。</w:t>
            </w:r>
          </w:p>
        </w:tc>
      </w:tr>
    </w:tbl>
    <w:p w14:paraId="5D0AC7E1">
      <w:pPr>
        <w:rPr>
          <w:rFonts w:hint="default" w:eastAsia="华文宋体"/>
          <w:lang w:val="en-US" w:eastAsia="zh-CN"/>
        </w:rPr>
      </w:pPr>
      <w:r>
        <w:rPr>
          <w:rFonts w:hint="eastAsia" w:ascii="华文宋体" w:hAnsi="华文宋体" w:eastAsia="华文宋体" w:cs="华文宋体"/>
          <w:b/>
          <w:sz w:val="30"/>
          <w:lang w:val="en-US" w:eastAsia="zh-CN"/>
        </w:rPr>
        <w:t>五</w:t>
      </w:r>
      <w:r>
        <w:rPr>
          <w:rFonts w:hint="eastAsia" w:ascii="华文宋体" w:hAnsi="华文宋体" w:eastAsia="华文宋体" w:cs="华文宋体"/>
          <w:b/>
          <w:sz w:val="30"/>
        </w:rPr>
        <w:t>、建模边界</w:t>
      </w:r>
      <w:r>
        <w:rPr>
          <w:rFonts w:hint="eastAsia" w:ascii="华文宋体" w:hAnsi="华文宋体" w:eastAsia="华文宋体" w:cs="华文宋体"/>
          <w:b/>
          <w:sz w:val="30"/>
          <w:lang w:val="en-US" w:eastAsia="zh-CN"/>
        </w:rPr>
        <w:t>统一口径</w:t>
      </w:r>
    </w:p>
    <w:tbl>
      <w:tblPr>
        <w:tblStyle w:val="6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6175"/>
      </w:tblGrid>
      <w:tr w14:paraId="2B94C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376" w:type="pct"/>
            <w:shd w:val="clear" w:color="auto" w:fill="D9EAF7"/>
          </w:tcPr>
          <w:p w14:paraId="69C7BAD2">
            <w:r>
              <w:rPr>
                <w:rFonts w:hint="eastAsia" w:ascii="华文宋体" w:hAnsi="华文宋体" w:eastAsia="华文宋体" w:cs="华文宋体"/>
                <w:lang w:val="en-US" w:eastAsia="zh-CN"/>
              </w:rPr>
              <w:t>说明</w:t>
            </w:r>
            <w:r>
              <w:rPr>
                <w:rFonts w:hint="eastAsia" w:ascii="华文宋体" w:hAnsi="华文宋体" w:eastAsia="华文宋体" w:cs="华文宋体"/>
              </w:rPr>
              <w:t>项</w:t>
            </w:r>
          </w:p>
        </w:tc>
        <w:tc>
          <w:tcPr>
            <w:tcW w:w="3623" w:type="pct"/>
            <w:shd w:val="clear" w:color="auto" w:fill="D9EAF7"/>
          </w:tcPr>
          <w:p w14:paraId="1306813D">
            <w:r>
              <w:rPr>
                <w:rFonts w:hint="eastAsia" w:ascii="华文宋体" w:hAnsi="华文宋体" w:eastAsia="华文宋体" w:cs="华文宋体"/>
              </w:rPr>
              <w:t>统一口径</w:t>
            </w:r>
          </w:p>
        </w:tc>
      </w:tr>
      <w:tr w14:paraId="63AE7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</w:tcPr>
          <w:p w14:paraId="2040CBE5">
            <w:r>
              <w:rPr>
                <w:rFonts w:hint="eastAsia" w:ascii="华文宋体" w:hAnsi="华文宋体" w:eastAsia="华文宋体" w:cs="华文宋体"/>
              </w:rPr>
              <w:t>power_mapping.xlsx</w:t>
            </w:r>
          </w:p>
        </w:tc>
        <w:tc>
          <w:tcPr>
            <w:tcW w:w="3623" w:type="pct"/>
          </w:tcPr>
          <w:p w14:paraId="303123E2">
            <w:r>
              <w:rPr>
                <w:rFonts w:hint="eastAsia" w:ascii="华文宋体" w:hAnsi="华文宋体" w:eastAsia="华文宋体" w:cs="华文宋体"/>
              </w:rPr>
              <w:t>列出三类任务每等效GPU的平均IT功率。该表是计算电费、碳排、储能和新能源利用率的唯一功率映射。</w:t>
            </w:r>
          </w:p>
        </w:tc>
      </w:tr>
      <w:tr w14:paraId="71F7A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</w:tcPr>
          <w:p w14:paraId="51E00E04">
            <w:r>
              <w:rPr>
                <w:rFonts w:hint="eastAsia" w:ascii="华文宋体" w:hAnsi="华文宋体" w:eastAsia="华文宋体" w:cs="华文宋体"/>
              </w:rPr>
              <w:t>NonAI_IT_Load_MW</w:t>
            </w:r>
          </w:p>
        </w:tc>
        <w:tc>
          <w:tcPr>
            <w:tcW w:w="3623" w:type="pct"/>
          </w:tcPr>
          <w:p w14:paraId="1B47C315">
            <w:r>
              <w:rPr>
                <w:rFonts w:hint="eastAsia" w:ascii="华文宋体" w:hAnsi="华文宋体" w:eastAsia="华文宋体" w:cs="华文宋体"/>
              </w:rPr>
              <w:t>逐时不可迁移固定IT负荷。优化时仅改变任务形成的AI IT负荷，不得把原IT_Load_MW整体固定。</w:t>
            </w:r>
          </w:p>
        </w:tc>
      </w:tr>
      <w:tr w14:paraId="12DC7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</w:tcPr>
          <w:p w14:paraId="1F009CD8">
            <w:r>
              <w:rPr>
                <w:rFonts w:hint="eastAsia" w:ascii="华文宋体" w:hAnsi="华文宋体" w:eastAsia="华文宋体" w:cs="华文宋体"/>
              </w:rPr>
              <w:t>时域</w:t>
            </w:r>
          </w:p>
        </w:tc>
        <w:tc>
          <w:tcPr>
            <w:tcW w:w="3623" w:type="pct"/>
          </w:tcPr>
          <w:p w14:paraId="20DB25C7">
            <w:r>
              <w:rPr>
                <w:rFonts w:hint="eastAsia" w:ascii="华文宋体" w:hAnsi="华文宋体" w:eastAsia="华文宋体" w:cs="华文宋体"/>
              </w:rPr>
              <w:t>任务到达为0–2399小时；电力与储能参数为0–2406小时。2400–2406期间无新任务，仅结清主时域到达但尚未完成的任务。</w:t>
            </w:r>
          </w:p>
        </w:tc>
      </w:tr>
      <w:tr w14:paraId="685D5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</w:tcPr>
          <w:p w14:paraId="0AD1792C">
            <w:r>
              <w:rPr>
                <w:rFonts w:hint="eastAsia" w:ascii="华文宋体" w:hAnsi="华文宋体" w:eastAsia="华文宋体" w:cs="华文宋体"/>
              </w:rPr>
              <w:t>购售电边界</w:t>
            </w:r>
          </w:p>
        </w:tc>
        <w:tc>
          <w:tcPr>
            <w:tcW w:w="3623" w:type="pct"/>
          </w:tcPr>
          <w:p w14:paraId="1628E37F">
            <w:r>
              <w:rPr>
                <w:rFonts w:hint="eastAsia" w:ascii="华文宋体" w:hAnsi="华文宋体" w:eastAsia="华文宋体" w:cs="华文宋体"/>
              </w:rPr>
              <w:t>MaxGridImport_MW和MaxGridExport_MW为区域级硬约束；本题不建模跨区域线路潮流。</w:t>
            </w:r>
          </w:p>
        </w:tc>
      </w:tr>
      <w:tr w14:paraId="4C873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</w:tcPr>
          <w:p w14:paraId="448169AF">
            <w:r>
              <w:rPr>
                <w:rFonts w:hint="eastAsia" w:ascii="华文宋体" w:hAnsi="华文宋体" w:eastAsia="华文宋体" w:cs="华文宋体"/>
              </w:rPr>
              <w:t>通信边界</w:t>
            </w:r>
          </w:p>
        </w:tc>
        <w:tc>
          <w:tcPr>
            <w:tcW w:w="3623" w:type="pct"/>
          </w:tcPr>
          <w:p w14:paraId="6C5AED08">
            <w:r>
              <w:rPr>
                <w:rFonts w:hint="eastAsia" w:ascii="华文宋体" w:hAnsi="华文宋体" w:eastAsia="华文宋体" w:cs="华文宋体"/>
              </w:rPr>
              <w:t>仅考虑network_latency.xlsx的单向时延。忽略网络带宽、迁移数据量、传输能耗及传输费用。</w:t>
            </w:r>
          </w:p>
        </w:tc>
      </w:tr>
      <w:tr w14:paraId="4AFDA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6" w:type="pct"/>
          </w:tcPr>
          <w:p w14:paraId="5A590EA2">
            <w:r>
              <w:rPr>
                <w:rFonts w:hint="eastAsia" w:ascii="华文宋体" w:hAnsi="华文宋体" w:eastAsia="华文宋体" w:cs="华文宋体"/>
              </w:rPr>
              <w:t>SLA与完成时限</w:t>
            </w:r>
          </w:p>
        </w:tc>
        <w:tc>
          <w:tcPr>
            <w:tcW w:w="3623" w:type="pct"/>
          </w:tcPr>
          <w:p w14:paraId="4CDCED08">
            <w:r>
              <w:rPr>
                <w:rFonts w:hint="eastAsia" w:ascii="华文宋体" w:hAnsi="华文宋体" w:eastAsia="华文宋体" w:cs="华文宋体"/>
              </w:rPr>
              <w:t>实时任务到达即开工且满足MaxLatency_ms；批量推理和AI训练任务统一可在第2406小时前完成。</w:t>
            </w:r>
          </w:p>
        </w:tc>
      </w:tr>
    </w:tbl>
    <w:p w14:paraId="77E0BD46">
      <w:r>
        <w:rPr>
          <w:rFonts w:hint="eastAsia" w:ascii="华文宋体" w:hAnsi="华文宋体" w:eastAsia="华文宋体" w:cs="华文宋体"/>
          <w:b/>
          <w:sz w:val="24"/>
          <w:lang w:val="en-US" w:eastAsia="zh-CN"/>
        </w:rPr>
        <w:t>5</w:t>
      </w:r>
      <w:r>
        <w:rPr>
          <w:rFonts w:hint="eastAsia" w:ascii="华文宋体" w:hAnsi="华文宋体" w:eastAsia="华文宋体" w:cs="华文宋体"/>
          <w:b/>
          <w:sz w:val="24"/>
        </w:rPr>
        <w:t>.1 统一公式</w:t>
      </w:r>
    </w:p>
    <w:p w14:paraId="27724C9B">
      <w:pPr>
        <w:ind w:left="360"/>
      </w:pPr>
      <w:r>
        <w:rPr>
          <w:rFonts w:hint="eastAsia" w:ascii="华文宋体" w:hAnsi="华文宋体" w:eastAsia="华文宋体" w:cs="华文宋体"/>
        </w:rPr>
        <w:t>• AI_IT_Load(r,t)=Σ_i GPU_Demand(i)×Overlap(i,r,t)×GPU_Power(TaskType_i)。</w:t>
      </w:r>
    </w:p>
    <w:p w14:paraId="55BFB8E0">
      <w:pPr>
        <w:ind w:left="360"/>
      </w:pPr>
      <w:r>
        <w:rPr>
          <w:rFonts w:hint="eastAsia" w:ascii="华文宋体" w:hAnsi="华文宋体" w:eastAsia="华文宋体" w:cs="华文宋体"/>
        </w:rPr>
        <w:t>• IT_Load(r,t)=NonAI_IT_Load(r,t)+AI_IT_Load(r,t)，Total_Load(r,t)=IT_Load(r,t)×PUE(r)。</w:t>
      </w:r>
    </w:p>
    <w:p w14:paraId="1E89F117">
      <w:pPr>
        <w:ind w:left="360"/>
      </w:pPr>
      <w:r>
        <w:rPr>
          <w:rFonts w:hint="eastAsia" w:ascii="华文宋体" w:hAnsi="华文宋体" w:eastAsia="华文宋体" w:cs="华文宋体"/>
        </w:rPr>
        <w:t>• GridPurchase+AvailableRenewable+DischargePower=Total_Load+ChargePower+GridSell+Curtailment。</w:t>
      </w:r>
    </w:p>
    <w:p w14:paraId="3F8ED7F7">
      <w:pPr>
        <w:ind w:left="360"/>
      </w:pPr>
      <w:r>
        <w:rPr>
          <w:rFonts w:hint="eastAsia" w:ascii="华文宋体" w:hAnsi="华文宋体" w:eastAsia="华文宋体" w:cs="华文宋体"/>
        </w:rPr>
        <w:t>• CarbonEmission=GridPurchase×CarbonIntensity；电费=GridPurchase×ElectricityPrice−GridSell×SellPrice。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erif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109A5">
    <w:pPr>
      <w:pStyle w:val="4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A5B8C0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A5B8C0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8E6E52"/>
    <w:multiLevelType w:val="singleLevel"/>
    <w:tmpl w:val="FC8E6E5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5E1AD"/>
    <w:rsid w:val="43DF2B4F"/>
    <w:rsid w:val="5F7FDA46"/>
    <w:rsid w:val="5FD5E1AD"/>
    <w:rsid w:val="6D2F961F"/>
    <w:rsid w:val="D5CF6B8C"/>
    <w:rsid w:val="FF5A750D"/>
    <w:rsid w:val="FF9A17EC"/>
    <w:rsid w:val="FFDD2152"/>
    <w:rsid w:val="FFFE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0" w:line="360" w:lineRule="auto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4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20" w:after="0" w:line="240" w:lineRule="auto"/>
      <w:outlineLvl w:val="1"/>
    </w:pPr>
    <w:rPr>
      <w:rFonts w:asciiTheme="majorAscii" w:hAnsiTheme="majorAscii" w:eastAsiaTheme="majorEastAsia" w:cstheme="majorBidi"/>
      <w:bCs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character" w:default="1" w:styleId="8">
    <w:name w:val="Default Paragraph Font"/>
    <w:semiHidden/>
    <w:qFormat/>
    <w:uiPriority w:val="0"/>
    <w:rPr>
      <w:rFonts w:ascii="Noto Serif CJK SC" w:hAnsi="Noto Serif CJK SC" w:eastAsia="Noto Serif CJK SC"/>
    </w:rPr>
  </w:style>
  <w:style w:type="table" w:default="1" w:styleId="6">
    <w:name w:val="Normal Table"/>
    <w:semiHidden/>
    <w:qFormat/>
    <w:uiPriority w:val="0"/>
    <w:rPr>
      <w:rFonts w:ascii="Noto Serif CJK SC" w:hAnsi="Noto Serif CJK SC" w:eastAsia="Noto Serif CJK SC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Noto Serif CJK SC" w:hAnsi="Noto Serif CJK SC" w:eastAsia="Noto Serif CJK SC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Noto Serif CJK SC" w:hAnsi="Noto Serif CJK SC" w:eastAsia="Noto Serif CJK SC"/>
      <w:sz w:val="18"/>
    </w:rPr>
  </w:style>
  <w:style w:type="table" w:styleId="7">
    <w:name w:val="Table Grid"/>
    <w:basedOn w:val="6"/>
    <w:qFormat/>
    <w:uiPriority w:val="59"/>
    <w:pPr>
      <w:spacing w:after="0" w:line="240" w:lineRule="auto"/>
    </w:pPr>
    <w:rPr>
      <w:rFonts w:ascii="Noto Serif CJK SC" w:hAnsi="Noto Serif CJK SC" w:eastAsia="Noto Serif CJK SC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1595</Words>
  <Characters>2141</Characters>
  <Lines>0</Lines>
  <Paragraphs>0</Paragraphs>
  <TotalTime>5</TotalTime>
  <ScaleCrop>false</ScaleCrop>
  <LinksUpToDate>false</LinksUpToDate>
  <CharactersWithSpaces>2187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2026-06-08T08:54:00Z</dcterms:created>
  <dc:creator>胡坤(2022312837)</dc:creator>
  <cp:lastModifiedBy>汪晓银</cp:lastModifiedBy>
  <dcterms:modified xsi:type="dcterms:W3CDTF">2026-08-06T13:10:00Z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624B2E9DE67D574D4FC1246AEE2FED76_41</vt:lpwstr>
  </property>
  <property fmtid="{D5CDD505-2E9C-101B-9397-08002B2CF9AE}" pid="4" name="KSOTemplateDocerSaveRecord">
    <vt:lpwstr>eyJoZGlkIjoiMzEwNTM5NzYwMDRjMzkwZTVkZjY2ODkwMGIxNGU0OTUiLCJ1c2VySWQiOiIyNTk3MzQ1MjkifQ==</vt:lpwstr>
  </property>
</Properties>
</file>