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A55B3">
      <w:pPr>
        <w:spacing w:before="1100"/>
        <w:jc w:val="center"/>
      </w:pPr>
      <w:r>
        <w:rPr>
          <w:b/>
          <w:bCs/>
          <w:color w:val="1A1A2E"/>
          <w:sz w:val="60"/>
          <w:szCs w:val="60"/>
        </w:rPr>
        <w:t>MPower</w:t>
      </w:r>
    </w:p>
    <w:p w14:paraId="4505392B">
      <w:pPr>
        <w:spacing w:after="500"/>
        <w:jc w:val="center"/>
      </w:pPr>
      <w:r>
        <w:rPr>
          <w:b/>
          <w:bCs/>
          <w:color w:val="B8860B"/>
          <w:sz w:val="30"/>
          <w:szCs w:val="30"/>
        </w:rPr>
        <w:t>Control Panel</w:t>
      </w:r>
    </w:p>
    <w:p w14:paraId="5114307E">
      <w:pPr>
        <w:spacing w:after="40"/>
        <w:jc w:val="center"/>
      </w:pPr>
      <w:r>
        <w:rPr>
          <w:b/>
          <w:bCs/>
          <w:color w:val="1A1A2E"/>
          <w:sz w:val="28"/>
          <w:szCs w:val="28"/>
        </w:rPr>
        <w:t>Internal Guide</w:t>
      </w:r>
    </w:p>
    <w:p w14:paraId="26E526D4">
      <w:pPr>
        <w:spacing w:after="40"/>
        <w:jc w:val="center"/>
      </w:pPr>
      <w:r>
        <w:rPr>
          <w:i/>
          <w:iCs/>
          <w:color w:val="5B6473"/>
          <w:sz w:val="20"/>
          <w:szCs w:val="20"/>
        </w:rPr>
        <w:t>Billing, CRM, Help System, and App Feedback — every screen, real fields, plain language</w:t>
      </w:r>
    </w:p>
    <w:p w14:paraId="32870255">
      <w:pPr>
        <w:spacing w:before="700"/>
        <w:jc w:val="center"/>
      </w:pPr>
      <w:r>
        <w:rPr>
          <w:color w:val="5B6473"/>
          <w:sz w:val="19"/>
          <w:szCs w:val="19"/>
        </w:rPr>
        <w:t>For MPower staff only — not client-facing</w:t>
      </w:r>
    </w:p>
    <w:p w14:paraId="3766E299">
      <w:pPr>
        <w:spacing w:after="100"/>
        <w:jc w:val="center"/>
      </w:pPr>
      <w:r>
        <w:rPr>
          <w:color w:val="5B6473"/>
          <w:sz w:val="19"/>
          <w:szCs w:val="19"/>
        </w:rPr>
        <w:t>August 2026</w:t>
      </w:r>
    </w:p>
    <w:p w14:paraId="7696803E">
      <w:r>
        <w:br w:type="page"/>
      </w:r>
    </w:p>
    <w:p w14:paraId="4BC2F1FA">
      <w:pPr>
        <w:pStyle w:val="2"/>
        <w:pBdr>
          <w:bottom w:val="single" w:color="B8860B" w:sz="10" w:space="4"/>
        </w:pBdr>
        <w:spacing w:before="380" w:after="200"/>
      </w:pPr>
      <w:r>
        <w:rPr>
          <w:b/>
          <w:bCs/>
          <w:color w:val="1A1A2E"/>
          <w:sz w:val="29"/>
          <w:szCs w:val="29"/>
        </w:rPr>
        <w:t>Foreword</w:t>
      </w:r>
    </w:p>
    <w:p w14:paraId="4F0E7994">
      <w:pPr>
        <w:spacing w:after="140"/>
      </w:pPr>
      <w:r>
        <w:rPr>
          <w:color w:val="1F2937"/>
          <w:sz w:val="21"/>
          <w:szCs w:val="21"/>
        </w:rPr>
        <w:t>The Control Panel is the one place that runs the actual business behind MPower — every client, every invoice, every piece of help content, every scrap of feedback across School, Hospital, and CTS, all in one place, seen by nobody but MPower’s own team.</w:t>
      </w:r>
    </w:p>
    <w:p w14:paraId="4B857A06">
      <w:pPr>
        <w:spacing w:after="140"/>
      </w:pPr>
      <w:r>
        <w:rPr>
          <w:color w:val="1F2937"/>
          <w:sz w:val="21"/>
          <w:szCs w:val="21"/>
        </w:rPr>
        <w:t>This guide was written by the person who actually built it, checked screen by screen against the real, current code rather than assumed — including several real bugs found and fixed while writing it, not just documented around. Where something is a known limitation rather than a finished feature, this guide says so plainly.</w:t>
      </w:r>
    </w:p>
    <w:p w14:paraId="4117065A">
      <w:pPr>
        <w:spacing w:after="140"/>
      </w:pPr>
      <w:r>
        <w:rPr>
          <w:color w:val="1F2937"/>
          <w:sz w:val="21"/>
          <w:szCs w:val="21"/>
        </w:rPr>
        <w:t>If anything in these pages is unclear, or the app itself falls short of what’s promised here, I want to hear about it directly.</w:t>
      </w:r>
    </w:p>
    <w:p w14:paraId="1CD2E4C7">
      <w:pPr>
        <w:spacing w:before="30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7EE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1A1A2E" w:sz="4" w:space="0"/>
              <w:left w:val="single" w:color="1A1A2E" w:sz="4" w:space="0"/>
              <w:bottom w:val="single" w:color="1A1A2E" w:sz="4" w:space="0"/>
              <w:right w:val="single" w:color="1A1A2E" w:sz="4" w:space="0"/>
            </w:tcBorders>
            <w:tcMar>
              <w:top w:w="200" w:type="dxa"/>
              <w:left w:w="220" w:type="dxa"/>
              <w:bottom w:w="200" w:type="dxa"/>
              <w:right w:w="220" w:type="dxa"/>
            </w:tcMar>
          </w:tcPr>
          <w:p w14:paraId="7FAE0645">
            <w:pPr>
              <w:spacing w:after="60"/>
            </w:pPr>
            <w:r>
              <w:rPr>
                <w:b/>
                <w:bCs/>
                <w:color w:val="1A1A2E"/>
                <w:sz w:val="22"/>
                <w:szCs w:val="22"/>
              </w:rPr>
              <w:t>Surya</w:t>
            </w:r>
          </w:p>
          <w:p w14:paraId="68BC343A">
            <w:pPr>
              <w:spacing w:after="100"/>
            </w:pPr>
            <w:r>
              <w:rPr>
                <w:color w:val="5B6473"/>
                <w:sz w:val="19"/>
                <w:szCs w:val="19"/>
              </w:rPr>
              <w:t>Founder &amp; Developer, MPower Services</w:t>
            </w:r>
          </w:p>
          <w:p w14:paraId="41854401">
            <w:pPr>
              <w:spacing w:after="40"/>
            </w:pPr>
            <w:r>
              <w:rPr>
                <w:b/>
                <w:bCs/>
                <w:color w:val="1F2937"/>
                <w:sz w:val="19"/>
                <w:szCs w:val="19"/>
              </w:rPr>
              <w:t xml:space="preserve">Email: </w:t>
            </w:r>
            <w:r>
              <w:rPr>
                <w:rFonts w:hint="default"/>
                <w:color w:val="1F2937"/>
                <w:sz w:val="19"/>
                <w:szCs w:val="19"/>
                <w:lang w:val="en-IN"/>
              </w:rPr>
              <w:t>adminzoho</w:t>
            </w:r>
            <w:r>
              <w:rPr>
                <w:color w:val="1F2937"/>
                <w:sz w:val="19"/>
                <w:szCs w:val="19"/>
              </w:rPr>
              <w:t>@mpowerind.in</w:t>
            </w:r>
            <w:bookmarkStart w:id="0" w:name="_GoBack"/>
            <w:bookmarkEnd w:id="0"/>
          </w:p>
          <w:p w14:paraId="09C622F7">
            <w:r>
              <w:rPr>
                <w:b/>
                <w:bCs/>
                <w:color w:val="1F2937"/>
                <w:sz w:val="19"/>
                <w:szCs w:val="19"/>
              </w:rPr>
              <w:t xml:space="preserve">Website: </w:t>
            </w:r>
            <w:r>
              <w:rPr>
                <w:color w:val="1F2937"/>
                <w:sz w:val="19"/>
                <w:szCs w:val="19"/>
              </w:rPr>
              <w:t>mpowerind.in</w:t>
            </w:r>
          </w:p>
        </w:tc>
      </w:tr>
    </w:tbl>
    <w:p w14:paraId="75A640C1">
      <w:r>
        <w:br w:type="page"/>
      </w:r>
    </w:p>
    <w:p w14:paraId="46A04CA1">
      <w:pPr>
        <w:pStyle w:val="2"/>
        <w:pBdr>
          <w:bottom w:val="single" w:color="B8860B" w:sz="10" w:space="4"/>
        </w:pBdr>
        <w:spacing w:before="380" w:after="200"/>
      </w:pPr>
      <w:r>
        <w:rPr>
          <w:b/>
          <w:bCs/>
          <w:color w:val="1A1A2E"/>
          <w:sz w:val="29"/>
          <w:szCs w:val="29"/>
        </w:rPr>
        <w:t>Contents</w:t>
      </w:r>
    </w:p>
    <w:sdt>
      <w:sdtPr>
        <w:alias w:val="Contents"/>
        <w:id w:val="147471431"/>
      </w:sdtPr>
      <w:sdtContent>
        <w:p w14:paraId="3D855251">
          <w:r>
            <w:fldChar w:fldCharType="begin"/>
          </w:r>
          <w:r>
            <w:instrText xml:space="preserve">TOC \h \o "1-3"</w:instrText>
          </w:r>
          <w:r>
            <w:fldChar w:fldCharType="separate"/>
          </w:r>
        </w:p>
        <w:p w14:paraId="17901381">
          <w:r>
            <w:fldChar w:fldCharType="end"/>
          </w:r>
        </w:p>
      </w:sdtContent>
    </w:sdt>
    <w:p w14:paraId="2F9CB939">
      <w:r>
        <w:br w:type="page"/>
      </w:r>
    </w:p>
    <w:p w14:paraId="49B5144A">
      <w:pPr>
        <w:pStyle w:val="2"/>
        <w:pBdr>
          <w:bottom w:val="single" w:color="B8860B" w:sz="10" w:space="4"/>
        </w:pBdr>
        <w:spacing w:before="380" w:after="200"/>
      </w:pPr>
      <w:r>
        <w:rPr>
          <w:b/>
          <w:bCs/>
          <w:color w:val="1A1A2E"/>
          <w:sz w:val="29"/>
          <w:szCs w:val="29"/>
        </w:rPr>
        <w:t>1. About This Guide</w:t>
      </w:r>
    </w:p>
    <w:p w14:paraId="70E164AD">
      <w:pPr>
        <w:spacing w:after="140"/>
      </w:pPr>
      <w:r>
        <w:rPr>
          <w:color w:val="1F2937"/>
          <w:sz w:val="21"/>
          <w:szCs w:val="21"/>
        </w:rPr>
        <w:t>This guide explains, one screen at a time, how the Control Panel works. Every section follows the same simple pattern:</w:t>
      </w:r>
    </w:p>
    <w:p w14:paraId="3EF1072D">
      <w:pPr>
        <w:spacing w:after="70"/>
        <w:ind w:left="360"/>
      </w:pPr>
      <w:r>
        <w:rPr>
          <w:color w:val="1F2937"/>
          <w:sz w:val="21"/>
          <w:szCs w:val="21"/>
        </w:rPr>
        <w:t>•  A path of boxes showing exactly how you reach that screen</w:t>
      </w:r>
    </w:p>
    <w:p w14:paraId="07090BE3">
      <w:pPr>
        <w:spacing w:after="70"/>
        <w:ind w:left="360"/>
      </w:pPr>
      <w:r>
        <w:rPr>
          <w:color w:val="1F2937"/>
          <w:sz w:val="21"/>
          <w:szCs w:val="21"/>
        </w:rPr>
        <w:t>•  A real drawing of the screen, redrawn in plain black and white</w:t>
      </w:r>
    </w:p>
    <w:p w14:paraId="08B54780">
      <w:pPr>
        <w:spacing w:after="70"/>
        <w:ind w:left="360"/>
      </w:pPr>
      <w:r>
        <w:rPr>
          <w:color w:val="1F2937"/>
          <w:sz w:val="21"/>
          <w:szCs w:val="21"/>
        </w:rPr>
        <w:t>•  A plain-language explanation of everything on it</w:t>
      </w:r>
    </w:p>
    <w:p w14:paraId="5844C0E3">
      <w:pPr>
        <w:spacing w:after="140"/>
      </w:pPr>
      <w:r>
        <w:rPr>
          <w:color w:val="1F2937"/>
          <w:sz w:val="21"/>
          <w:szCs w:val="21"/>
        </w:rPr>
        <w:t>Nothing here is guessed — every field, button, and rule comes from checking the real system.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951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20E360CA">
            <w:r>
              <w:rPr>
                <w:b/>
                <w:bCs/>
                <w:color w:val="1A1A2E"/>
                <w:sz w:val="20"/>
                <w:szCs w:val="20"/>
              </w:rPr>
              <w:t xml:space="preserve">NOTE:  </w:t>
            </w:r>
            <w:r>
              <w:rPr>
                <w:color w:val="1F2937"/>
                <w:sz w:val="20"/>
                <w:szCs w:val="20"/>
              </w:rPr>
              <w:t>Every screen in this guide is restricted to the developer and support roles only — confirmed by checking the real access-control code, not assumed. If you can’t reach one of these screens, that restriction is working as intended.</w:t>
            </w:r>
          </w:p>
        </w:tc>
      </w:tr>
    </w:tbl>
    <w:p w14:paraId="7A8BB2FB">
      <w:r>
        <w:br w:type="page"/>
      </w:r>
    </w:p>
    <w:p w14:paraId="0A1C4035">
      <w:pPr>
        <w:pStyle w:val="2"/>
        <w:pBdr>
          <w:bottom w:val="single" w:color="B8860B" w:sz="10" w:space="4"/>
        </w:pBdr>
        <w:spacing w:before="380" w:after="200"/>
      </w:pPr>
      <w:r>
        <w:rPr>
          <w:b/>
          <w:bCs/>
          <w:color w:val="1A1A2E"/>
          <w:sz w:val="29"/>
          <w:szCs w:val="29"/>
        </w:rPr>
        <w:t>2. Getting Around</w:t>
      </w:r>
    </w:p>
    <w:p w14:paraId="29B601C4">
      <w:pPr>
        <w:spacing w:after="140"/>
      </w:pPr>
      <w:r>
        <w:rPr>
          <w:color w:val="1F2937"/>
          <w:sz w:val="21"/>
          <w:szCs w:val="21"/>
        </w:rPr>
        <w:t>Once signed in, every Control Panel screen shares one menu bar at the bottom, plus an overflow drawer for the screens that don’t fit.</w:t>
      </w:r>
    </w:p>
    <w:tbl>
      <w:tblPr>
        <w:tblStyle w:val="9"/>
        <w:tblW w:w="890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2"/>
        <w:gridCol w:w="4443"/>
        <w:gridCol w:w="2767"/>
        <w:gridCol w:w="98"/>
      </w:tblGrid>
      <w:tr w14:paraId="09A7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834C2E3">
            <w:r>
              <w:rPr>
                <w:b/>
                <w:bCs/>
                <w:color w:val="1A1A2E"/>
                <w:sz w:val="19"/>
                <w:szCs w:val="19"/>
              </w:rPr>
              <w:t>Button</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7D7A6D84">
            <w:r>
              <w:rPr>
                <w:b/>
                <w:bCs/>
                <w:color w:val="1A1A2E"/>
                <w:sz w:val="19"/>
                <w:szCs w:val="19"/>
              </w:rPr>
              <w:t>Takes you to</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D091A28">
            <w:r>
              <w:rPr>
                <w:b/>
                <w:bCs/>
                <w:color w:val="1A1A2E"/>
                <w:sz w:val="19"/>
                <w:szCs w:val="19"/>
              </w:rPr>
              <w:t>Where it lives</w:t>
            </w:r>
          </w:p>
        </w:tc>
      </w:tr>
      <w:tr w14:paraId="144C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179C5E3">
            <w:pPr>
              <w:jc w:val="left"/>
            </w:pPr>
            <w:r>
              <w:rPr>
                <w:b w:val="0"/>
                <w:bCs w:val="0"/>
                <w:color w:val="1F2937"/>
                <w:sz w:val="19"/>
                <w:szCs w:val="19"/>
              </w:rPr>
              <w:t>Home</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CE60134">
            <w:pPr>
              <w:jc w:val="left"/>
            </w:pPr>
            <w:r>
              <w:rPr>
                <w:b w:val="0"/>
                <w:bCs w:val="0"/>
                <w:color w:val="1F2937"/>
                <w:sz w:val="19"/>
                <w:szCs w:val="19"/>
              </w:rPr>
              <w:t>Your main portal dashboard</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A28FA17">
            <w:pPr>
              <w:jc w:val="left"/>
            </w:pPr>
            <w:r>
              <w:rPr>
                <w:b w:val="0"/>
                <w:bCs w:val="0"/>
                <w:color w:val="1F2937"/>
                <w:sz w:val="19"/>
                <w:szCs w:val="19"/>
              </w:rPr>
              <w:t>Main bar</w:t>
            </w:r>
          </w:p>
        </w:tc>
      </w:tr>
      <w:tr w14:paraId="0022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7361361F">
            <w:pPr>
              <w:jc w:val="left"/>
            </w:pPr>
            <w:r>
              <w:rPr>
                <w:b w:val="0"/>
                <w:bCs w:val="0"/>
                <w:color w:val="1F2937"/>
                <w:sz w:val="19"/>
                <w:szCs w:val="19"/>
              </w:rPr>
              <w:t>Clients</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C280BB3">
            <w:pPr>
              <w:jc w:val="left"/>
            </w:pPr>
            <w:r>
              <w:rPr>
                <w:b w:val="0"/>
                <w:bCs w:val="0"/>
                <w:color w:val="1F2937"/>
                <w:sz w:val="19"/>
                <w:szCs w:val="19"/>
              </w:rPr>
              <w:t>CRM — every client, one place (Section 4)</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3FF4356">
            <w:pPr>
              <w:jc w:val="left"/>
            </w:pPr>
            <w:r>
              <w:rPr>
                <w:b w:val="0"/>
                <w:bCs w:val="0"/>
                <w:color w:val="1F2937"/>
                <w:sz w:val="19"/>
                <w:szCs w:val="19"/>
              </w:rPr>
              <w:t>Main bar</w:t>
            </w:r>
          </w:p>
        </w:tc>
      </w:tr>
      <w:tr w14:paraId="2C81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AC36839">
            <w:pPr>
              <w:jc w:val="left"/>
            </w:pPr>
            <w:r>
              <w:rPr>
                <w:b w:val="0"/>
                <w:bCs w:val="0"/>
                <w:color w:val="1F2937"/>
                <w:sz w:val="19"/>
                <w:szCs w:val="19"/>
              </w:rPr>
              <w:t>Tickets</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15FC5BDF">
            <w:pPr>
              <w:jc w:val="left"/>
            </w:pPr>
            <w:r>
              <w:rPr>
                <w:b w:val="0"/>
                <w:bCs w:val="0"/>
                <w:color w:val="1F2937"/>
                <w:sz w:val="19"/>
                <w:szCs w:val="19"/>
              </w:rPr>
              <w:t>Support tickets</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18091BC">
            <w:pPr>
              <w:jc w:val="left"/>
            </w:pPr>
            <w:r>
              <w:rPr>
                <w:b w:val="0"/>
                <w:bCs w:val="0"/>
                <w:color w:val="1F2937"/>
                <w:sz w:val="19"/>
                <w:szCs w:val="19"/>
              </w:rPr>
              <w:t>Main bar</w:t>
            </w:r>
          </w:p>
        </w:tc>
      </w:tr>
      <w:tr w14:paraId="69EE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AB7408E">
            <w:pPr>
              <w:jc w:val="left"/>
            </w:pPr>
            <w:r>
              <w:rPr>
                <w:b w:val="0"/>
                <w:bCs w:val="0"/>
                <w:color w:val="1F2937"/>
                <w:sz w:val="19"/>
                <w:szCs w:val="19"/>
              </w:rPr>
              <w:t>Billing</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10E2C04">
            <w:pPr>
              <w:jc w:val="left"/>
            </w:pPr>
            <w:r>
              <w:rPr>
                <w:b w:val="0"/>
                <w:bCs w:val="0"/>
                <w:color w:val="1F2937"/>
                <w:sz w:val="19"/>
                <w:szCs w:val="19"/>
              </w:rPr>
              <w:t>Billing Tracker (Section 3)</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FBF3CBE">
            <w:pPr>
              <w:jc w:val="left"/>
            </w:pPr>
            <w:r>
              <w:rPr>
                <w:b w:val="0"/>
                <w:bCs w:val="0"/>
                <w:color w:val="1F2937"/>
                <w:sz w:val="19"/>
                <w:szCs w:val="19"/>
              </w:rPr>
              <w:t>Main bar</w:t>
            </w:r>
          </w:p>
        </w:tc>
      </w:tr>
      <w:tr w14:paraId="1EE4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5084785">
            <w:pPr>
              <w:jc w:val="left"/>
            </w:pPr>
            <w:r>
              <w:rPr>
                <w:b w:val="0"/>
                <w:bCs w:val="0"/>
                <w:color w:val="1F2937"/>
                <w:sz w:val="19"/>
                <w:szCs w:val="19"/>
              </w:rPr>
              <w:t>More → Onboarding</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B76B7BC">
            <w:pPr>
              <w:jc w:val="left"/>
            </w:pPr>
            <w:r>
              <w:rPr>
                <w:b w:val="0"/>
                <w:bCs w:val="0"/>
                <w:color w:val="1F2937"/>
                <w:sz w:val="19"/>
                <w:szCs w:val="19"/>
              </w:rPr>
              <w:t>Client onboarding</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334F99E">
            <w:pPr>
              <w:jc w:val="left"/>
            </w:pPr>
            <w:r>
              <w:rPr>
                <w:b w:val="0"/>
                <w:bCs w:val="0"/>
                <w:color w:val="1F2937"/>
                <w:sz w:val="19"/>
                <w:szCs w:val="19"/>
              </w:rPr>
              <w:t>Overflow drawer</w:t>
            </w:r>
          </w:p>
        </w:tc>
      </w:tr>
      <w:tr w14:paraId="474C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1019100">
            <w:pPr>
              <w:jc w:val="left"/>
            </w:pPr>
            <w:r>
              <w:rPr>
                <w:b w:val="0"/>
                <w:bCs w:val="0"/>
                <w:color w:val="1F2937"/>
                <w:sz w:val="19"/>
                <w:szCs w:val="19"/>
              </w:rPr>
              <w:t>More → Requests</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CEAD119">
            <w:pPr>
              <w:jc w:val="left"/>
            </w:pPr>
            <w:r>
              <w:rPr>
                <w:b w:val="0"/>
                <w:bCs w:val="0"/>
                <w:color w:val="1F2937"/>
                <w:sz w:val="19"/>
                <w:szCs w:val="19"/>
              </w:rPr>
              <w:t>Modification requests</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149356F">
            <w:pPr>
              <w:jc w:val="left"/>
            </w:pPr>
            <w:r>
              <w:rPr>
                <w:b w:val="0"/>
                <w:bCs w:val="0"/>
                <w:color w:val="1F2937"/>
                <w:sz w:val="19"/>
                <w:szCs w:val="19"/>
              </w:rPr>
              <w:t>Overflow drawer</w:t>
            </w:r>
          </w:p>
        </w:tc>
      </w:tr>
      <w:tr w14:paraId="015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7AAAD83">
            <w:pPr>
              <w:jc w:val="left"/>
            </w:pPr>
            <w:r>
              <w:rPr>
                <w:b w:val="0"/>
                <w:bCs w:val="0"/>
                <w:color w:val="1F2937"/>
                <w:sz w:val="19"/>
                <w:szCs w:val="19"/>
              </w:rPr>
              <w:t>More → Help Admin</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87AD59D">
            <w:pPr>
              <w:jc w:val="left"/>
            </w:pPr>
            <w:r>
              <w:rPr>
                <w:b w:val="0"/>
                <w:bCs w:val="0"/>
                <w:color w:val="1F2937"/>
                <w:sz w:val="19"/>
                <w:szCs w:val="19"/>
              </w:rPr>
              <w:t>Help System Admin (Section 5)</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AD03C7E">
            <w:pPr>
              <w:jc w:val="left"/>
            </w:pPr>
            <w:r>
              <w:rPr>
                <w:b w:val="0"/>
                <w:bCs w:val="0"/>
                <w:color w:val="1F2937"/>
                <w:sz w:val="19"/>
                <w:szCs w:val="19"/>
              </w:rPr>
              <w:t>Overflow drawer</w:t>
            </w:r>
          </w:p>
        </w:tc>
      </w:tr>
      <w:tr w14:paraId="5A0D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946EC05">
            <w:pPr>
              <w:jc w:val="left"/>
            </w:pPr>
            <w:r>
              <w:rPr>
                <w:b w:val="0"/>
                <w:bCs w:val="0"/>
                <w:color w:val="1F2937"/>
                <w:sz w:val="19"/>
                <w:szCs w:val="19"/>
              </w:rPr>
              <w:t>More → Access</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059998E">
            <w:pPr>
              <w:jc w:val="left"/>
            </w:pPr>
            <w:r>
              <w:rPr>
                <w:b w:val="0"/>
                <w:bCs w:val="0"/>
                <w:color w:val="1F2937"/>
                <w:sz w:val="19"/>
                <w:szCs w:val="19"/>
              </w:rPr>
              <w:t>Access management</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E570704">
            <w:pPr>
              <w:jc w:val="left"/>
            </w:pPr>
            <w:r>
              <w:rPr>
                <w:b w:val="0"/>
                <w:bCs w:val="0"/>
                <w:color w:val="1F2937"/>
                <w:sz w:val="19"/>
                <w:szCs w:val="19"/>
              </w:rPr>
              <w:t>Overflow drawer</w:t>
            </w:r>
          </w:p>
        </w:tc>
      </w:tr>
      <w:tr w14:paraId="2F2E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D65E155">
            <w:pPr>
              <w:jc w:val="left"/>
            </w:pPr>
            <w:r>
              <w:rPr>
                <w:b w:val="0"/>
                <w:bCs w:val="0"/>
                <w:color w:val="1F2937"/>
                <w:sz w:val="19"/>
                <w:szCs w:val="19"/>
              </w:rPr>
              <w:t>More → Security</w:t>
            </w:r>
          </w:p>
        </w:tc>
        <w:tc>
          <w:tcPr>
            <w:tcW w:w="4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2FE70E2">
            <w:pPr>
              <w:jc w:val="left"/>
            </w:pPr>
            <w:r>
              <w:rPr>
                <w:b w:val="0"/>
                <w:bCs w:val="0"/>
                <w:color w:val="1F2937"/>
                <w:sz w:val="19"/>
                <w:szCs w:val="19"/>
              </w:rPr>
              <w:t>Security settings</w:t>
            </w:r>
          </w:p>
        </w:tc>
        <w:tc>
          <w:tcPr>
            <w:tcW w:w="28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ADFFE67">
            <w:pPr>
              <w:jc w:val="left"/>
            </w:pPr>
            <w:r>
              <w:rPr>
                <w:b w:val="0"/>
                <w:bCs w:val="0"/>
                <w:color w:val="1F2937"/>
                <w:sz w:val="19"/>
                <w:szCs w:val="19"/>
              </w:rPr>
              <w:t>Overflow drawer</w:t>
            </w:r>
          </w:p>
        </w:tc>
      </w:tr>
      <w:tr w14:paraId="2993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gridSpan w:val="4"/>
            <w:tcBorders>
              <w:top w:val="nil"/>
              <w:left w:val="single" w:color="B8860B" w:sz="18" w:space="0"/>
              <w:bottom w:val="nil"/>
              <w:right w:val="nil"/>
            </w:tcBorders>
            <w:tcMar>
              <w:top w:w="100" w:type="dxa"/>
              <w:left w:w="200" w:type="dxa"/>
              <w:bottom w:w="100" w:type="dxa"/>
              <w:right w:w="100" w:type="dxa"/>
            </w:tcMar>
          </w:tcPr>
          <w:p w14:paraId="21E46CEB">
            <w:r>
              <w:rPr>
                <w:b/>
                <w:bCs/>
                <w:color w:val="1A1A2E"/>
                <w:sz w:val="20"/>
                <w:szCs w:val="20"/>
              </w:rPr>
              <w:t xml:space="preserve">NOTE:  </w:t>
            </w:r>
            <w:r>
              <w:rPr>
                <w:color w:val="1F2937"/>
                <w:sz w:val="20"/>
                <w:szCs w:val="20"/>
              </w:rPr>
              <w:t>Sign out lives inside the "More" drawer, not directly on the main bar — one extra tap compared to every client-facing module’s Home+Sign-out pair. Worth knowing so you’re not looking for it on the main bar.</w:t>
            </w:r>
          </w:p>
        </w:tc>
      </w:tr>
    </w:tbl>
    <w:p w14:paraId="0AA92C1B">
      <w:r>
        <w:br w:type="page"/>
      </w:r>
    </w:p>
    <w:p w14:paraId="5F64F75B">
      <w:pPr>
        <w:pStyle w:val="2"/>
        <w:pBdr>
          <w:bottom w:val="single" w:color="B8860B" w:sz="10" w:space="4"/>
        </w:pBdr>
        <w:spacing w:before="380" w:after="200"/>
      </w:pPr>
      <w:r>
        <w:rPr>
          <w:b/>
          <w:bCs/>
          <w:color w:val="1A1A2E"/>
          <w:sz w:val="29"/>
          <w:szCs w:val="29"/>
        </w:rPr>
        <w:t>3. Screen: Billing Tracker</w:t>
      </w:r>
    </w:p>
    <w:p w14:paraId="4D7F948F">
      <w:pPr>
        <w:spacing w:after="140"/>
      </w:pPr>
      <w:r>
        <w:rPr>
          <w:color w:val="1F2937"/>
          <w:sz w:val="21"/>
          <w:szCs w:val="21"/>
        </w:rPr>
        <w:t>Tracks every client’s monthly subscription — generating invoices, recording who’s paid and how, and flagging what’s overdue. Payment itself is collected outside the app (bank transfer, UPI, and so on); this screen is where you record that it happened.</w:t>
      </w:r>
    </w:p>
    <w:p w14:paraId="65A99B8A">
      <w:pPr>
        <w:pStyle w:val="3"/>
        <w:spacing w:before="260" w:after="110"/>
      </w:pPr>
      <w:r>
        <w:rPr>
          <w:b/>
          <w:bCs/>
          <w:color w:val="1A1A2E"/>
          <w:sz w:val="23"/>
          <w:szCs w:val="23"/>
        </w:rPr>
        <w:t>3.1 How you get here</w:t>
      </w:r>
    </w:p>
    <w:p w14:paraId="54DC2D4A">
      <w:pPr>
        <w:spacing w:after="140"/>
      </w:pPr>
      <w:r>
        <w:rPr>
          <w:i/>
          <w:iCs/>
          <w:color w:val="5B6473"/>
          <w:sz w:val="21"/>
          <w:szCs w:val="21"/>
        </w:rPr>
        <w:t>This path shows exactly how you arrive at this screen — each arrow is one real click or action, nothing skipped.</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
        <w:gridCol w:w="2500"/>
        <w:gridCol w:w="500"/>
        <w:gridCol w:w="2500"/>
      </w:tblGrid>
      <w:tr w14:paraId="2FED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64EB98A5">
            <w:pPr>
              <w:jc w:val="center"/>
            </w:pPr>
            <w:r>
              <w:rPr>
                <w:b/>
                <w:bCs/>
                <w:color w:val="1A1A2E"/>
                <w:sz w:val="18"/>
                <w:szCs w:val="18"/>
              </w:rPr>
              <w:t>You are signed in</w:t>
            </w:r>
          </w:p>
        </w:tc>
        <w:tc>
          <w:tcPr>
            <w:tcW w:w="500" w:type="dxa"/>
            <w:tcBorders>
              <w:top w:val="nil"/>
              <w:left w:val="nil"/>
              <w:bottom w:val="nil"/>
              <w:right w:val="nil"/>
            </w:tcBorders>
            <w:vAlign w:val="center"/>
          </w:tcPr>
          <w:p w14:paraId="638E7637">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42C93C65">
            <w:pPr>
              <w:jc w:val="center"/>
            </w:pPr>
            <w:r>
              <w:rPr>
                <w:b/>
                <w:bCs/>
                <w:color w:val="1A1A2E"/>
                <w:sz w:val="18"/>
                <w:szCs w:val="18"/>
              </w:rPr>
              <w:t>Bottom menu bar</w:t>
            </w:r>
          </w:p>
        </w:tc>
        <w:tc>
          <w:tcPr>
            <w:tcW w:w="500" w:type="dxa"/>
            <w:tcBorders>
              <w:top w:val="nil"/>
              <w:left w:val="nil"/>
              <w:bottom w:val="nil"/>
              <w:right w:val="nil"/>
            </w:tcBorders>
            <w:vAlign w:val="center"/>
          </w:tcPr>
          <w:p w14:paraId="66191B9D">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4B9723C9">
            <w:pPr>
              <w:jc w:val="center"/>
            </w:pPr>
            <w:r>
              <w:rPr>
                <w:b/>
                <w:bCs/>
                <w:color w:val="1A1A2E"/>
                <w:sz w:val="18"/>
                <w:szCs w:val="18"/>
              </w:rPr>
              <w:t>"Billing"</w:t>
            </w:r>
          </w:p>
        </w:tc>
      </w:tr>
    </w:tbl>
    <w:p w14:paraId="37452D99">
      <w:pPr>
        <w:spacing w:before="200"/>
      </w:pPr>
    </w:p>
    <w:p w14:paraId="52C2F32A">
      <w:pPr>
        <w:pStyle w:val="3"/>
        <w:spacing w:before="260" w:after="110"/>
      </w:pPr>
      <w:r>
        <w:rPr>
          <w:b/>
          <w:bCs/>
          <w:color w:val="1A1A2E"/>
          <w:sz w:val="23"/>
          <w:szCs w:val="23"/>
        </w:rPr>
        <w:t>3.2 What this screen looks like</w:t>
      </w:r>
    </w:p>
    <w:p w14:paraId="4C68DB79">
      <w:pPr>
        <w:spacing w:after="140"/>
      </w:pPr>
      <w:r>
        <w:rPr>
          <w:color w:val="1F2937"/>
          <w:sz w:val="21"/>
          <w:szCs w:val="21"/>
        </w:rPr>
        <w:t>Shown here with made-up sample clients and invoices:</w:t>
      </w:r>
    </w:p>
    <w:p w14:paraId="5A3BE18C">
      <w:pPr>
        <w:spacing w:before="140" w:after="140"/>
        <w:jc w:val="center"/>
      </w:pPr>
      <w:r>
        <w:drawing>
          <wp:inline distT="0" distB="0" distL="0" distR="0">
            <wp:extent cx="4000500" cy="655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00500" cy="6553200"/>
                    </a:xfrm>
                    <a:prstGeom prst="rect">
                      <a:avLst/>
                    </a:prstGeom>
                  </pic:spPr>
                </pic:pic>
              </a:graphicData>
            </a:graphic>
          </wp:inline>
        </w:drawing>
      </w:r>
    </w:p>
    <w:p w14:paraId="13B15327">
      <w:pPr>
        <w:spacing w:after="140"/>
      </w:pPr>
      <w:r>
        <w:rPr>
          <w:color w:val="1F2937"/>
          <w:sz w:val="21"/>
          <w:szCs w:val="21"/>
        </w:rPr>
        <w:t>The four stat cards give a fast read on the business: MRR (monthly recurring revenue from every active client), how much has actually been collected this month, how much is still pending, and how many invoices are overdue.</w:t>
      </w:r>
    </w:p>
    <w:p w14:paraId="446FD72B">
      <w:pPr>
        <w:pStyle w:val="4"/>
        <w:spacing w:before="180" w:after="90"/>
      </w:pPr>
      <w:r>
        <w:rPr>
          <w:b/>
          <w:bCs/>
          <w:color w:val="374151"/>
          <w:sz w:val="20"/>
          <w:szCs w:val="20"/>
        </w:rPr>
        <w:t>"+ Generate this month"</w:t>
      </w:r>
    </w:p>
    <w:p w14:paraId="2AE513ED">
      <w:pPr>
        <w:spacing w:after="140"/>
      </w:pPr>
      <w:r>
        <w:rPr>
          <w:color w:val="1F2937"/>
          <w:sz w:val="21"/>
          <w:szCs w:val="21"/>
        </w:rPr>
        <w:t>Creates one invoice per active client for the current month, using their tier’s price. Pressing it twice — or again later the same month — is safe: the database itself refuses a duplicate invoice for the same client and month, so nothing can be double-billed by accident, no matter what causes a second attempt.</w:t>
      </w:r>
    </w:p>
    <w:p w14:paraId="68E7408F">
      <w:pPr>
        <w:pStyle w:val="4"/>
        <w:spacing w:before="180" w:after="90"/>
      </w:pPr>
      <w:r>
        <w:rPr>
          <w:b/>
          <w:bCs/>
          <w:color w:val="374151"/>
          <w:sz w:val="20"/>
          <w:szCs w:val="20"/>
        </w:rPr>
        <w:t>Marking an invoice paid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6E0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568FBCAF">
            <w:r>
              <w:rPr>
                <w:b/>
                <w:bCs/>
                <w:color w:val="1A1A2E"/>
                <w:sz w:val="20"/>
                <w:szCs w:val="20"/>
              </w:rPr>
              <w:t xml:space="preserve">NOTE:  </w:t>
            </w:r>
            <w:r>
              <w:rPr>
                <w:color w:val="1F2937"/>
                <w:sz w:val="20"/>
                <w:szCs w:val="20"/>
              </w:rPr>
              <w:t>You must choose how the client actually paid — UPI, Bank Transfer, Cash, or Cheque — before "Mark paid" becomes clickable. This isn’t a formality; it’s real reconciliation data you’ll want later.</w:t>
            </w:r>
          </w:p>
        </w:tc>
      </w:tr>
    </w:tbl>
    <w:p w14:paraId="7932E4EE">
      <w:pPr>
        <w:pStyle w:val="4"/>
        <w:spacing w:before="180" w:after="90"/>
      </w:pPr>
      <w:r>
        <w:rPr>
          <w:b/>
          <w:bCs/>
          <w:color w:val="374151"/>
          <w:sz w:val="20"/>
          <w:szCs w:val="20"/>
        </w:rPr>
        <w:t>"Remind"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04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7022B566">
            <w:r>
              <w:rPr>
                <w:b/>
                <w:bCs/>
                <w:color w:val="1A1A2E"/>
                <w:sz w:val="20"/>
                <w:szCs w:val="20"/>
              </w:rPr>
              <w:t xml:space="preserve">HONEST NOTE:  </w:t>
            </w:r>
            <w:r>
              <w:rPr>
                <w:color w:val="1F2937"/>
                <w:sz w:val="20"/>
                <w:szCs w:val="20"/>
              </w:rPr>
              <w:t>Sends a WhatsApp message to the client about their invoice. As of this guide, this is honestly blocked — no WhatsApp template for billing reminders has been approved by Twilio yet, so pressing it will clearly tell you it did NOT send, with the real reason, rather than falsely claiming success.</w:t>
            </w:r>
          </w:p>
        </w:tc>
      </w:tr>
    </w:tbl>
    <w:p w14:paraId="773B7802">
      <w:pPr>
        <w:spacing w:before="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78B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58DF9407">
            <w:r>
              <w:rPr>
                <w:b/>
                <w:bCs/>
                <w:color w:val="1A1A2E"/>
                <w:sz w:val="20"/>
                <w:szCs w:val="20"/>
              </w:rPr>
              <w:t xml:space="preserve">IF THIS NEEDS TO CHANGE:  </w:t>
            </w:r>
            <w:r>
              <w:rPr>
                <w:color w:val="1F2937"/>
                <w:sz w:val="20"/>
                <w:szCs w:val="20"/>
              </w:rPr>
              <w:t>The four payment modes are fixed in the code right now. Adding a new one, or wiring up an actual payment gateway instead of manual tracking, is a request to whoever maintains the system.</w:t>
            </w:r>
          </w:p>
        </w:tc>
      </w:tr>
    </w:tbl>
    <w:p w14:paraId="6CFA44A6">
      <w:r>
        <w:br w:type="page"/>
      </w:r>
    </w:p>
    <w:p w14:paraId="27803BEB">
      <w:pPr>
        <w:pStyle w:val="2"/>
        <w:pBdr>
          <w:bottom w:val="single" w:color="B8860B" w:sz="10" w:space="4"/>
        </w:pBdr>
        <w:spacing w:before="380" w:after="200"/>
      </w:pPr>
      <w:r>
        <w:rPr>
          <w:b/>
          <w:bCs/>
          <w:color w:val="1A1A2E"/>
          <w:sz w:val="29"/>
          <w:szCs w:val="29"/>
        </w:rPr>
        <w:t>4. Screen: CRM — Client 360°</w:t>
      </w:r>
    </w:p>
    <w:p w14:paraId="1651491C">
      <w:pPr>
        <w:spacing w:after="140"/>
      </w:pPr>
      <w:r>
        <w:rPr>
          <w:color w:val="1F2937"/>
          <w:sz w:val="21"/>
          <w:szCs w:val="21"/>
        </w:rPr>
        <w:t>Every client across every module (School, Hospital, CTS), in one place — status, contact details, recent tickets, onboarding progress, and recent billing, all from one card you can tap open.</w:t>
      </w:r>
    </w:p>
    <w:p w14:paraId="27F31A2A">
      <w:pPr>
        <w:pStyle w:val="3"/>
        <w:spacing w:before="260" w:after="110"/>
      </w:pPr>
      <w:r>
        <w:rPr>
          <w:b/>
          <w:bCs/>
          <w:color w:val="1A1A2E"/>
          <w:sz w:val="23"/>
          <w:szCs w:val="23"/>
        </w:rPr>
        <w:t>4.1 How you get here</w:t>
      </w:r>
    </w:p>
    <w:p w14:paraId="2BF9C6D5">
      <w:pPr>
        <w:spacing w:after="140"/>
      </w:pPr>
      <w:r>
        <w:rPr>
          <w:i/>
          <w:iCs/>
          <w:color w:val="5B6473"/>
          <w:sz w:val="21"/>
          <w:szCs w:val="21"/>
        </w:rPr>
        <w:t>This path shows exactly how you arrive at this screen — each arrow is one real click or action, nothing skipped.</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
        <w:gridCol w:w="2500"/>
        <w:gridCol w:w="500"/>
        <w:gridCol w:w="2500"/>
      </w:tblGrid>
      <w:tr w14:paraId="1D51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5B51903A">
            <w:pPr>
              <w:jc w:val="center"/>
            </w:pPr>
            <w:r>
              <w:rPr>
                <w:b/>
                <w:bCs/>
                <w:color w:val="1A1A2E"/>
                <w:sz w:val="18"/>
                <w:szCs w:val="18"/>
              </w:rPr>
              <w:t>You are signed in</w:t>
            </w:r>
          </w:p>
        </w:tc>
        <w:tc>
          <w:tcPr>
            <w:tcW w:w="500" w:type="dxa"/>
            <w:tcBorders>
              <w:top w:val="nil"/>
              <w:left w:val="nil"/>
              <w:bottom w:val="nil"/>
              <w:right w:val="nil"/>
            </w:tcBorders>
            <w:vAlign w:val="center"/>
          </w:tcPr>
          <w:p w14:paraId="2F270D70">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7FB66BFA">
            <w:pPr>
              <w:jc w:val="center"/>
            </w:pPr>
            <w:r>
              <w:rPr>
                <w:b/>
                <w:bCs/>
                <w:color w:val="1A1A2E"/>
                <w:sz w:val="18"/>
                <w:szCs w:val="18"/>
              </w:rPr>
              <w:t>Bottom menu bar</w:t>
            </w:r>
          </w:p>
        </w:tc>
        <w:tc>
          <w:tcPr>
            <w:tcW w:w="500" w:type="dxa"/>
            <w:tcBorders>
              <w:top w:val="nil"/>
              <w:left w:val="nil"/>
              <w:bottom w:val="nil"/>
              <w:right w:val="nil"/>
            </w:tcBorders>
            <w:vAlign w:val="center"/>
          </w:tcPr>
          <w:p w14:paraId="007F472B">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5D5B8507">
            <w:pPr>
              <w:jc w:val="center"/>
            </w:pPr>
            <w:r>
              <w:rPr>
                <w:b/>
                <w:bCs/>
                <w:color w:val="1A1A2E"/>
                <w:sz w:val="18"/>
                <w:szCs w:val="18"/>
              </w:rPr>
              <w:t>"Clients"</w:t>
            </w:r>
          </w:p>
        </w:tc>
      </w:tr>
    </w:tbl>
    <w:p w14:paraId="5B1498F9">
      <w:pPr>
        <w:spacing w:before="200"/>
      </w:pPr>
    </w:p>
    <w:p w14:paraId="0556AE03">
      <w:pPr>
        <w:pStyle w:val="3"/>
        <w:spacing w:before="260" w:after="110"/>
      </w:pPr>
      <w:r>
        <w:rPr>
          <w:b/>
          <w:bCs/>
          <w:color w:val="1A1A2E"/>
          <w:sz w:val="23"/>
          <w:szCs w:val="23"/>
        </w:rPr>
        <w:t>4.2 What this screen looks like</w:t>
      </w:r>
    </w:p>
    <w:p w14:paraId="1E069B80">
      <w:pPr>
        <w:spacing w:after="140"/>
      </w:pPr>
      <w:r>
        <w:rPr>
          <w:color w:val="1F2937"/>
          <w:sz w:val="21"/>
          <w:szCs w:val="21"/>
        </w:rPr>
        <w:t>Shown here with made-up sample clients:</w:t>
      </w:r>
    </w:p>
    <w:p w14:paraId="3D9DE3EE">
      <w:pPr>
        <w:spacing w:before="140" w:after="140"/>
        <w:jc w:val="center"/>
      </w:pPr>
      <w:r>
        <w:drawing>
          <wp:inline distT="0" distB="0" distL="0" distR="0">
            <wp:extent cx="4000500" cy="5915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00500" cy="5915025"/>
                    </a:xfrm>
                    <a:prstGeom prst="rect">
                      <a:avLst/>
                    </a:prstGeom>
                  </pic:spPr>
                </pic:pic>
              </a:graphicData>
            </a:graphic>
          </wp:inline>
        </w:drawing>
      </w:r>
    </w:p>
    <w:p w14:paraId="5BD73663">
      <w:pPr>
        <w:spacing w:after="140"/>
      </w:pPr>
      <w:r>
        <w:rPr>
          <w:color w:val="1F2937"/>
          <w:sz w:val="21"/>
          <w:szCs w:val="21"/>
        </w:rPr>
        <w:t>The four stat cards and the trial-expiry alert give an at-a-glance read on the whole client base. Search and the three filters (status, type, tier) narrow the list below — useful once you have more than a handful of clients. Tapping any client’s card opens it, loading their recent tickets, onboarding status, and recent billing in one place.</w:t>
      </w:r>
    </w:p>
    <w:p w14:paraId="395D43D1">
      <w:pPr>
        <w:pStyle w:val="4"/>
        <w:spacing w:before="180" w:after="90"/>
      </w:pPr>
      <w:r>
        <w:rPr>
          <w:b/>
          <w:bCs/>
          <w:color w:val="374151"/>
          <w:sz w:val="20"/>
          <w:szCs w:val="20"/>
        </w:rPr>
        <w:t>Quick actions, once a client is open</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500"/>
      </w:tblGrid>
      <w:tr w14:paraId="38B7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F740030">
            <w:r>
              <w:rPr>
                <w:b/>
                <w:bCs/>
                <w:color w:val="1A1A2E"/>
                <w:sz w:val="19"/>
                <w:szCs w:val="19"/>
              </w:rPr>
              <w:t>Action</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647E8F4">
            <w:r>
              <w:rPr>
                <w:b/>
                <w:bCs/>
                <w:color w:val="1A1A2E"/>
                <w:sz w:val="19"/>
                <w:szCs w:val="19"/>
              </w:rPr>
              <w:t>What it does</w:t>
            </w:r>
          </w:p>
        </w:tc>
      </w:tr>
      <w:tr w14:paraId="76D2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9796143">
            <w:pPr>
              <w:jc w:val="left"/>
            </w:pPr>
            <w:r>
              <w:rPr>
                <w:b w:val="0"/>
                <w:bCs w:val="0"/>
                <w:color w:val="1F2937"/>
                <w:sz w:val="19"/>
                <w:szCs w:val="19"/>
              </w:rPr>
              <w:t>Activate</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14CE105">
            <w:pPr>
              <w:jc w:val="left"/>
            </w:pPr>
            <w:r>
              <w:rPr>
                <w:b w:val="0"/>
                <w:bCs w:val="0"/>
                <w:color w:val="1F2937"/>
                <w:sz w:val="19"/>
                <w:szCs w:val="19"/>
              </w:rPr>
              <w:t>Moves the client to Active status.</w:t>
            </w:r>
          </w:p>
        </w:tc>
      </w:tr>
      <w:tr w14:paraId="64A9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B100BB0">
            <w:pPr>
              <w:jc w:val="left"/>
            </w:pPr>
            <w:r>
              <w:rPr>
                <w:b w:val="0"/>
                <w:bCs w:val="0"/>
                <w:color w:val="1F2937"/>
                <w:sz w:val="19"/>
                <w:szCs w:val="19"/>
              </w:rPr>
              <w:t>Suspend</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40F8B42">
            <w:pPr>
              <w:jc w:val="left"/>
            </w:pPr>
            <w:r>
              <w:rPr>
                <w:b w:val="0"/>
                <w:bCs w:val="0"/>
                <w:color w:val="1F2937"/>
                <w:sz w:val="19"/>
                <w:szCs w:val="19"/>
              </w:rPr>
              <w:t>Cuts off the client’s access. Requires a confirmation step first, naming the actual client, since this is a real, immediate, disruptive action.</w:t>
            </w:r>
          </w:p>
        </w:tc>
      </w:tr>
      <w:tr w14:paraId="0383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29EB996">
            <w:pPr>
              <w:jc w:val="left"/>
            </w:pPr>
            <w:r>
              <w:rPr>
                <w:b w:val="0"/>
                <w:bCs w:val="0"/>
                <w:color w:val="1F2937"/>
                <w:sz w:val="19"/>
                <w:szCs w:val="19"/>
              </w:rPr>
              <w:t>WhatsApp</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1F9A625F">
            <w:pPr>
              <w:jc w:val="left"/>
            </w:pPr>
            <w:r>
              <w:rPr>
                <w:b w:val="0"/>
                <w:bCs w:val="0"/>
                <w:color w:val="1F2937"/>
                <w:sz w:val="19"/>
                <w:szCs w:val="19"/>
              </w:rPr>
              <w:t>Sends a general reminder message. Same honest limitation as Billing’s Remind button — no approved template exists for this yet, so it will tell you plainly if it didn’t send.</w:t>
            </w:r>
          </w:p>
        </w:tc>
      </w:tr>
      <w:tr w14:paraId="10BE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8E92B0D">
            <w:pPr>
              <w:jc w:val="left"/>
            </w:pPr>
            <w:r>
              <w:rPr>
                <w:b w:val="0"/>
                <w:bCs w:val="0"/>
                <w:color w:val="1F2937"/>
                <w:sz w:val="19"/>
                <w:szCs w:val="19"/>
              </w:rPr>
              <w:t>Call</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53913825">
            <w:pPr>
              <w:jc w:val="left"/>
            </w:pPr>
            <w:r>
              <w:rPr>
                <w:b w:val="0"/>
                <w:bCs w:val="0"/>
                <w:color w:val="1F2937"/>
                <w:sz w:val="19"/>
                <w:szCs w:val="19"/>
              </w:rPr>
              <w:t>Opens your phone’s own dialer with the client’s number.</w:t>
            </w:r>
          </w:p>
        </w:tc>
      </w:tr>
      <w:tr w14:paraId="20E3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4A24092">
            <w:pPr>
              <w:jc w:val="left"/>
            </w:pPr>
            <w:r>
              <w:rPr>
                <w:b w:val="0"/>
                <w:bCs w:val="0"/>
                <w:color w:val="1F2937"/>
                <w:sz w:val="19"/>
                <w:szCs w:val="19"/>
              </w:rPr>
              <w:t>Onboarding</w:t>
            </w:r>
          </w:p>
        </w:tc>
        <w:tc>
          <w:tcPr>
            <w:tcW w:w="65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0D9D54CF">
            <w:pPr>
              <w:jc w:val="left"/>
            </w:pPr>
            <w:r>
              <w:rPr>
                <w:b w:val="0"/>
                <w:bCs w:val="0"/>
                <w:color w:val="1F2937"/>
                <w:sz w:val="19"/>
                <w:szCs w:val="19"/>
              </w:rPr>
              <w:t>Opens that client’s onboarding page.</w:t>
            </w:r>
          </w:p>
        </w:tc>
      </w:tr>
    </w:tbl>
    <w:p w14:paraId="787EFD0A">
      <w:pPr>
        <w:spacing w:before="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FEA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0656DC5C">
            <w:r>
              <w:rPr>
                <w:b/>
                <w:bCs/>
                <w:color w:val="1A1A2E"/>
                <w:sz w:val="20"/>
                <w:szCs w:val="20"/>
              </w:rPr>
              <w:t xml:space="preserve">IF THIS NEEDS TO CHANGE:  </w:t>
            </w:r>
            <w:r>
              <w:rPr>
                <w:color w:val="1F2937"/>
                <w:sz w:val="20"/>
                <w:szCs w:val="20"/>
              </w:rPr>
              <w:t>The four status values (Trial/Active/Suspended/Churned) and four tiers are fixed in the code right now. Adding a new one is a request to whoever maintains the system.</w:t>
            </w:r>
          </w:p>
        </w:tc>
      </w:tr>
    </w:tbl>
    <w:p w14:paraId="2612F40D">
      <w:r>
        <w:br w:type="page"/>
      </w:r>
    </w:p>
    <w:p w14:paraId="03E361CC">
      <w:pPr>
        <w:pStyle w:val="2"/>
        <w:pBdr>
          <w:bottom w:val="single" w:color="B8860B" w:sz="10" w:space="4"/>
        </w:pBdr>
        <w:spacing w:before="380" w:after="200"/>
      </w:pPr>
      <w:r>
        <w:rPr>
          <w:b/>
          <w:bCs/>
          <w:color w:val="1A1A2E"/>
          <w:sz w:val="29"/>
          <w:szCs w:val="29"/>
        </w:rPr>
        <w:t>5. Screen: Help System Admin</w:t>
      </w:r>
    </w:p>
    <w:p w14:paraId="6278C28E">
      <w:pPr>
        <w:spacing w:after="140"/>
      </w:pPr>
      <w:r>
        <w:rPr>
          <w:color w:val="1F2937"/>
          <w:sz w:val="21"/>
          <w:szCs w:val="21"/>
        </w:rPr>
        <w:t>Manages the help videos and field tooltips every client sees inside their own app, plus basic usage analytics on what’s actually being watched.</w:t>
      </w:r>
    </w:p>
    <w:p w14:paraId="34C73798">
      <w:pPr>
        <w:pStyle w:val="3"/>
        <w:spacing w:before="260" w:after="110"/>
      </w:pPr>
      <w:r>
        <w:rPr>
          <w:b/>
          <w:bCs/>
          <w:color w:val="1A1A2E"/>
          <w:sz w:val="23"/>
          <w:szCs w:val="23"/>
        </w:rPr>
        <w:t>5.1 How you get here</w:t>
      </w:r>
    </w:p>
    <w:p w14:paraId="05096135">
      <w:pPr>
        <w:spacing w:after="140"/>
      </w:pPr>
      <w:r>
        <w:rPr>
          <w:i/>
          <w:iCs/>
          <w:color w:val="5B6473"/>
          <w:sz w:val="21"/>
          <w:szCs w:val="21"/>
        </w:rPr>
        <w:t>This path shows exactly how you arrive at this screen — each arrow is one real click or action, nothing skipped.</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00"/>
        <w:gridCol w:w="1800"/>
        <w:gridCol w:w="500"/>
        <w:gridCol w:w="1800"/>
        <w:gridCol w:w="500"/>
        <w:gridCol w:w="1800"/>
      </w:tblGrid>
      <w:tr w14:paraId="33D4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3138D446">
            <w:pPr>
              <w:jc w:val="center"/>
            </w:pPr>
            <w:r>
              <w:rPr>
                <w:b/>
                <w:bCs/>
                <w:color w:val="1A1A2E"/>
                <w:sz w:val="18"/>
                <w:szCs w:val="18"/>
              </w:rPr>
              <w:t>You are signed in</w:t>
            </w:r>
          </w:p>
        </w:tc>
        <w:tc>
          <w:tcPr>
            <w:tcW w:w="500" w:type="dxa"/>
            <w:tcBorders>
              <w:top w:val="nil"/>
              <w:left w:val="nil"/>
              <w:bottom w:val="nil"/>
              <w:right w:val="nil"/>
            </w:tcBorders>
            <w:vAlign w:val="center"/>
          </w:tcPr>
          <w:p w14:paraId="4B8E0B2B">
            <w:pPr>
              <w:jc w:val="center"/>
            </w:pPr>
            <w:r>
              <w:rPr>
                <w:b/>
                <w:bCs/>
                <w:color w:val="B8860B"/>
                <w:sz w:val="22"/>
                <w:szCs w:val="22"/>
              </w:rPr>
              <w:t>→</w:t>
            </w:r>
          </w:p>
        </w:tc>
        <w:tc>
          <w:tcPr>
            <w:tcW w:w="18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35AD4D0F">
            <w:pPr>
              <w:jc w:val="center"/>
            </w:pPr>
            <w:r>
              <w:rPr>
                <w:b/>
                <w:bCs/>
                <w:color w:val="1A1A2E"/>
                <w:sz w:val="18"/>
                <w:szCs w:val="18"/>
              </w:rPr>
              <w:t>Bottom menu bar</w:t>
            </w:r>
          </w:p>
        </w:tc>
        <w:tc>
          <w:tcPr>
            <w:tcW w:w="500" w:type="dxa"/>
            <w:tcBorders>
              <w:top w:val="nil"/>
              <w:left w:val="nil"/>
              <w:bottom w:val="nil"/>
              <w:right w:val="nil"/>
            </w:tcBorders>
            <w:vAlign w:val="center"/>
          </w:tcPr>
          <w:p w14:paraId="4D4F4483">
            <w:pPr>
              <w:jc w:val="center"/>
            </w:pPr>
            <w:r>
              <w:rPr>
                <w:b/>
                <w:bCs/>
                <w:color w:val="B8860B"/>
                <w:sz w:val="22"/>
                <w:szCs w:val="22"/>
              </w:rPr>
              <w:t>→</w:t>
            </w:r>
          </w:p>
        </w:tc>
        <w:tc>
          <w:tcPr>
            <w:tcW w:w="18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77748487">
            <w:pPr>
              <w:jc w:val="center"/>
            </w:pPr>
            <w:r>
              <w:rPr>
                <w:b/>
                <w:bCs/>
                <w:color w:val="1A1A2E"/>
                <w:sz w:val="18"/>
                <w:szCs w:val="18"/>
              </w:rPr>
              <w:t>"More"</w:t>
            </w:r>
          </w:p>
        </w:tc>
        <w:tc>
          <w:tcPr>
            <w:tcW w:w="500" w:type="dxa"/>
            <w:tcBorders>
              <w:top w:val="nil"/>
              <w:left w:val="nil"/>
              <w:bottom w:val="nil"/>
              <w:right w:val="nil"/>
            </w:tcBorders>
            <w:vAlign w:val="center"/>
          </w:tcPr>
          <w:p w14:paraId="47F807DD">
            <w:pPr>
              <w:jc w:val="center"/>
            </w:pPr>
            <w:r>
              <w:rPr>
                <w:b/>
                <w:bCs/>
                <w:color w:val="B8860B"/>
                <w:sz w:val="22"/>
                <w:szCs w:val="22"/>
              </w:rPr>
              <w:t>→</w:t>
            </w:r>
          </w:p>
        </w:tc>
        <w:tc>
          <w:tcPr>
            <w:tcW w:w="18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0259326E">
            <w:pPr>
              <w:jc w:val="center"/>
            </w:pPr>
            <w:r>
              <w:rPr>
                <w:b/>
                <w:bCs/>
                <w:color w:val="1A1A2E"/>
                <w:sz w:val="18"/>
                <w:szCs w:val="18"/>
              </w:rPr>
              <w:t>"Help Admin"</w:t>
            </w:r>
          </w:p>
        </w:tc>
      </w:tr>
    </w:tbl>
    <w:p w14:paraId="133737B4">
      <w:pPr>
        <w:spacing w:before="200"/>
      </w:pPr>
    </w:p>
    <w:p w14:paraId="1B87F5BE">
      <w:pPr>
        <w:pStyle w:val="3"/>
        <w:spacing w:before="260" w:after="110"/>
      </w:pPr>
      <w:r>
        <w:rPr>
          <w:b/>
          <w:bCs/>
          <w:color w:val="1A1A2E"/>
          <w:sz w:val="23"/>
          <w:szCs w:val="23"/>
        </w:rPr>
        <w:t>5.2 What this screen looks like</w:t>
      </w:r>
    </w:p>
    <w:p w14:paraId="5A8BE007">
      <w:pPr>
        <w:spacing w:after="140"/>
      </w:pPr>
      <w:r>
        <w:rPr>
          <w:color w:val="1F2937"/>
          <w:sz w:val="21"/>
          <w:szCs w:val="21"/>
        </w:rPr>
        <w:t>Shown here filtered to School, with made-up sample entries:</w:t>
      </w:r>
    </w:p>
    <w:p w14:paraId="7AA5FD04">
      <w:pPr>
        <w:spacing w:before="140" w:after="140"/>
        <w:jc w:val="center"/>
      </w:pPr>
      <w:r>
        <w:drawing>
          <wp:inline distT="0" distB="0" distL="0" distR="0">
            <wp:extent cx="4000500" cy="482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00500" cy="4829175"/>
                    </a:xfrm>
                    <a:prstGeom prst="rect">
                      <a:avLst/>
                    </a:prstGeom>
                  </pic:spPr>
                </pic:pic>
              </a:graphicData>
            </a:graphic>
          </wp:inline>
        </w:drawing>
      </w:r>
    </w:p>
    <w:p w14:paraId="3FAD9B8D">
      <w:pPr>
        <w:spacing w:after="140"/>
      </w:pPr>
      <w:r>
        <w:rPr>
          <w:color w:val="1F2937"/>
          <w:sz w:val="21"/>
          <w:szCs w:val="21"/>
        </w:rPr>
        <w:t>Three tabs split the screen’s purpose: Screen videos (short help videos tied to a specific screen), Field tooltips (short text hints tied to a specific field), and Analytics (what’s actually being viewed, and which screens have no video at all yet). The module filter row (All modules / School / Hospital / CTS / HRMS) narrows the video list to just one module at a time.</w:t>
      </w:r>
    </w:p>
    <w:p w14:paraId="1C8FFFB3">
      <w:pPr>
        <w:spacing w:before="200"/>
      </w:pPr>
    </w:p>
    <w:p w14:paraId="2F85EB63">
      <w:pPr>
        <w:spacing w:after="140"/>
      </w:pPr>
      <w:r>
        <w:rPr>
          <w:color w:val="1F2937"/>
          <w:sz w:val="21"/>
          <w:szCs w:val="21"/>
        </w:rPr>
        <w:t>The other two tabs, shown here with made-up sample data:</w:t>
      </w:r>
    </w:p>
    <w:p w14:paraId="3A5C8FDA">
      <w:pPr>
        <w:spacing w:before="140" w:after="140"/>
        <w:jc w:val="center"/>
      </w:pPr>
      <w:r>
        <w:drawing>
          <wp:inline distT="0" distB="0" distL="0" distR="0">
            <wp:extent cx="4381500" cy="231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381500" cy="2314575"/>
                    </a:xfrm>
                    <a:prstGeom prst="rect">
                      <a:avLst/>
                    </a:prstGeom>
                  </pic:spPr>
                </pic:pic>
              </a:graphicData>
            </a:graphic>
          </wp:inline>
        </w:drawing>
      </w:r>
    </w:p>
    <w:p w14:paraId="63A3172F">
      <w:pPr>
        <w:spacing w:after="140"/>
      </w:pPr>
      <w:r>
        <w:rPr>
          <w:color w:val="1F2937"/>
          <w:sz w:val="21"/>
          <w:szCs w:val="21"/>
        </w:rPr>
        <w:t>Field tooltips lists every short text hint configured for a specific field, along with when it triggers (e.g. "on focus") and how many times it’s been viewed. Analytics gives the same "total views" and "screens missing a video" counts shown in the summary, plus a ranked list of the most-viewed screens overall — useful for deciding where to record a video next.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9A9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03A221AB">
            <w:r>
              <w:rPr>
                <w:b/>
                <w:bCs/>
                <w:color w:val="1A1A2E"/>
                <w:sz w:val="20"/>
                <w:szCs w:val="20"/>
              </w:rPr>
              <w:t xml:space="preserve">NOTE:  </w:t>
            </w:r>
            <w:r>
              <w:rPr>
                <w:color w:val="1F2937"/>
                <w:sz w:val="20"/>
                <w:szCs w:val="20"/>
              </w:rPr>
              <w:t>"HRMS" appears as a filter option here because it’s a genuinely planned future module, not a leftover — confirmed directly rather than assumed. It won’t show any videos yet since that module doesn’t exist as a real app_type in the data yet.</w:t>
            </w:r>
          </w:p>
        </w:tc>
      </w:tr>
    </w:tbl>
    <w:p w14:paraId="217053EE">
      <w:pPr>
        <w:pStyle w:val="4"/>
        <w:spacing w:before="180" w:after="90"/>
      </w:pPr>
      <w:r>
        <w:rPr>
          <w:b/>
          <w:bCs/>
          <w:color w:val="374151"/>
          <w:sz w:val="20"/>
          <w:szCs w:val="20"/>
        </w:rPr>
        <w:t>Uploading or replacing a video</w:t>
      </w:r>
    </w:p>
    <w:p w14:paraId="265F1CA2">
      <w:pPr>
        <w:spacing w:after="140"/>
      </w:pPr>
      <w:r>
        <w:rPr>
          <w:color w:val="1F2937"/>
          <w:sz w:val="21"/>
          <w:szCs w:val="21"/>
        </w:rPr>
        <w:t>Pressing "Upload video" or "Replace video" asks you to paste a YouTube or Cloudflare video ID. The moment you confirm it, every client using that screen sees the new video immediately — there is no separate publish step.</w:t>
      </w:r>
    </w:p>
    <w:p w14:paraId="159C78FF">
      <w:pPr>
        <w:spacing w:before="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6BD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nil"/>
              <w:left w:val="single" w:color="B8860B" w:sz="18" w:space="0"/>
              <w:bottom w:val="nil"/>
              <w:right w:val="nil"/>
            </w:tcBorders>
            <w:tcMar>
              <w:top w:w="100" w:type="dxa"/>
              <w:left w:w="200" w:type="dxa"/>
              <w:bottom w:w="100" w:type="dxa"/>
              <w:right w:w="100" w:type="dxa"/>
            </w:tcMar>
          </w:tcPr>
          <w:p w14:paraId="752FFAFB">
            <w:r>
              <w:rPr>
                <w:b/>
                <w:bCs/>
                <w:color w:val="1A1A2E"/>
                <w:sz w:val="20"/>
                <w:szCs w:val="20"/>
              </w:rPr>
              <w:t xml:space="preserve">IF THIS NEEDS TO CHANGE:  </w:t>
            </w:r>
            <w:r>
              <w:rPr>
                <w:color w:val="1F2937"/>
                <w:sz w:val="20"/>
                <w:szCs w:val="20"/>
              </w:rPr>
              <w:t>Adding a real 5th module to this filter (beyond School/Hospital/CTS/HRMS) is a request to whoever maintains the system, since it also needs a matching app_type value wired up in the actual client data.</w:t>
            </w:r>
          </w:p>
        </w:tc>
      </w:tr>
    </w:tbl>
    <w:p w14:paraId="10E3C675">
      <w:r>
        <w:br w:type="page"/>
      </w:r>
    </w:p>
    <w:p w14:paraId="38FCB677">
      <w:pPr>
        <w:pStyle w:val="2"/>
        <w:pBdr>
          <w:bottom w:val="single" w:color="B8860B" w:sz="10" w:space="4"/>
        </w:pBdr>
        <w:spacing w:before="380" w:after="200"/>
      </w:pPr>
      <w:r>
        <w:rPr>
          <w:b/>
          <w:bCs/>
          <w:color w:val="1A1A2E"/>
          <w:sz w:val="29"/>
          <w:szCs w:val="29"/>
        </w:rPr>
        <w:t>6. Screen: App Feedback</w:t>
      </w:r>
    </w:p>
    <w:p w14:paraId="25004B0D">
      <w:pPr>
        <w:spacing w:after="140"/>
      </w:pPr>
      <w:r>
        <w:rPr>
          <w:color w:val="1F2937"/>
          <w:sz w:val="21"/>
          <w:szCs w:val="21"/>
        </w:rPr>
        <w:t>Every piece of feedback submitted by citizens and staff, across every module, in one unified view — rather than three separate near-duplicate screens.</w:t>
      </w:r>
    </w:p>
    <w:p w14:paraId="43EA620A">
      <w:pPr>
        <w:pStyle w:val="3"/>
        <w:spacing w:before="260" w:after="110"/>
      </w:pPr>
      <w:r>
        <w:rPr>
          <w:b/>
          <w:bCs/>
          <w:color w:val="1A1A2E"/>
          <w:sz w:val="23"/>
          <w:szCs w:val="23"/>
        </w:rPr>
        <w:t>6.1 How you get here</w:t>
      </w:r>
    </w:p>
    <w:p w14:paraId="1C07DF17">
      <w:pPr>
        <w:spacing w:after="140"/>
      </w:pPr>
      <w:r>
        <w:rPr>
          <w:i/>
          <w:iCs/>
          <w:color w:val="5B6473"/>
          <w:sz w:val="21"/>
          <w:szCs w:val="21"/>
        </w:rPr>
        <w:t>This path shows exactly how you arrive at this screen — each arrow is one real click or action, nothing skipped.</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
        <w:gridCol w:w="2500"/>
        <w:gridCol w:w="500"/>
        <w:gridCol w:w="2500"/>
      </w:tblGrid>
      <w:tr w14:paraId="1C428285">
        <w:tblPrEx>
          <w:tblCellMar>
            <w:top w:w="0" w:type="dxa"/>
            <w:left w:w="10" w:type="dxa"/>
            <w:bottom w:w="0" w:type="dxa"/>
            <w:right w:w="10" w:type="dxa"/>
          </w:tblCellMar>
        </w:tblPrEx>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78AE467F">
            <w:pPr>
              <w:jc w:val="center"/>
            </w:pPr>
            <w:r>
              <w:rPr>
                <w:b/>
                <w:bCs/>
                <w:color w:val="1A1A2E"/>
                <w:sz w:val="18"/>
                <w:szCs w:val="18"/>
              </w:rPr>
              <w:t>You are signed in</w:t>
            </w:r>
          </w:p>
        </w:tc>
        <w:tc>
          <w:tcPr>
            <w:tcW w:w="500" w:type="dxa"/>
            <w:tcBorders>
              <w:top w:val="nil"/>
              <w:left w:val="nil"/>
              <w:bottom w:val="nil"/>
              <w:right w:val="nil"/>
            </w:tcBorders>
            <w:vAlign w:val="center"/>
          </w:tcPr>
          <w:p w14:paraId="63A5333D">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40C21209">
            <w:pPr>
              <w:jc w:val="center"/>
            </w:pPr>
            <w:r>
              <w:rPr>
                <w:b/>
                <w:bCs/>
                <w:color w:val="1A1A2E"/>
                <w:sz w:val="18"/>
                <w:szCs w:val="18"/>
              </w:rPr>
              <w:t>CRM screen</w:t>
            </w:r>
          </w:p>
        </w:tc>
        <w:tc>
          <w:tcPr>
            <w:tcW w:w="500" w:type="dxa"/>
            <w:tcBorders>
              <w:top w:val="nil"/>
              <w:left w:val="nil"/>
              <w:bottom w:val="nil"/>
              <w:right w:val="nil"/>
            </w:tcBorders>
            <w:vAlign w:val="center"/>
          </w:tcPr>
          <w:p w14:paraId="1AD1F7AD">
            <w:pPr>
              <w:jc w:val="center"/>
            </w:pPr>
            <w:r>
              <w:rPr>
                <w:b/>
                <w:bCs/>
                <w:color w:val="B8860B"/>
                <w:sz w:val="22"/>
                <w:szCs w:val="22"/>
              </w:rPr>
              <w:t>→</w:t>
            </w:r>
          </w:p>
        </w:tc>
        <w:tc>
          <w:tcPr>
            <w:tcW w:w="2500" w:type="dxa"/>
            <w:tcBorders>
              <w:top w:val="single" w:color="1A1A2E" w:sz="4" w:space="0"/>
              <w:left w:val="single" w:color="1A1A2E" w:sz="4" w:space="0"/>
              <w:bottom w:val="single" w:color="1A1A2E" w:sz="4" w:space="0"/>
              <w:right w:val="single" w:color="1A1A2E" w:sz="4" w:space="0"/>
            </w:tcBorders>
            <w:tcMar>
              <w:top w:w="100" w:type="dxa"/>
              <w:left w:w="100" w:type="dxa"/>
              <w:bottom w:w="100" w:type="dxa"/>
              <w:right w:w="100" w:type="dxa"/>
            </w:tcMar>
            <w:vAlign w:val="center"/>
          </w:tcPr>
          <w:p w14:paraId="69BB0196">
            <w:pPr>
              <w:jc w:val="center"/>
            </w:pPr>
            <w:r>
              <w:rPr>
                <w:b/>
                <w:bCs/>
                <w:color w:val="1A1A2E"/>
                <w:sz w:val="18"/>
                <w:szCs w:val="18"/>
              </w:rPr>
              <w:t>"View App Feedback"</w:t>
            </w:r>
          </w:p>
        </w:tc>
      </w:tr>
    </w:tbl>
    <w:p w14:paraId="2314CCC4">
      <w:pPr>
        <w:spacing w:before="200"/>
      </w:pPr>
    </w:p>
    <w:p w14:paraId="2B3B53A9">
      <w:pPr>
        <w:pStyle w:val="3"/>
        <w:spacing w:before="260" w:after="110"/>
      </w:pPr>
      <w:r>
        <w:rPr>
          <w:b/>
          <w:bCs/>
          <w:color w:val="1A1A2E"/>
          <w:sz w:val="23"/>
          <w:szCs w:val="23"/>
        </w:rPr>
        <w:t>6.2 What this screen looks like</w:t>
      </w:r>
    </w:p>
    <w:p w14:paraId="774134EE">
      <w:pPr>
        <w:spacing w:after="140"/>
      </w:pPr>
      <w:r>
        <w:rPr>
          <w:color w:val="1F2937"/>
          <w:sz w:val="21"/>
          <w:szCs w:val="21"/>
        </w:rPr>
        <w:t>Shown here with made-up sample entries:</w:t>
      </w:r>
    </w:p>
    <w:p w14:paraId="3D7DDDFA">
      <w:pPr>
        <w:spacing w:before="140" w:after="140"/>
        <w:jc w:val="center"/>
      </w:pPr>
      <w:r>
        <w:drawing>
          <wp:inline distT="0" distB="0" distL="0" distR="0">
            <wp:extent cx="4000500" cy="4705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000500" cy="4705350"/>
                    </a:xfrm>
                    <a:prstGeom prst="rect">
                      <a:avLst/>
                    </a:prstGeom>
                  </pic:spPr>
                </pic:pic>
              </a:graphicData>
            </a:graphic>
          </wp:inline>
        </w:drawing>
      </w:r>
    </w:p>
    <w:p w14:paraId="5691B2D8">
      <w:pPr>
        <w:spacing w:after="140"/>
      </w:pPr>
      <w:r>
        <w:rPr>
          <w:color w:val="1F2937"/>
          <w:sz w:val="21"/>
          <w:szCs w:val="21"/>
        </w:rPr>
        <w:t>The overall summary (total responses, average rating) sits above a per-module breakdown — the whole point of a unified view is seeing at a glance which module is doing well and which isn’t, not a single blended number that hides that. The module and rating filters narrow the list below to whichever slice you want to read.</w:t>
      </w:r>
    </w:p>
    <w:p w14:paraId="46A53FA8">
      <w:pPr>
        <w:spacing w:after="140"/>
      </w:pPr>
      <w:r>
        <w:rPr>
          <w:i/>
          <w:iCs/>
          <w:color w:val="5B6473"/>
          <w:sz w:val="21"/>
          <w:szCs w:val="21"/>
        </w:rPr>
        <w:t>This screen is read-only — there is nothing to fill in here yourself.</w:t>
      </w:r>
    </w:p>
    <w:p w14:paraId="45854E41">
      <w:r>
        <w:br w:type="page"/>
      </w:r>
    </w:p>
    <w:p w14:paraId="42682BD9">
      <w:pPr>
        <w:pStyle w:val="2"/>
        <w:pBdr>
          <w:bottom w:val="single" w:color="B8860B" w:sz="10" w:space="4"/>
        </w:pBdr>
        <w:spacing w:before="380" w:after="200"/>
      </w:pPr>
      <w:r>
        <w:rPr>
          <w:b/>
          <w:bCs/>
          <w:color w:val="1A1A2E"/>
          <w:sz w:val="29"/>
          <w:szCs w:val="29"/>
        </w:rPr>
        <w:t>7. Quick Reference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14:paraId="42EF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3C7244F">
            <w:r>
              <w:rPr>
                <w:b/>
                <w:bCs/>
                <w:color w:val="1A1A2E"/>
                <w:sz w:val="19"/>
                <w:szCs w:val="19"/>
              </w:rPr>
              <w:t>To…</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38BF0FD">
            <w:r>
              <w:rPr>
                <w:b/>
                <w:bCs/>
                <w:color w:val="1A1A2E"/>
                <w:sz w:val="19"/>
                <w:szCs w:val="19"/>
              </w:rPr>
              <w:t>Do this</w:t>
            </w:r>
          </w:p>
        </w:tc>
      </w:tr>
      <w:tr w14:paraId="2E54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EA57D71">
            <w:pPr>
              <w:jc w:val="left"/>
            </w:pPr>
            <w:r>
              <w:rPr>
                <w:b w:val="0"/>
                <w:bCs w:val="0"/>
                <w:color w:val="1F2937"/>
                <w:sz w:val="19"/>
                <w:szCs w:val="19"/>
              </w:rPr>
              <w:t>Generate this month’s invoices</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FE5A492">
            <w:pPr>
              <w:jc w:val="left"/>
            </w:pPr>
            <w:r>
              <w:rPr>
                <w:b w:val="0"/>
                <w:bCs w:val="0"/>
                <w:color w:val="1F2937"/>
                <w:sz w:val="19"/>
                <w:szCs w:val="19"/>
              </w:rPr>
              <w:t>Billing → "+ Generate this month"</w:t>
            </w:r>
          </w:p>
        </w:tc>
      </w:tr>
      <w:tr w14:paraId="7083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5E8EA98">
            <w:pPr>
              <w:jc w:val="left"/>
            </w:pPr>
            <w:r>
              <w:rPr>
                <w:b w:val="0"/>
                <w:bCs w:val="0"/>
                <w:color w:val="1F2937"/>
                <w:sz w:val="19"/>
                <w:szCs w:val="19"/>
              </w:rPr>
              <w:t>Record a payment</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B7B4A4F">
            <w:pPr>
              <w:jc w:val="left"/>
            </w:pPr>
            <w:r>
              <w:rPr>
                <w:b w:val="0"/>
                <w:bCs w:val="0"/>
                <w:color w:val="1F2937"/>
                <w:sz w:val="19"/>
                <w:szCs w:val="19"/>
              </w:rPr>
              <w:t>Billing → open the invoice → choose payment mode → "Mark paid"</w:t>
            </w:r>
          </w:p>
        </w:tc>
      </w:tr>
      <w:tr w14:paraId="7911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8063C96">
            <w:pPr>
              <w:jc w:val="left"/>
            </w:pPr>
            <w:r>
              <w:rPr>
                <w:b w:val="0"/>
                <w:bCs w:val="0"/>
                <w:color w:val="1F2937"/>
                <w:sz w:val="19"/>
                <w:szCs w:val="19"/>
              </w:rPr>
              <w:t>Find a specific client</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45F6F448">
            <w:pPr>
              <w:jc w:val="left"/>
            </w:pPr>
            <w:r>
              <w:rPr>
                <w:b w:val="0"/>
                <w:bCs w:val="0"/>
                <w:color w:val="1F2937"/>
                <w:sz w:val="19"/>
                <w:szCs w:val="19"/>
              </w:rPr>
              <w:t>Clients → search or filter</w:t>
            </w:r>
          </w:p>
        </w:tc>
      </w:tr>
      <w:tr w14:paraId="026F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7E7F7CF4">
            <w:pPr>
              <w:jc w:val="left"/>
            </w:pPr>
            <w:r>
              <w:rPr>
                <w:b w:val="0"/>
                <w:bCs w:val="0"/>
                <w:color w:val="1F2937"/>
                <w:sz w:val="19"/>
                <w:szCs w:val="19"/>
              </w:rPr>
              <w:t>Suspend a client</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3C28F9CE">
            <w:pPr>
              <w:jc w:val="left"/>
            </w:pPr>
            <w:r>
              <w:rPr>
                <w:b w:val="0"/>
                <w:bCs w:val="0"/>
                <w:color w:val="1F2937"/>
                <w:sz w:val="19"/>
                <w:szCs w:val="19"/>
              </w:rPr>
              <w:t>Clients → open the client → "Suspend" → confirm</w:t>
            </w:r>
          </w:p>
        </w:tc>
      </w:tr>
      <w:tr w14:paraId="5C62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1D20C464">
            <w:pPr>
              <w:jc w:val="left"/>
            </w:pPr>
            <w:r>
              <w:rPr>
                <w:b w:val="0"/>
                <w:bCs w:val="0"/>
                <w:color w:val="1F2937"/>
                <w:sz w:val="19"/>
                <w:szCs w:val="19"/>
              </w:rPr>
              <w:t>Upload a help video</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2670A645">
            <w:pPr>
              <w:jc w:val="left"/>
            </w:pPr>
            <w:r>
              <w:rPr>
                <w:b w:val="0"/>
                <w:bCs w:val="0"/>
                <w:color w:val="1F2937"/>
                <w:sz w:val="19"/>
                <w:szCs w:val="19"/>
              </w:rPr>
              <w:t>More → Help Admin → Screen videos → "Upload video"</w:t>
            </w:r>
          </w:p>
        </w:tc>
      </w:tr>
      <w:tr w14:paraId="7A4D4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F71EE83">
            <w:pPr>
              <w:jc w:val="left"/>
            </w:pPr>
            <w:r>
              <w:rPr>
                <w:b w:val="0"/>
                <w:bCs w:val="0"/>
                <w:color w:val="1F2937"/>
                <w:sz w:val="19"/>
                <w:szCs w:val="19"/>
              </w:rPr>
              <w:t>See app feedback</w:t>
            </w:r>
          </w:p>
        </w:tc>
        <w:tc>
          <w:tcPr>
            <w:tcW w:w="6900" w:type="dxa"/>
            <w:tcBorders>
              <w:top w:val="single" w:color="1A1A2E" w:sz="4" w:space="0"/>
              <w:left w:val="single" w:color="1A1A2E" w:sz="4" w:space="0"/>
              <w:bottom w:val="single" w:color="1A1A2E" w:sz="4" w:space="0"/>
              <w:right w:val="single" w:color="1A1A2E" w:sz="4" w:space="0"/>
            </w:tcBorders>
            <w:tcMar>
              <w:top w:w="90" w:type="dxa"/>
              <w:left w:w="110" w:type="dxa"/>
              <w:bottom w:w="90" w:type="dxa"/>
              <w:right w:w="110" w:type="dxa"/>
            </w:tcMar>
          </w:tcPr>
          <w:p w14:paraId="6763CD42">
            <w:pPr>
              <w:jc w:val="left"/>
            </w:pPr>
            <w:r>
              <w:rPr>
                <w:b w:val="0"/>
                <w:bCs w:val="0"/>
                <w:color w:val="1F2937"/>
                <w:sz w:val="19"/>
                <w:szCs w:val="19"/>
              </w:rPr>
              <w:t>Clients → "View App Feedback"</w:t>
            </w:r>
          </w:p>
        </w:tc>
      </w:tr>
    </w:tbl>
    <w:p w14:paraId="27E3AC6C">
      <w:pPr>
        <w:spacing w:before="200"/>
      </w:pPr>
    </w:p>
    <w:p w14:paraId="194FD042">
      <w:pPr>
        <w:spacing w:after="140"/>
      </w:pPr>
      <w:r>
        <w:rPr>
          <w:i/>
          <w:iCs/>
          <w:color w:val="5B6473"/>
          <w:sz w:val="21"/>
          <w:szCs w:val="21"/>
        </w:rPr>
        <w:t>This guide reflects the Control Panel as of August 2026.</w:t>
      </w:r>
    </w:p>
    <w:sectPr>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6BEB1D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1501</Words>
  <Characters>7301</Characters>
  <TotalTime>0</TotalTime>
  <ScaleCrop>false</ScaleCrop>
  <LinksUpToDate>false</LinksUpToDate>
  <CharactersWithSpaces>8675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2026-08-16T06:23:00Z</dcterms:created>
  <dc:creator>Un-named</dc:creator>
  <cp:lastModifiedBy>user</cp:lastModifiedBy>
  <dcterms:modified xsi:type="dcterms:W3CDTF">2026-09-25T05:32:39Z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eyJoZGlkIjoiYjFhOGMxMTUyMTdjYmYyZGY5NWRlNzFmZDQ0NWY4MTYifQ==</vt:lpwstr>
  </property>
  <property fmtid="{D5CDD505-2E9C-101B-9397-08002B2CF9AE}" pid="3" name="KSOProductBuildVer">
    <vt:lpwstr>1033-12.1.0.28485</vt:lpwstr>
  </property>
  <property fmtid="{D5CDD505-2E9C-101B-9397-08002B2CF9AE}" pid="4" name="ICV">
    <vt:lpwstr>14EB92FDC6F24B6C82392AFD1A4ECEF3_12</vt:lpwstr>
  </property>
</Properties>
</file>