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EAD3" w14:textId="4BA15CBF" w:rsidR="00844498" w:rsidRPr="00123A89" w:rsidRDefault="00844498" w:rsidP="00123A89">
      <w:pPr>
        <w:jc w:val="center"/>
        <w:rPr>
          <w:b/>
          <w:bCs/>
          <w:sz w:val="48"/>
          <w:szCs w:val="48"/>
        </w:rPr>
      </w:pPr>
      <w:r w:rsidRPr="00123A89">
        <w:rPr>
          <w:rFonts w:ascii="Segoe UI Emoji" w:hAnsi="Segoe UI Emoji" w:cs="Segoe UI Emoji"/>
          <w:b/>
          <w:bCs/>
          <w:sz w:val="48"/>
          <w:szCs w:val="48"/>
          <w:highlight w:val="yellow"/>
        </w:rPr>
        <w:t>🏢</w:t>
      </w:r>
      <w:r w:rsidRPr="00123A89">
        <w:rPr>
          <w:b/>
          <w:bCs/>
          <w:sz w:val="48"/>
          <w:szCs w:val="48"/>
          <w:highlight w:val="yellow"/>
        </w:rPr>
        <w:t xml:space="preserve"> X</w:t>
      </w:r>
      <w:r w:rsidR="00123A89">
        <w:rPr>
          <w:b/>
          <w:bCs/>
          <w:sz w:val="48"/>
          <w:szCs w:val="48"/>
          <w:highlight w:val="yellow"/>
        </w:rPr>
        <w:t>-</w:t>
      </w:r>
      <w:r w:rsidRPr="00123A89">
        <w:rPr>
          <w:b/>
          <w:bCs/>
          <w:sz w:val="48"/>
          <w:szCs w:val="48"/>
          <w:highlight w:val="yellow"/>
        </w:rPr>
        <w:t>Nest Executive Report (2022–2024)</w:t>
      </w:r>
    </w:p>
    <w:p w14:paraId="2E6AA9B6" w14:textId="36D9D967" w:rsidR="00123A89" w:rsidRDefault="007D0EC3" w:rsidP="007D0EC3">
      <w:pPr>
        <w:tabs>
          <w:tab w:val="left" w:pos="7630"/>
        </w:tabs>
      </w:pPr>
      <w:r>
        <w:tab/>
        <w:t xml:space="preserve"> </w:t>
      </w:r>
    </w:p>
    <w:p w14:paraId="45676A28" w14:textId="7AD1EC02" w:rsidR="00844498" w:rsidRPr="00123A89" w:rsidRDefault="00123A89" w:rsidP="00844498">
      <w:pPr>
        <w:rPr>
          <w:b/>
          <w:bCs/>
        </w:rPr>
      </w:pPr>
      <w:r w:rsidRPr="00123A89">
        <w:rPr>
          <w:b/>
          <w:bCs/>
        </w:rPr>
        <w:t xml:space="preserve">       </w:t>
      </w:r>
      <w:r w:rsidR="00844498" w:rsidRPr="00123A89">
        <w:rPr>
          <w:b/>
          <w:bCs/>
        </w:rPr>
        <w:t>Performance Overview and Strategic Recommendations</w:t>
      </w:r>
    </w:p>
    <w:p w14:paraId="2B6061A4" w14:textId="77777777" w:rsidR="00844498" w:rsidRPr="00123A89" w:rsidRDefault="00844498" w:rsidP="00844498"/>
    <w:p w14:paraId="2B8E93A4" w14:textId="77777777" w:rsidR="00844498" w:rsidRPr="00123A89" w:rsidRDefault="00844498" w:rsidP="00844498">
      <w:r w:rsidRPr="00123A89">
        <w:t>1. Key Performance Indicators</w:t>
      </w:r>
    </w:p>
    <w:p w14:paraId="17C2C3DC" w14:textId="77777777" w:rsidR="00844498" w:rsidRPr="00123A89" w:rsidRDefault="00844498" w:rsidP="00844498">
      <w:r w:rsidRPr="00123A89">
        <w:t>- Total Revenue: 2022 $275,671,742 | 2023 $273,138,299 | 2024 (Jan) $687,149</w:t>
      </w:r>
    </w:p>
    <w:p w14:paraId="25E09B20" w14:textId="77777777" w:rsidR="00844498" w:rsidRPr="00123A89" w:rsidRDefault="00844498" w:rsidP="00844498">
      <w:r w:rsidRPr="00123A89">
        <w:t>- Forecast Accuracy: 2022 98.18% | 2023 93.95% | 2024 98.43%</w:t>
      </w:r>
    </w:p>
    <w:p w14:paraId="34ABEA0D" w14:textId="77777777" w:rsidR="00844498" w:rsidRPr="00123A89" w:rsidRDefault="00844498" w:rsidP="00844498">
      <w:r w:rsidRPr="00123A89">
        <w:t>- Average Discount: 2022 $10.0 | 2023 $10.0 | 2024 $9.8</w:t>
      </w:r>
    </w:p>
    <w:p w14:paraId="423EBCE1" w14:textId="77777777" w:rsidR="00844498" w:rsidRPr="00123A89" w:rsidRDefault="00844498" w:rsidP="00844498">
      <w:r w:rsidRPr="00123A89">
        <w:t>- Best Selling Region: 2022 North | 2023 East | 2024 West</w:t>
      </w:r>
    </w:p>
    <w:p w14:paraId="7BE0DA80" w14:textId="77777777" w:rsidR="00844498" w:rsidRPr="00123A89" w:rsidRDefault="00844498" w:rsidP="00844498">
      <w:r w:rsidRPr="00123A89">
        <w:t>- Top Category: 2022 Groceries | 2023 Furniture | 2024 Furniture</w:t>
      </w:r>
    </w:p>
    <w:p w14:paraId="7C2B6DBD" w14:textId="77777777" w:rsidR="00844498" w:rsidRPr="00123A89" w:rsidRDefault="00844498" w:rsidP="00844498"/>
    <w:p w14:paraId="291DD4A3" w14:textId="77777777" w:rsidR="00844498" w:rsidRPr="00123A89" w:rsidRDefault="00844498" w:rsidP="00844498">
      <w:r w:rsidRPr="00123A89">
        <w:t>2. Trend Analysis</w:t>
      </w:r>
    </w:p>
    <w:p w14:paraId="7873371F" w14:textId="77777777" w:rsidR="00844498" w:rsidRPr="00123A89" w:rsidRDefault="00844498" w:rsidP="00844498">
      <w:r w:rsidRPr="00123A89">
        <w:t>- Revenue: Slight dip from 2022 to 2023 (−0.9%), stabilizing in Jan 2024.</w:t>
      </w:r>
    </w:p>
    <w:p w14:paraId="77168C28" w14:textId="77777777" w:rsidR="00844498" w:rsidRPr="00123A89" w:rsidRDefault="00844498" w:rsidP="00844498">
      <w:r w:rsidRPr="00123A89">
        <w:t>- Regional Dynamics: Leadership rotated North → East → West, showing diversification.</w:t>
      </w:r>
    </w:p>
    <w:p w14:paraId="370BC9F3" w14:textId="77777777" w:rsidR="00844498" w:rsidRPr="00123A89" w:rsidRDefault="00844498" w:rsidP="00844498">
      <w:r w:rsidRPr="00123A89">
        <w:t>- Category Performance: Furniture dominates in 2023–24, Groceries led in 2022.</w:t>
      </w:r>
    </w:p>
    <w:p w14:paraId="5A4F4D03" w14:textId="77777777" w:rsidR="00844498" w:rsidRPr="00123A89" w:rsidRDefault="00844498" w:rsidP="00844498">
      <w:r w:rsidRPr="00123A89">
        <w:t>- Forecast Accuracy: Consistently high, rebound in 2024.</w:t>
      </w:r>
    </w:p>
    <w:p w14:paraId="2F4A4ED9" w14:textId="77777777" w:rsidR="00844498" w:rsidRPr="00123A89" w:rsidRDefault="00844498" w:rsidP="00844498">
      <w:r w:rsidRPr="00123A89">
        <w:t>- Discount Strategy: Stable, with minor reduction in 2024 reflecting tighter cost control.</w:t>
      </w:r>
    </w:p>
    <w:p w14:paraId="50BF9DBE" w14:textId="77777777" w:rsidR="00844498" w:rsidRPr="00123A89" w:rsidRDefault="00844498" w:rsidP="00844498"/>
    <w:p w14:paraId="621363BA" w14:textId="77777777" w:rsidR="00844498" w:rsidRPr="00123A89" w:rsidRDefault="00844498" w:rsidP="00844498">
      <w:r w:rsidRPr="00123A89">
        <w:t>3. Strategic Recommendations</w:t>
      </w:r>
    </w:p>
    <w:p w14:paraId="1CE5D161" w14:textId="77777777" w:rsidR="00844498" w:rsidRPr="00123A89" w:rsidRDefault="00844498" w:rsidP="00844498">
      <w:r w:rsidRPr="00123A89">
        <w:t>- Reinforce West Region — strengthen logistics and marketing.</w:t>
      </w:r>
    </w:p>
    <w:p w14:paraId="379E44EA" w14:textId="77777777" w:rsidR="00844498" w:rsidRPr="00123A89" w:rsidRDefault="00844498" w:rsidP="00844498">
      <w:r w:rsidRPr="00123A89">
        <w:t>- Revitalize East Region — maintain engagement through loyalty programs.</w:t>
      </w:r>
    </w:p>
    <w:p w14:paraId="4DC69435" w14:textId="77777777" w:rsidR="00844498" w:rsidRPr="00123A89" w:rsidRDefault="00844498" w:rsidP="00844498">
      <w:r w:rsidRPr="00123A89">
        <w:t>- Furniture Expansion — develop exclusive product lines and bundles.</w:t>
      </w:r>
    </w:p>
    <w:p w14:paraId="56308EDE" w14:textId="77777777" w:rsidR="00844498" w:rsidRPr="00123A89" w:rsidRDefault="00844498" w:rsidP="00844498">
      <w:r w:rsidRPr="00123A89">
        <w:t>- Groceries Retention — re</w:t>
      </w:r>
      <w:r w:rsidRPr="00123A89">
        <w:rPr>
          <w:rFonts w:ascii="Cambria Math" w:hAnsi="Cambria Math" w:cs="Cambria Math"/>
        </w:rPr>
        <w:t>‑</w:t>
      </w:r>
      <w:r w:rsidRPr="00123A89">
        <w:t>engage customers with subscription models.</w:t>
      </w:r>
    </w:p>
    <w:p w14:paraId="1FE5BDC8" w14:textId="77777777" w:rsidR="00844498" w:rsidRPr="00123A89" w:rsidRDefault="00844498" w:rsidP="00844498">
      <w:r w:rsidRPr="00123A89">
        <w:t>- Optimize Discounting — apply dynamic pricing by region and category.</w:t>
      </w:r>
    </w:p>
    <w:p w14:paraId="4BAE610C" w14:textId="77777777" w:rsidR="00844498" w:rsidRPr="00123A89" w:rsidRDefault="00844498" w:rsidP="00844498">
      <w:r w:rsidRPr="00123A89">
        <w:t>- Forecasting Enhancement — integrate external data for precision.</w:t>
      </w:r>
    </w:p>
    <w:p w14:paraId="7BCDD675" w14:textId="77777777" w:rsidR="00844498" w:rsidRPr="00123A89" w:rsidRDefault="00844498" w:rsidP="00844498"/>
    <w:p w14:paraId="22A94330" w14:textId="77777777" w:rsidR="00844498" w:rsidRPr="00123A89" w:rsidRDefault="00844498" w:rsidP="00844498">
      <w:r w:rsidRPr="00123A89">
        <w:t>4. Executive Summary</w:t>
      </w:r>
    </w:p>
    <w:p w14:paraId="52834581" w14:textId="086FE3A8" w:rsidR="00844498" w:rsidRDefault="00844498">
      <w:r w:rsidRPr="00123A89">
        <w:t>X</w:t>
      </w:r>
      <w:r w:rsidR="00123A89">
        <w:t>-</w:t>
      </w:r>
      <w:r w:rsidRPr="00123A89">
        <w:t>Nest’s performance from 2022 to 2024 reflects resilience and adaptability. Despite a minor revenue dip, the company diversified regionally and maintained strong forecasting accuracy. The West region’s rise and furniture’s sustained dominance highlight evolving consumer preferences toward lifestyle and comfort. Strategic focus should now shift toward regional optimization, category innovation, and data</w:t>
      </w:r>
      <w:r w:rsidRPr="00123A89">
        <w:rPr>
          <w:rFonts w:ascii="Cambria Math" w:hAnsi="Cambria Math" w:cs="Cambria Math"/>
        </w:rPr>
        <w:t>‑</w:t>
      </w:r>
      <w:r w:rsidRPr="00123A89">
        <w:t>driven discounting to sustain profitability and growth momentum.</w:t>
      </w:r>
    </w:p>
    <w:sectPr w:rsidR="00844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98"/>
    <w:rsid w:val="0005292E"/>
    <w:rsid w:val="00123A89"/>
    <w:rsid w:val="002A439D"/>
    <w:rsid w:val="004626D0"/>
    <w:rsid w:val="005E1C15"/>
    <w:rsid w:val="00667C39"/>
    <w:rsid w:val="007D0EC3"/>
    <w:rsid w:val="00844498"/>
    <w:rsid w:val="00A60C6C"/>
    <w:rsid w:val="00B03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0D99"/>
  <w15:chartTrackingRefBased/>
  <w15:docId w15:val="{9202212B-2623-4F4F-90C5-9380E807B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498"/>
    <w:rPr>
      <w:rFonts w:eastAsiaTheme="majorEastAsia" w:cstheme="majorBidi"/>
      <w:color w:val="272727" w:themeColor="text1" w:themeTint="D8"/>
    </w:rPr>
  </w:style>
  <w:style w:type="paragraph" w:styleId="Title">
    <w:name w:val="Title"/>
    <w:basedOn w:val="Normal"/>
    <w:next w:val="Normal"/>
    <w:link w:val="TitleChar"/>
    <w:uiPriority w:val="10"/>
    <w:qFormat/>
    <w:rsid w:val="00844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498"/>
    <w:pPr>
      <w:spacing w:before="160"/>
      <w:jc w:val="center"/>
    </w:pPr>
    <w:rPr>
      <w:i/>
      <w:iCs/>
      <w:color w:val="404040" w:themeColor="text1" w:themeTint="BF"/>
    </w:rPr>
  </w:style>
  <w:style w:type="character" w:customStyle="1" w:styleId="QuoteChar">
    <w:name w:val="Quote Char"/>
    <w:basedOn w:val="DefaultParagraphFont"/>
    <w:link w:val="Quote"/>
    <w:uiPriority w:val="29"/>
    <w:rsid w:val="00844498"/>
    <w:rPr>
      <w:i/>
      <w:iCs/>
      <w:color w:val="404040" w:themeColor="text1" w:themeTint="BF"/>
    </w:rPr>
  </w:style>
  <w:style w:type="paragraph" w:styleId="ListParagraph">
    <w:name w:val="List Paragraph"/>
    <w:basedOn w:val="Normal"/>
    <w:uiPriority w:val="34"/>
    <w:qFormat/>
    <w:rsid w:val="00844498"/>
    <w:pPr>
      <w:ind w:left="720"/>
      <w:contextualSpacing/>
    </w:pPr>
  </w:style>
  <w:style w:type="character" w:styleId="IntenseEmphasis">
    <w:name w:val="Intense Emphasis"/>
    <w:basedOn w:val="DefaultParagraphFont"/>
    <w:uiPriority w:val="21"/>
    <w:qFormat/>
    <w:rsid w:val="00844498"/>
    <w:rPr>
      <w:i/>
      <w:iCs/>
      <w:color w:val="0F4761" w:themeColor="accent1" w:themeShade="BF"/>
    </w:rPr>
  </w:style>
  <w:style w:type="paragraph" w:styleId="IntenseQuote">
    <w:name w:val="Intense Quote"/>
    <w:basedOn w:val="Normal"/>
    <w:next w:val="Normal"/>
    <w:link w:val="IntenseQuoteChar"/>
    <w:uiPriority w:val="30"/>
    <w:qFormat/>
    <w:rsid w:val="00844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498"/>
    <w:rPr>
      <w:i/>
      <w:iCs/>
      <w:color w:val="0F4761" w:themeColor="accent1" w:themeShade="BF"/>
    </w:rPr>
  </w:style>
  <w:style w:type="character" w:styleId="IntenseReference">
    <w:name w:val="Intense Reference"/>
    <w:basedOn w:val="DefaultParagraphFont"/>
    <w:uiPriority w:val="32"/>
    <w:qFormat/>
    <w:rsid w:val="00844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Olasupo</dc:creator>
  <cp:keywords/>
  <dc:description/>
  <cp:lastModifiedBy>Azeez Olasupo</cp:lastModifiedBy>
  <cp:revision>4</cp:revision>
  <dcterms:created xsi:type="dcterms:W3CDTF">2026-06-09T17:51:00Z</dcterms:created>
  <dcterms:modified xsi:type="dcterms:W3CDTF">2026-06-30T21:43:00Z</dcterms:modified>
</cp:coreProperties>
</file>