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3557" w:val="clear"/>
            <w:tcMar>
              <w:top w:type="dxa" w:w="600"/>
              <w:left w:type="dxa" w:w="400"/>
              <w:bottom w:type="dxa" w:w="600"/>
              <w:right w:type="dxa" w:w="400"/>
            </w:tcMar>
          </w:tcPr>
          <w:p>
            <w:pPr>
              <w:spacing w:after="80"/>
              <w:jc w:val="center"/>
            </w:pPr>
            <w:r>
              <w:rPr>
                <w:rFonts w:ascii="Arial" w:cs="Arial" w:eastAsia="Arial" w:hAnsi="Arial"/>
                <w:b/>
                <w:bCs/>
                <w:color w:val="FFFFFF"/>
                <w:sz w:val="56"/>
                <w:szCs w:val="56"/>
              </w:rPr>
              <w:t xml:space="preserve">PROPERTY RAFFLE PLATFORM</w:t>
            </w:r>
          </w:p>
          <w:p>
            <w:pPr>
              <w:spacing w:after="80"/>
              <w:jc w:val="center"/>
            </w:pPr>
            <w:r>
              <w:rPr>
                <w:rFonts w:ascii="Arial" w:cs="Arial" w:eastAsia="Arial" w:hAnsi="Arial"/>
                <w:color w:val="D6E4F0"/>
                <w:sz w:val="34"/>
                <w:szCs w:val="34"/>
              </w:rPr>
              <w:t xml:space="preserve">Website Development Specification</w:t>
            </w:r>
          </w:p>
          <w:p>
            <w:pPr>
              <w:spacing w:after="80"/>
              <w:jc w:val="center"/>
            </w:pPr>
            <w:r>
              <w:rPr>
                <w:rFonts w:ascii="Arial" w:cs="Arial" w:eastAsia="Arial" w:hAnsi="Arial"/>
                <w:b/>
                <w:bCs/>
                <w:color w:val="A8C8E8"/>
                <w:sz w:val="26"/>
                <w:szCs w:val="26"/>
              </w:rPr>
              <w:t xml:space="preserve">Version 3.0 — Regulation-Compliant + Calculator Edition</w:t>
            </w:r>
          </w:p>
          <w:p>
            <w:pPr>
              <w:spacing w:after="0"/>
              <w:jc w:val="center"/>
            </w:pPr>
            <w:r>
              <w:rPr>
                <w:rFonts w:ascii="Arial" w:cs="Arial" w:eastAsia="Arial" w:hAnsi="Arial"/>
                <w:i/>
                <w:iCs/>
                <w:color w:val="7AABE8"/>
                <w:sz w:val="20"/>
                <w:szCs w:val="20"/>
              </w:rPr>
              <w:t xml:space="preserve">FCCPA 2018 | FCCPC Guidelines | LSLGA Guidelines</w:t>
            </w:r>
          </w:p>
        </w:tc>
      </w:tr>
    </w:tbl>
    <w:p>
      <w:pPr>
        <w:spacing w:after="4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Document Type</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Website Development Specification v3.0</w:t>
            </w:r>
          </w:p>
        </w:tc>
      </w:tr>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Regulatory Basis</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 FCCPC Guidelines 2005 | LSLGA Guidelines | NCC Regulations 2007</w:t>
            </w:r>
          </w:p>
        </w:tc>
      </w:tr>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Platform Name</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Property Raffle Platform (name TBC by owner)</w:t>
            </w:r>
          </w:p>
        </w:tc>
      </w:tr>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Business Model</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Ongoing multi-property promotional competition operations — Nigeria</w:t>
            </w:r>
          </w:p>
        </w:tc>
      </w:tr>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Compliance Status</w:t>
            </w:r>
          </w:p>
        </w:tc>
        <w:tc>
          <w:tcPr>
            <w:tcW w:type="dxa" w:w="4819"/>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Regulation-Compliant — Ready for Developer Brief</w:t>
            </w:r>
          </w:p>
        </w:tc>
      </w:tr>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Replaces</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Website Development Specification v1.0 (superseded)</w:t>
            </w:r>
          </w:p>
        </w:tc>
      </w:tr>
    </w:tbl>
    <w:p>
      <w:pPr>
        <w:spacing w:after="640" w:before="0"/>
      </w:pPr>
    </w:p>
    <w:p>
      <w:r>
        <w:br w:type="page"/>
      </w:r>
    </w:p>
    <w:p>
      <w:pPr>
        <w:pStyle w:val="Heading1"/>
        <w:spacing w:after="160" w:before="480"/>
      </w:pPr>
      <w:r>
        <w:rPr>
          <w:rFonts w:ascii="Arial" w:cs="Arial" w:eastAsia="Arial" w:hAnsi="Arial"/>
          <w:b/>
          <w:bCs/>
          <w:color w:val="1A3557"/>
          <w:sz w:val="36"/>
          <w:szCs w:val="36"/>
        </w:rPr>
        <w:t xml:space="preserve">1. Executive Summary &amp; Regulatory Framework</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This document specifies the design and development of a professional, scalable, and fully regulation-compliant web platform for ongoing property promotional competition operations in Nigeria. It supersedes Version 1.0 and incorporates the requirements of three regulatory frameworks that govern this business simultaneously.</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DA4" w:sz="6"/>
              <w:left w:val="single" w:color="2E6DA4" w:sz="14"/>
              <w:bottom w:val="none" w:color="FFFFFF" w:sz="0"/>
              <w:right w:val="none" w:color="FFFFFF" w:sz="0"/>
            </w:tcBorders>
            <w:shd w:fill="2E6DA4" w:val="clear"/>
            <w:tcMar>
              <w:top w:type="dxa" w:w="100"/>
              <w:left w:type="dxa" w:w="200"/>
              <w:bottom w:type="dxa" w:w="100"/>
              <w:right w:type="dxa" w:w="160"/>
            </w:tcMar>
          </w:tcPr>
          <w:p>
            <w:pPr>
              <w:spacing w:after="60"/>
            </w:pPr>
            <w:r>
              <w:rPr>
                <w:rFonts w:ascii="Arial" w:cs="Arial" w:eastAsia="Arial" w:hAnsi="Arial"/>
                <w:b/>
                <w:bCs/>
                <w:color w:val="2E6DA4"/>
                <w:sz w:val="21"/>
                <w:szCs w:val="21"/>
              </w:rPr>
              <w:t xml:space="preserve">Three Regulatory Layers — All Apply Simultaneously</w:t>
            </w:r>
          </w:p>
          <w:p>
            <w:pPr>
              <w:spacing w:after="0"/>
            </w:pPr>
            <w:r>
              <w:rPr>
                <w:rFonts w:ascii="Arial" w:cs="Arial" w:eastAsia="Arial" w:hAnsi="Arial"/>
                <w:color w:val="1C1C1C"/>
                <w:sz w:val="20"/>
                <w:szCs w:val="20"/>
              </w:rPr>
              <w:t xml:space="preserve">Layer 1 (Federal): The Federal Competition and Consumer Protection Commission (FCCPC) under the FCCPA 2018 and Sales Promotion Regulations 2005 — governs all promotions nationwide. Written approval required before any advertising or ticket sale. Layer 2 (State): The Lagos State Lotteries and Gaming Authority (LSLGA) — governs promotions in Lagos. Separate licence required in addition to FCCPC approval. Layer 3 (Conduct): The FCCPA 2018 directly governs every representation made in advertising, every term in the ticket purchase contract, and every aspect of buyer treatment throughout the campaign.</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14"/>
              <w:bottom w:val="none" w:color="FFFFFF" w:sz="0"/>
              <w:right w:val="none" w:color="FFFFFF" w:sz="0"/>
            </w:tcBorders>
            <w:shd w:fill="FEE8E8" w:val="clear"/>
            <w:tcMar>
              <w:top w:type="dxa" w:w="100"/>
              <w:left w:type="dxa" w:w="200"/>
              <w:bottom w:type="dxa" w:w="100"/>
              <w:right w:type="dxa" w:w="160"/>
            </w:tcMar>
          </w:tcPr>
          <w:p>
            <w:pPr>
              <w:spacing w:after="60"/>
            </w:pPr>
            <w:r>
              <w:rPr>
                <w:rFonts w:ascii="Arial" w:cs="Arial" w:eastAsia="Arial" w:hAnsi="Arial"/>
                <w:b/>
                <w:bCs/>
                <w:color w:val="C0392B"/>
                <w:sz w:val="21"/>
                <w:szCs w:val="21"/>
              </w:rPr>
              <w:t xml:space="preserve">Critical: No Public Communication Before FCCPC Written Approval</w:t>
            </w:r>
          </w:p>
          <w:p>
            <w:pPr>
              <w:spacing w:after="0"/>
            </w:pPr>
            <w:r>
              <w:rPr>
                <w:rFonts w:ascii="Arial" w:cs="Arial" w:eastAsia="Arial" w:hAnsi="Arial"/>
                <w:color w:val="1C1C1C"/>
                <w:sz w:val="20"/>
                <w:szCs w:val="20"/>
              </w:rPr>
              <w:t xml:space="preserve">The platform must be built with a hard architectural constraint: it cannot go live, publish any campaign, display any advertising, or process any payment until the FCCPC approval reference number has been entered into the admin system. This is not just an operational policy — it must be a technical enforcement built into the platform. The promotion legally begins at the moment of first public communication, not the first ticket sale. Operating without approval attracts a fine of NGN 10,000,000 plus the full assessed promotion fee.</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2. Platform Overview &amp; Regulatory Constraints</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2.1  What the Platform Must Achieve</w:t>
      </w:r>
    </w:p>
    <w:p>
      <w:pPr>
        <w:pStyle w:val="ListParagraph"/>
        <w:numPr>
          <w:ilvl w:val="0"/>
          <w:numId w:val="2"/>
        </w:numPr>
        <w:spacing w:after="80" w:before="0"/>
      </w:pPr>
      <w:r>
        <w:rPr>
          <w:rFonts w:ascii="Arial" w:cs="Arial" w:eastAsia="Arial" w:hAnsi="Arial"/>
          <w:color w:val="1C1C1C"/>
          <w:sz w:val="22"/>
          <w:szCs w:val="22"/>
        </w:rPr>
        <w:t xml:space="preserve">Enforce regulatory compliance at every stage — no campaign can be published without FCCPC and LSLGA approval references entered in the admin panel</w:t>
      </w:r>
    </w:p>
    <w:p>
      <w:pPr>
        <w:pStyle w:val="ListParagraph"/>
        <w:numPr>
          <w:ilvl w:val="0"/>
          <w:numId w:val="2"/>
        </w:numPr>
        <w:spacing w:after="80" w:before="0"/>
      </w:pPr>
      <w:r>
        <w:rPr>
          <w:rFonts w:ascii="Arial" w:cs="Arial" w:eastAsia="Arial" w:hAnsi="Arial"/>
          <w:color w:val="1C1C1C"/>
          <w:sz w:val="22"/>
          <w:szCs w:val="22"/>
        </w:rPr>
        <w:t xml:space="preserve">Display the mandatory FCCPC approval statement on every page, every campaign, and every communication automatically — as a system-generated element, not a manual field</w:t>
      </w:r>
    </w:p>
    <w:p>
      <w:pPr>
        <w:pStyle w:val="ListParagraph"/>
        <w:numPr>
          <w:ilvl w:val="0"/>
          <w:numId w:val="2"/>
        </w:numPr>
        <w:spacing w:after="80" w:before="0"/>
      </w:pPr>
      <w:r>
        <w:rPr>
          <w:rFonts w:ascii="Arial" w:cs="Arial" w:eastAsia="Arial" w:hAnsi="Arial"/>
          <w:color w:val="1C1C1C"/>
          <w:sz w:val="22"/>
          <w:szCs w:val="22"/>
        </w:rPr>
        <w:t xml:space="preserve">Manage multiple concurrent promotional competition campaigns, each with its own separate regulatory approval details</w:t>
      </w:r>
    </w:p>
    <w:p>
      <w:pPr>
        <w:pStyle w:val="ListParagraph"/>
        <w:numPr>
          <w:ilvl w:val="0"/>
          <w:numId w:val="2"/>
        </w:numPr>
        <w:spacing w:after="80" w:before="0"/>
      </w:pPr>
      <w:r>
        <w:rPr>
          <w:rFonts w:ascii="Arial" w:cs="Arial" w:eastAsia="Arial" w:hAnsi="Arial"/>
          <w:color w:val="1C1C1C"/>
          <w:sz w:val="22"/>
          <w:szCs w:val="22"/>
        </w:rPr>
        <w:t xml:space="preserve">Handle the full ticket lifecycle: purchase, FCCPA-compliant transaction record issuance, ticket registry, draw, and winner verification</w:t>
      </w:r>
    </w:p>
    <w:p>
      <w:pPr>
        <w:pStyle w:val="ListParagraph"/>
        <w:numPr>
          <w:ilvl w:val="0"/>
          <w:numId w:val="2"/>
        </w:numPr>
        <w:spacing w:after="80" w:before="0"/>
      </w:pPr>
      <w:r>
        <w:rPr>
          <w:rFonts w:ascii="Arial" w:cs="Arial" w:eastAsia="Arial" w:hAnsi="Arial"/>
          <w:color w:val="1C1C1C"/>
          <w:sz w:val="22"/>
          <w:szCs w:val="22"/>
        </w:rPr>
        <w:t xml:space="preserve">Automate all post-draw regulatory filings: 3-day winner submission to FCCPC, and 21-day End of Promotion Report</w:t>
      </w:r>
    </w:p>
    <w:p>
      <w:pPr>
        <w:pStyle w:val="ListParagraph"/>
        <w:numPr>
          <w:ilvl w:val="0"/>
          <w:numId w:val="2"/>
        </w:numPr>
        <w:spacing w:after="80" w:before="0"/>
      </w:pPr>
      <w:r>
        <w:rPr>
          <w:rFonts w:ascii="Arial" w:cs="Arial" w:eastAsia="Arial" w:hAnsi="Arial"/>
          <w:color w:val="1C1C1C"/>
          <w:sz w:val="22"/>
          <w:szCs w:val="22"/>
        </w:rPr>
        <w:t xml:space="preserve">Enforce the 1-year maximum sell-in-time per campaign (FCCPC Guidelines Part 3)</w:t>
      </w:r>
    </w:p>
    <w:p>
      <w:pPr>
        <w:pStyle w:val="ListParagraph"/>
        <w:numPr>
          <w:ilvl w:val="0"/>
          <w:numId w:val="2"/>
        </w:numPr>
        <w:spacing w:after="80" w:before="0"/>
      </w:pPr>
      <w:r>
        <w:rPr>
          <w:rFonts w:ascii="Arial" w:cs="Arial" w:eastAsia="Arial" w:hAnsi="Arial"/>
          <w:color w:val="1C1C1C"/>
          <w:sz w:val="22"/>
          <w:szCs w:val="22"/>
        </w:rPr>
        <w:t xml:space="preserve">Block ticket sales the moment the approved closing date or ticket cap is reached — no override possible without documented FCCPC prior approval</w:t>
      </w:r>
    </w:p>
    <w:p>
      <w:pPr>
        <w:pStyle w:val="ListParagraph"/>
        <w:numPr>
          <w:ilvl w:val="0"/>
          <w:numId w:val="2"/>
        </w:numPr>
        <w:spacing w:after="80" w:before="0"/>
      </w:pPr>
      <w:r>
        <w:rPr>
          <w:rFonts w:ascii="Arial" w:cs="Arial" w:eastAsia="Arial" w:hAnsi="Arial"/>
          <w:color w:val="1C1C1C"/>
          <w:sz w:val="22"/>
          <w:szCs w:val="22"/>
        </w:rPr>
        <w:t xml:space="preserve">Store T&amp;C acceptance timestamps as legally admissible permanent records per user per campaign</w:t>
      </w:r>
    </w:p>
    <w:p>
      <w:pPr>
        <w:spacing w:after="160" w:before="0"/>
      </w:pPr>
    </w:p>
    <w:p>
      <w:pPr>
        <w:pStyle w:val="Heading2"/>
        <w:spacing w:after="120" w:before="320"/>
      </w:pPr>
      <w:r>
        <w:rPr>
          <w:rFonts w:ascii="Arial" w:cs="Arial" w:eastAsia="Arial" w:hAnsi="Arial"/>
          <w:b/>
          <w:bCs/>
          <w:color w:val="2E6DA4"/>
          <w:sz w:val="28"/>
          <w:szCs w:val="28"/>
        </w:rPr>
        <w:t xml:space="preserve">2.2  Hardcoded Regulatory Constraints — Non-Negotiable Technical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35400" w:sz="6"/>
              <w:left w:val="single" w:color="D35400" w:sz="14"/>
              <w:bottom w:val="none" w:color="FFFFFF" w:sz="0"/>
              <w:right w:val="none" w:color="FFFFFF" w:sz="0"/>
            </w:tcBorders>
            <w:shd w:fill="FEF5EC" w:val="clear"/>
            <w:tcMar>
              <w:top w:type="dxa" w:w="100"/>
              <w:left w:type="dxa" w:w="200"/>
              <w:bottom w:type="dxa" w:w="100"/>
              <w:right w:type="dxa" w:w="160"/>
            </w:tcMar>
          </w:tcPr>
          <w:p>
            <w:pPr>
              <w:spacing w:after="60"/>
            </w:pPr>
            <w:r>
              <w:rPr>
                <w:rFonts w:ascii="Arial" w:cs="Arial" w:eastAsia="Arial" w:hAnsi="Arial"/>
                <w:b/>
                <w:bCs/>
                <w:color w:val="D35400"/>
                <w:sz w:val="21"/>
                <w:szCs w:val="21"/>
              </w:rPr>
              <w:t xml:space="preserve">These constraints cannot be overridden by admin, cannot be bypassed by code changes, and must be documented as security-critical in the technical specification</w:t>
            </w:r>
          </w:p>
          <w:p>
            <w:pPr>
              <w:spacing w:after="0"/>
            </w:pPr>
            <w:r>
              <w:rPr>
                <w:rFonts w:ascii="Arial" w:cs="Arial" w:eastAsia="Arial" w:hAnsi="Arial"/>
                <w:color w:val="1C1C1C"/>
                <w:sz w:val="20"/>
                <w:szCs w:val="20"/>
              </w:rPr>
              <w:t xml:space="preserve">Campaigns cannot go live without: FCCPC approval reference number, LSLGA licence number (if Lagos), NIESV valuation report upload, escrow bank name, draw date within 1-year sell-in-time, and signed T&amp;Cs submitted to FCCPC. These are database-level validation constraints.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638"/>
        <w:gridCol w:w="4337"/>
      </w:tblGrid>
      <w:tr>
        <w:tc>
          <w:tcPr>
            <w:tcW w:type="dxa" w:w="3662"/>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Constraint</w:t>
            </w:r>
          </w:p>
        </w:tc>
        <w:tc>
          <w:tcPr>
            <w:tcW w:type="dxa" w:w="163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Enforced By</w:t>
            </w:r>
          </w:p>
        </w:tc>
        <w:tc>
          <w:tcPr>
            <w:tcW w:type="dxa" w:w="4337"/>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Regulatory Basis</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approval reference required to publish campaign</w:t>
            </w:r>
          </w:p>
        </w:tc>
        <w:tc>
          <w:tcPr>
            <w:tcW w:type="dxa" w:w="163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Database validation</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Guidelines Part 3 — approval before commencement</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approval statement auto-displayed on all campaign pages and purchase screens</w:t>
            </w:r>
          </w:p>
        </w:tc>
        <w:tc>
          <w:tcPr>
            <w:tcW w:type="dxa" w:w="163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System-generated</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Guidelines §4(h) — NGN 1,000,000 per missing instance</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close date hard-enforced — no sales after approved close date</w:t>
            </w:r>
          </w:p>
        </w:tc>
        <w:tc>
          <w:tcPr>
            <w:tcW w:type="dxa" w:w="163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Automated trigger</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Guidelines §4(m) — no extension beyond 1 year without FCCPC prior approval</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No campaign parameter change without admin FCCPC-approval-confirmed override</w:t>
            </w:r>
          </w:p>
        </w:tc>
        <w:tc>
          <w:tcPr>
            <w:tcW w:type="dxa" w:w="163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Admin workflow gate</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Guidelines §4(l) — changes require prior FCCPC approval. Up to NGN 5,000,000 penalty</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T&amp;C acceptance checkbox un-ticked by default — cannot be pre-ticked</w:t>
            </w:r>
          </w:p>
        </w:tc>
        <w:tc>
          <w:tcPr>
            <w:tcW w:type="dxa" w:w="163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Frontend constraint</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§128 — consumer must be given adequate opportunity to comprehend terms</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Transaction record (FCCPA §118 compliant) auto-generated for every purchase</w:t>
            </w:r>
          </w:p>
        </w:tc>
        <w:tc>
          <w:tcPr>
            <w:tcW w:type="dxa" w:w="163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Automated system</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 — written record mandatory for every consumer transaction</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Draw notification calendar alert at 14 days before every draw date</w:t>
            </w:r>
          </w:p>
        </w:tc>
        <w:tc>
          <w:tcPr>
            <w:tcW w:type="dxa" w:w="163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Admin calendar system</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Guidelines Part 8(a) — NGN 100,000 fine for late notice</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Post-draw winner submission reminder at 3 days after draw</w:t>
            </w:r>
          </w:p>
        </w:tc>
        <w:tc>
          <w:tcPr>
            <w:tcW w:type="dxa" w:w="163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Admin calendar system</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Guidelines Part 8(b) — mandatory 3-day post-draw filing</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End of Promotion Report reminder at 21 days after promotion close</w:t>
            </w:r>
          </w:p>
        </w:tc>
        <w:tc>
          <w:tcPr>
            <w:tcW w:type="dxa" w:w="163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Admin calendar system</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Form CPC B — mandatory 21-day final report</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3. Site Architecture — Updated for Compliance</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3.1  Public Zone — Regulation-Compliant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060"/>
        <w:gridCol w:w="6072"/>
      </w:tblGrid>
      <w:tr>
        <w:tc>
          <w:tcPr>
            <w:tcW w:type="dxa" w:w="2506"/>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Page</w:t>
            </w:r>
          </w:p>
        </w:tc>
        <w:tc>
          <w:tcPr>
            <w:tcW w:type="dxa" w:w="106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Priority</w:t>
            </w:r>
          </w:p>
        </w:tc>
        <w:tc>
          <w:tcPr>
            <w:tcW w:type="dxa" w:w="6072"/>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Content Requirements (Regulatory Notes Added)</w:t>
            </w:r>
          </w:p>
        </w:tc>
      </w:tr>
      <w:tr>
        <w:tc>
          <w:tcPr>
            <w:tcW w:type="dxa" w:w="250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Homepage</w:t>
            </w:r>
          </w:p>
        </w:tc>
        <w:tc>
          <w:tcPr>
            <w:tcW w:type="dxa" w:w="1060"/>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607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Hero, campaigns, trust bar. FCCPC approval reference displayed prominently. No campaign shown unless FCCPC-approved.</w:t>
            </w:r>
          </w:p>
        </w:tc>
      </w:tr>
      <w:tr>
        <w:tc>
          <w:tcPr>
            <w:tcW w:type="dxa" w:w="250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All Campaigns</w:t>
            </w:r>
          </w:p>
        </w:tc>
        <w:tc>
          <w:tcPr>
            <w:tcW w:type="dxa" w:w="106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607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Grid of active/upcoming/past campaigns. Each card must show FCCPC approval reference and campaign sell-in-time remaining.</w:t>
            </w:r>
          </w:p>
        </w:tc>
      </w:tr>
      <w:tr>
        <w:tc>
          <w:tcPr>
            <w:tcW w:type="dxa" w:w="250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Detail Page</w:t>
            </w:r>
          </w:p>
        </w:tc>
        <w:tc>
          <w:tcPr>
            <w:tcW w:type="dxa" w:w="1060"/>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607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Full property info, purchase widget. FCCPC approval statement above payment button. Mandatory skill question. T&amp;C acceptance un-ticked by default. NIESV valuation downloadable. Escrow bank named.</w:t>
            </w:r>
          </w:p>
        </w:tc>
      </w:tr>
      <w:tr>
        <w:tc>
          <w:tcPr>
            <w:tcW w:type="dxa" w:w="250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How It Works</w:t>
            </w:r>
          </w:p>
        </w:tc>
        <w:tc>
          <w:tcPr>
            <w:tcW w:type="dxa" w:w="106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607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Explainer must describe the skill-based competition structure, escrow arrangement, FCCPC monitoring, and draw process. Must not describe as 'lottery'.</w:t>
            </w:r>
          </w:p>
        </w:tc>
      </w:tr>
      <w:tr>
        <w:tc>
          <w:tcPr>
            <w:tcW w:type="dxa" w:w="250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About Us</w:t>
            </w:r>
          </w:p>
        </w:tc>
        <w:tc>
          <w:tcPr>
            <w:tcW w:type="dxa" w:w="106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607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Company story, CAC registration number prominently displayed, FCCPC regulatory status, legal framework acknowledgement.</w:t>
            </w:r>
          </w:p>
        </w:tc>
      </w:tr>
      <w:tr>
        <w:tc>
          <w:tcPr>
            <w:tcW w:type="dxa" w:w="250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Past Winners</w:t>
            </w:r>
          </w:p>
        </w:tc>
        <w:tc>
          <w:tcPr>
            <w:tcW w:type="dxa" w:w="106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607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Completed campaigns with draw videos and handover footage. All winners must have provided written consent before being shown. FCCPC-submitted winner lists referenced.</w:t>
            </w:r>
          </w:p>
        </w:tc>
      </w:tr>
      <w:tr>
        <w:tc>
          <w:tcPr>
            <w:tcW w:type="dxa" w:w="250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Trust &amp; Legal Centre</w:t>
            </w:r>
          </w:p>
        </w:tc>
        <w:tc>
          <w:tcPr>
            <w:tcW w:type="dxa" w:w="1060"/>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607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NEW — expanded from v1.0. Must contain: CAC Certificate, FCCPC Approval Letters (one per campaign), LSLGA Licences, NIESV Valuation Reports, Escrow Confirmation Letters, Lawyer Endorsement, Draw Archive per campaign, Terms &amp; Conditions per campaign, Privacy Policy (NDPR compliant).</w:t>
            </w:r>
          </w:p>
        </w:tc>
      </w:tr>
      <w:tr>
        <w:tc>
          <w:tcPr>
            <w:tcW w:type="dxa" w:w="250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Regulatory Compliance Page (NEW)</w:t>
            </w:r>
          </w:p>
        </w:tc>
        <w:tc>
          <w:tcPr>
            <w:tcW w:type="dxa" w:w="106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607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NEW PAGE — dedicated page explaining the three regulatory layers (FCCPC, LSLGA, FCCPA 2018), displaying all approval certificates, and listing the regulatory obligations the platform fulfils. Linked from footer and About page.</w:t>
            </w:r>
          </w:p>
        </w:tc>
      </w:tr>
      <w:tr>
        <w:tc>
          <w:tcPr>
            <w:tcW w:type="dxa" w:w="250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FAQ</w:t>
            </w:r>
          </w:p>
        </w:tc>
        <w:tc>
          <w:tcPr>
            <w:tcW w:type="dxa" w:w="106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607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Must include answers to: 'Is this legal in Nigeria?', 'Which regulators have approved this?', 'Where is my money held?', 'What happens if minimum tickets not reached?', 'How is the draw monitored?'</w:t>
            </w:r>
          </w:p>
        </w:tc>
      </w:tr>
      <w:tr>
        <w:tc>
          <w:tcPr>
            <w:tcW w:type="dxa" w:w="250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Contact Us</w:t>
            </w:r>
          </w:p>
        </w:tc>
        <w:tc>
          <w:tcPr>
            <w:tcW w:type="dxa" w:w="106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607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Contact form, WhatsApp link, email, physical company address (mandatory under FCCPC guidelines), CAC number, FCCPC reference, social links.</w:t>
            </w:r>
          </w:p>
        </w:tc>
      </w:tr>
      <w:tr>
        <w:tc>
          <w:tcPr>
            <w:tcW w:type="dxa" w:w="250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Register / Login</w:t>
            </w:r>
          </w:p>
        </w:tc>
        <w:tc>
          <w:tcPr>
            <w:tcW w:type="dxa" w:w="1060"/>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607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Account creation with OTP. Marketing opt-in must be a separate un-ticked checkbox (NDPR). No pre-ticked marketing consent.</w:t>
            </w:r>
          </w:p>
        </w:tc>
      </w:tr>
    </w:tbl>
    <w:p>
      <w:pPr>
        <w:spacing w:after="320" w:before="0"/>
      </w:pPr>
    </w:p>
    <w:p>
      <w:pPr>
        <w:pStyle w:val="Heading2"/>
        <w:spacing w:after="120" w:before="320"/>
      </w:pPr>
      <w:r>
        <w:rPr>
          <w:rFonts w:ascii="Arial" w:cs="Arial" w:eastAsia="Arial" w:hAnsi="Arial"/>
          <w:b/>
          <w:bCs/>
          <w:color w:val="2E6DA4"/>
          <w:sz w:val="28"/>
          <w:szCs w:val="28"/>
        </w:rPr>
        <w:t xml:space="preserve">3.2  User Portal — Updated for Compliance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060"/>
        <w:gridCol w:w="5879"/>
      </w:tblGrid>
      <w:tr>
        <w:tc>
          <w:tcPr>
            <w:tcW w:type="dxa" w:w="269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Section</w:t>
            </w:r>
          </w:p>
        </w:tc>
        <w:tc>
          <w:tcPr>
            <w:tcW w:type="dxa" w:w="106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Priority</w:t>
            </w:r>
          </w:p>
        </w:tc>
        <w:tc>
          <w:tcPr>
            <w:tcW w:type="dxa" w:w="587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Regulatory Requirements</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My Dashboard</w:t>
            </w:r>
          </w:p>
        </w:tc>
        <w:tc>
          <w:tcPr>
            <w:tcW w:type="dxa" w:w="1060"/>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87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Active tickets, upcoming draws, referral earnings. FCCPC approval reference visible per campaign.</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My Tickets</w:t>
            </w:r>
          </w:p>
        </w:tc>
        <w:tc>
          <w:tcPr>
            <w:tcW w:type="dxa" w:w="1060"/>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87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Each ticket receipt must contain all FCCPA §118 required fields: company name, registered address, transaction date, ticket number and campaign (description of goods), unit price, quantity, total price including applicable taxes.</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Transaction Records</w:t>
            </w:r>
          </w:p>
        </w:tc>
        <w:tc>
          <w:tcPr>
            <w:tcW w:type="dxa" w:w="1060"/>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87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Renamed from 'Purchase History' to reflect legal status. Every transaction record is a legal document under FCCPA §118. Must be permanently downloadable as PDF. Cannot be deleted even after campaign ends.</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T&amp;C Acceptance Log</w:t>
            </w:r>
          </w:p>
        </w:tc>
        <w:tc>
          <w:tcPr>
            <w:tcW w:type="dxa" w:w="1060"/>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87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NEW — user can view their T&amp;C acceptance record per campaign: timestamp, IP address, T&amp;C version accepted, and campaign name. This is their legal acknowledgement. Stored permanently.</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Referral Programme</w:t>
            </w:r>
          </w:p>
        </w:tc>
        <w:tc>
          <w:tcPr>
            <w:tcW w:type="dxa" w:w="106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87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Referral rewards must be stated in approved T&amp;Cs. Payout history visible and downloadable. Cash commissions tracked and paid within stated timeline.</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Notifications</w:t>
            </w:r>
          </w:p>
        </w:tc>
        <w:tc>
          <w:tcPr>
            <w:tcW w:type="dxa" w:w="106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587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Draw alerts (including FCCPC monitoring confirmation), payment confirmations (with full §118 record), winner announcements, refund notices.</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Profile &amp; KYC</w:t>
            </w:r>
          </w:p>
        </w:tc>
        <w:tc>
          <w:tcPr>
            <w:tcW w:type="dxa" w:w="106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87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Name, phone, email, BVN (encrypted at rest — AES-256), NIN (encrypted), address. Marketing opt-in status shown and adjustable. NDPR data rights clearly listed.</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Winner Verification Portal</w:t>
            </w:r>
          </w:p>
        </w:tc>
        <w:tc>
          <w:tcPr>
            <w:tcW w:type="dxa" w:w="1060"/>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87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Secure workflow for confirmed winners: ID upload, BVN verification, NIN submission, bank details, and acceptance of Winner Transfer Agreement. Workflow must be completed within period stated in T&amp;Cs.</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Data Rights Centre (NEW)</w:t>
            </w:r>
          </w:p>
        </w:tc>
        <w:tc>
          <w:tcPr>
            <w:tcW w:type="dxa" w:w="106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587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NEW — NDPR-required. User can: download all their personal data, request data deletion, withdraw marketing consent, view all data held. Requests logged and processed within 30 days.</w:t>
            </w:r>
          </w:p>
        </w:tc>
      </w:tr>
    </w:tbl>
    <w:p>
      <w:pPr>
        <w:spacing w:after="320" w:before="0"/>
      </w:pPr>
    </w:p>
    <w:p>
      <w:pPr>
        <w:pStyle w:val="Heading2"/>
        <w:spacing w:after="120" w:before="320"/>
      </w:pPr>
      <w:r>
        <w:rPr>
          <w:rFonts w:ascii="Arial" w:cs="Arial" w:eastAsia="Arial" w:hAnsi="Arial"/>
          <w:b/>
          <w:bCs/>
          <w:color w:val="2E6DA4"/>
          <w:sz w:val="28"/>
          <w:szCs w:val="28"/>
        </w:rPr>
        <w:t xml:space="preserve">3.3  Admin Panel — Regulatory Modules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Module</w:t>
            </w:r>
          </w:p>
        </w:tc>
        <w:tc>
          <w:tcPr>
            <w:tcW w:type="dxa" w:w="693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Functions &amp; Regulatory Notes</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Manager</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Create/edit/pause/close campaigns. Includes the Campaign Economics Calculator (see Section 11) — must be run before campaign creation to derive ticket price, total cap, and minimum threshold. Mandatory fields before publishing: FCCPC approval reference, LSLGA licence number (if Lagos), NIESV valuation report, escrow bank name, draw date, sell-in-time (max 12 months from FCCPC approval), skill question, and all calculator-derived values. System blocks publishing if any field missing. System also blocks if minimum threshold falls below break-even ticket count.</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Approval Manager (NEW)</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Store and manage FCCPC approval letters per campaign. Track: approval reference, approval date, promotion fee paid, sell-in-time expiry, draw notification status, post-draw filing status, End of Promotion Report status. Automated reminders for each deadline. Generates pre-filled Form CPC A Summary PDF (see Section 11.5) for the owner to take to the FCCPC submission meeting.</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Regulatory Calendar (NEW)</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Hard-deadline calendar for all regulatory obligations: FCCPC draw notification (14 days before each draw), post-draw winner submission (3 days after each draw), End of Promotion Report (21 days after close), sell-in-time expiry warnings. Alerts sent to owner by email and SMS.</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Property Manager</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Upload property documents. Required before campaign can be approved: C of O title document, NIESV valuation report (PDF), survey plan, lawyer's title clearance letter. System validates all documents uploaded before campaign can be activated.</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Revenue Dashboard</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Real-time gross revenue, tickets sold vs cap, daily sales graph. Added: FCCPC monitoring fee tracker per campaign, LSLGA levy tracker, regulatory cost vs revenue ratio.</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Advertising Content Manager (NEW)</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Store all advertising materials submitted to FCCPC per campaign. Version-control all ads. Flag any new ad as 'Pending FCCPC Review' until admin confirms it matches approved samples. Ensure FCCPC approval statement is in every asset before it can be marked as approved-for-use.</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Draw Manager</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Initiate draw process. Required before draw can be initiated: FCCPC draw notification sent date (must be 14+ days prior), FCCPC monitor confirmed, LSLGA monitor confirmed (if Lagos). System blocks draw initiation if these fields not completed. Record: RNG screenshot upload, winning ticket input, all witness names, draw video link, FCCPC rep name on day.</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Post-Draw Compliance (NEW)</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After each draw: automated workflow to prepare FCCPC winner submission (names, phones, addresses, prizes). Admin confirms and submits within 3-day deadline. System tracks: submission sent, FCCPC acknowledgement received. Separate workflow for Form CPC B (21-day End of Promotion Report).</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Refund Manager</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Trigger bulk refunds if minimum threshold not met. Refunds must be issued within timeline stated in approved T&amp;Cs (FCCPA §123 — stated representations must be honoured). Track: refund initiated, refund confirmed by gateway, user notified. File Form CPC B noting promotion did not proceed.</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Influencer Compliance (NEW)</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Store all influencer agreements. Before any influencer content goes live: admin must upload the approved content brief issued to the influencer, confirm FCCPC approval statement is included, and confirm content has been reviewed. Log of all influencer content approved.</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Communications Hub</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All outgoing communications templates must include FCCPC approval statement. System should flag any template without it before sending. Pre-built templates updated to comply with FCCPA §118 (transaction records) and NDPR (opt-in required for marketing emails).</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User Management</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Full KYC status per user. NDPR data deletion requests tracked with 30-day processing deadline. Marketing consent status per user. Cannot send marketing to users who have not opted in.</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Blog / Content</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CMS for all content. Required field on every post: FCCPC approval statement if post promotes a specific campaign. SEO fields. Legal notices published here.</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4. Critical Page Specifications — Regulation-Updated</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4.1  Campaign Detail Page — Full Compliance Requirements</w:t>
      </w:r>
    </w:p>
    <w:p>
      <w:pPr>
        <w:spacing w:after="120" w:before="0"/>
      </w:pPr>
      <w:r>
        <w:rPr>
          <w:rFonts w:ascii="Arial" w:cs="Arial" w:eastAsia="Arial" w:hAnsi="Arial"/>
          <w:color w:val="1C1C1C"/>
          <w:sz w:val="22"/>
          <w:szCs w:val="22"/>
        </w:rPr>
        <w:t xml:space="preserve">This page is the conversion page and the primary point of regulatory compliance. Every element required by the FCCPA 2018 and FCCPC Guidelines must be visible before the buyer commits to payment.</w:t>
      </w:r>
    </w:p>
    <w:p>
      <w:pPr>
        <w:spacing w:after="120" w:before="0"/>
      </w:pPr>
    </w:p>
    <w:p>
      <w:pPr>
        <w:pStyle w:val="Heading3"/>
        <w:spacing w:after="80" w:before="200"/>
      </w:pPr>
      <w:r>
        <w:rPr>
          <w:rFonts w:ascii="Arial" w:cs="Arial" w:eastAsia="Arial" w:hAnsi="Arial"/>
          <w:b/>
          <w:bCs/>
          <w:color w:val="1A3557"/>
          <w:sz w:val="24"/>
          <w:szCs w:val="24"/>
        </w:rPr>
        <w:t xml:space="preserve">Section A — Above the Fold (Visible Without Scrolling)</w:t>
      </w:r>
    </w:p>
    <w:p>
      <w:pPr>
        <w:pStyle w:val="ListParagraph"/>
        <w:numPr>
          <w:ilvl w:val="0"/>
          <w:numId w:val="2"/>
        </w:numPr>
        <w:spacing w:after="80" w:before="0"/>
      </w:pPr>
      <w:r>
        <w:rPr>
          <w:rFonts w:ascii="Arial" w:cs="Arial" w:eastAsia="Arial" w:hAnsi="Arial"/>
          <w:color w:val="1C1C1C"/>
          <w:sz w:val="22"/>
          <w:szCs w:val="22"/>
        </w:rPr>
        <w:t xml:space="preserve">FCCPC Approval Banner: Prominent bar reading exactly: 'This promotional competition has been approved by the Federal Competition and Consumer Protection Commission. Approval Reference: [FCCPC-REF-XXXXX].' This must be system-generated from the campaign's stored approval reference — not manually typed.</w:t>
      </w:r>
    </w:p>
    <w:p>
      <w:pPr>
        <w:pStyle w:val="ListParagraph"/>
        <w:numPr>
          <w:ilvl w:val="0"/>
          <w:numId w:val="2"/>
        </w:numPr>
        <w:spacing w:after="80" w:before="0"/>
      </w:pPr>
      <w:r>
        <w:rPr>
          <w:rFonts w:ascii="Arial" w:cs="Arial" w:eastAsia="Arial" w:hAnsi="Arial"/>
          <w:color w:val="1C1C1C"/>
          <w:sz w:val="22"/>
          <w:szCs w:val="22"/>
        </w:rPr>
        <w:t xml:space="preserve">LSLGA Licence Notice (if applicable): 'Licensed by the Lagos State Lotteries and Gaming Authority. Licence Number: [LSLGA-XXXX].'</w:t>
      </w:r>
    </w:p>
    <w:p>
      <w:pPr>
        <w:pStyle w:val="ListParagraph"/>
        <w:numPr>
          <w:ilvl w:val="0"/>
          <w:numId w:val="2"/>
        </w:numPr>
        <w:spacing w:after="80" w:before="0"/>
      </w:pPr>
      <w:r>
        <w:rPr>
          <w:rFonts w:ascii="Arial" w:cs="Arial" w:eastAsia="Arial" w:hAnsi="Arial"/>
          <w:color w:val="1C1C1C"/>
          <w:sz w:val="22"/>
          <w:szCs w:val="22"/>
        </w:rPr>
        <w:t xml:space="preserve">Escrow Notice: 'All ticket proceeds are held in escrow at [Bank Name, Account Type]. Funds are released only after draw completion and winner verification.' Bank name must be a real, named institution — not a generic statement.</w:t>
      </w:r>
    </w:p>
    <w:p>
      <w:pPr>
        <w:pStyle w:val="ListParagraph"/>
        <w:numPr>
          <w:ilvl w:val="0"/>
          <w:numId w:val="2"/>
        </w:numPr>
        <w:spacing w:after="80" w:before="0"/>
      </w:pPr>
      <w:r>
        <w:rPr>
          <w:rFonts w:ascii="Arial" w:cs="Arial" w:eastAsia="Arial" w:hAnsi="Arial"/>
          <w:color w:val="1C1C1C"/>
          <w:sz w:val="22"/>
          <w:szCs w:val="22"/>
        </w:rPr>
        <w:t xml:space="preserve">Property value claim: Displayed value must exactly match the NIESV valuation report. Displayed as: 'Independent market value: NGN [amount] — Verified by [Full Valuer Name], NIESV Reg. [Number].' A download link to the full valuation report PDF must appear immediately below.</w:t>
      </w:r>
    </w:p>
    <w:p>
      <w:pPr>
        <w:spacing w:after="160" w:before="0"/>
      </w:pPr>
    </w:p>
    <w:p>
      <w:pPr>
        <w:pStyle w:val="Heading3"/>
        <w:spacing w:after="80" w:before="200"/>
      </w:pPr>
      <w:r>
        <w:rPr>
          <w:rFonts w:ascii="Arial" w:cs="Arial" w:eastAsia="Arial" w:hAnsi="Arial"/>
          <w:b/>
          <w:bCs/>
          <w:color w:val="1A3557"/>
          <w:sz w:val="24"/>
          <w:szCs w:val="24"/>
        </w:rPr>
        <w:t xml:space="preserve">Section B — Ticket Purchase Widget — Compliance-Critical Elements</w:t>
      </w:r>
    </w:p>
    <w:p>
      <w:pPr>
        <w:pStyle w:val="ListParagraph"/>
        <w:numPr>
          <w:ilvl w:val="0"/>
          <w:numId w:val="2"/>
        </w:numPr>
        <w:spacing w:after="80" w:before="0"/>
      </w:pPr>
      <w:r>
        <w:rPr>
          <w:rFonts w:ascii="Arial" w:cs="Arial" w:eastAsia="Arial" w:hAnsi="Arial"/>
          <w:color w:val="1C1C1C"/>
          <w:sz w:val="22"/>
          <w:szCs w:val="22"/>
        </w:rPr>
        <w:t xml:space="preserve">Skill question must appear before ticket quantity selection: 'To enter this competition, answer the following question: [Question]. Select your answer: [Option A] [Option B] [Option C].' Only one answer is correct. System must validate correct answer before proceeding. This is a genuine eligibility condition, not a decorative step.</w:t>
      </w:r>
    </w:p>
    <w:p>
      <w:pPr>
        <w:pStyle w:val="ListParagraph"/>
        <w:numPr>
          <w:ilvl w:val="0"/>
          <w:numId w:val="2"/>
        </w:numPr>
        <w:spacing w:after="80" w:before="0"/>
      </w:pPr>
      <w:r>
        <w:rPr>
          <w:rFonts w:ascii="Arial" w:cs="Arial" w:eastAsia="Arial" w:hAnsi="Arial"/>
          <w:color w:val="1C1C1C"/>
          <w:sz w:val="22"/>
          <w:szCs w:val="22"/>
        </w:rPr>
        <w:t xml:space="preserve">Price display: Individual ticket price and all bundle prices displayed simultaneously, in NGN, with the discount explicitly shown. [FCCPA 2018 §115 — prices must be clearly displayed before purchase.]</w:t>
      </w:r>
    </w:p>
    <w:p>
      <w:pPr>
        <w:pStyle w:val="ListParagraph"/>
        <w:numPr>
          <w:ilvl w:val="0"/>
          <w:numId w:val="2"/>
        </w:numPr>
        <w:spacing w:after="80" w:before="0"/>
      </w:pPr>
      <w:r>
        <w:rPr>
          <w:rFonts w:ascii="Arial" w:cs="Arial" w:eastAsia="Arial" w:hAnsi="Arial"/>
          <w:color w:val="1C1C1C"/>
          <w:sz w:val="22"/>
          <w:szCs w:val="22"/>
        </w:rPr>
        <w:t xml:space="preserve">Winning odds statement: 'Current odds of winning: 1 in [remaining tickets]. This changes as tickets are sold.' System auto-calculates from remaining ticket count.</w:t>
      </w:r>
    </w:p>
    <w:p>
      <w:pPr>
        <w:pStyle w:val="ListParagraph"/>
        <w:numPr>
          <w:ilvl w:val="0"/>
          <w:numId w:val="2"/>
        </w:numPr>
        <w:spacing w:after="80" w:before="0"/>
      </w:pPr>
      <w:r>
        <w:rPr>
          <w:rFonts w:ascii="Arial" w:cs="Arial" w:eastAsia="Arial" w:hAnsi="Arial"/>
          <w:color w:val="1C1C1C"/>
          <w:sz w:val="22"/>
          <w:szCs w:val="22"/>
        </w:rPr>
        <w:t xml:space="preserve">T&amp;C Acceptance: Full T&amp;C document displayed (scrollable, readable) before the checkbox appears. Checkbox is un-ticked by default. Label: 'I have read and understood the Terms &amp; Conditions for this competition. I confirm my entry is based on correctly answering the skill question above.' Cannot proceed if un-ticked. [FCCPA 2018 §128]</w:t>
      </w:r>
    </w:p>
    <w:p>
      <w:pPr>
        <w:pStyle w:val="ListParagraph"/>
        <w:numPr>
          <w:ilvl w:val="0"/>
          <w:numId w:val="2"/>
        </w:numPr>
        <w:spacing w:after="80" w:before="0"/>
      </w:pPr>
      <w:r>
        <w:rPr>
          <w:rFonts w:ascii="Arial" w:cs="Arial" w:eastAsia="Arial" w:hAnsi="Arial"/>
          <w:color w:val="1C1C1C"/>
          <w:sz w:val="22"/>
          <w:szCs w:val="22"/>
        </w:rPr>
        <w:t xml:space="preserve">FCCPC approval statement must appear immediately above the payment button — not just in a banner.</w:t>
      </w:r>
    </w:p>
    <w:p>
      <w:pPr>
        <w:pStyle w:val="ListParagraph"/>
        <w:numPr>
          <w:ilvl w:val="0"/>
          <w:numId w:val="2"/>
        </w:numPr>
        <w:spacing w:after="80" w:before="0"/>
      </w:pPr>
      <w:r>
        <w:rPr>
          <w:rFonts w:ascii="Arial" w:cs="Arial" w:eastAsia="Arial" w:hAnsi="Arial"/>
          <w:color w:val="1C1C1C"/>
          <w:sz w:val="22"/>
          <w:szCs w:val="22"/>
        </w:rPr>
        <w:t xml:space="preserve">Payment method selector: Card (Paystack), Card (Flutterwave), Bank Transfer, USSD. NGN is the primary displayed currency for all prices. [FCCPA 2018 §115 — prices must be in Nigerian currency.]</w:t>
      </w:r>
    </w:p>
    <w:p>
      <w:pPr>
        <w:pStyle w:val="ListParagraph"/>
        <w:numPr>
          <w:ilvl w:val="0"/>
          <w:numId w:val="2"/>
        </w:numPr>
        <w:spacing w:after="80" w:before="0"/>
      </w:pPr>
      <w:r>
        <w:rPr>
          <w:rFonts w:ascii="Arial" w:cs="Arial" w:eastAsia="Arial" w:hAnsi="Arial"/>
          <w:color w:val="1C1C1C"/>
          <w:sz w:val="22"/>
          <w:szCs w:val="22"/>
        </w:rPr>
        <w:t xml:space="preserve">Confirmation of transaction record: Before completing payment, display: 'On payment, you will receive a confirmation email and WhatsApp message containing your ticket number(s), company details, transaction reference, and all information required by law.'</w:t>
      </w:r>
    </w:p>
    <w:p>
      <w:pPr>
        <w:spacing w:after="160" w:before="0"/>
      </w:pPr>
    </w:p>
    <w:p>
      <w:pPr>
        <w:pStyle w:val="Heading3"/>
        <w:spacing w:after="80" w:before="200"/>
      </w:pPr>
      <w:r>
        <w:rPr>
          <w:rFonts w:ascii="Arial" w:cs="Arial" w:eastAsia="Arial" w:hAnsi="Arial"/>
          <w:b/>
          <w:bCs/>
          <w:color w:val="1A3557"/>
          <w:sz w:val="24"/>
          <w:szCs w:val="24"/>
        </w:rPr>
        <w:t xml:space="preserve">Section C — Post-Purchase Transaction Record (FCCPA §118 Mandatory Fields)</w:t>
      </w:r>
    </w:p>
    <w:p>
      <w:pPr>
        <w:spacing w:after="120" w:before="0"/>
      </w:pPr>
      <w:r>
        <w:rPr>
          <w:rFonts w:ascii="Arial" w:cs="Arial" w:eastAsia="Arial" w:hAnsi="Arial"/>
          <w:color w:val="1C1C1C"/>
          <w:sz w:val="22"/>
          <w:szCs w:val="22"/>
        </w:rPr>
        <w:t xml:space="preserve">Every ticket confirmation sent via email, SMS, and WhatsApp must contain all of the following. The developer must build this as a structured template that auto-populates from transaction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1"/>
      </w:tblGrid>
      <w:tr>
        <w:tc>
          <w:tcPr>
            <w:tcW w:type="dxa" w:w="3855"/>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Required Field</w:t>
            </w:r>
          </w:p>
        </w:tc>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Source</w:t>
            </w:r>
          </w:p>
        </w:tc>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Regulatory Basis</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Company's full registered name</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System — company profile</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§118(a)</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Registered business address</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System — company profile</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§118(b)</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Date of transaction</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System timestamp</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§118(c)</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Description: Ticket number(s) + campaign name</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System — ticket assignment</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§118(d)</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Unit price per ticket</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Campaign settings</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§118(e)</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Number of tickets purchased</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Transaction data</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§118(f)</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Total price before taxes</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Calculated</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§118(g)</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Amount of any applicable taxes</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Tax calculation module</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§118(h)</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Total price including taxes</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Calculated</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§118(i)</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approval reference</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Campaign settings</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Guidelines §4(h)</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Draw date and method</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Campaign settings</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Form CPC A §16</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Escrow bank and account confirmation</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Campaign settings</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Trust &amp; transparency undertaking</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5. Technical Specifications — Regulation-Updated</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5.1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9"/>
        <w:gridCol w:w="4819"/>
      </w:tblGrid>
      <w:tr>
        <w:tc>
          <w:tcPr>
            <w:tcW w:type="dxa" w:w="212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Layer</w:t>
            </w:r>
          </w:p>
        </w:tc>
        <w:tc>
          <w:tcPr>
            <w:tcW w:type="dxa" w:w="269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Technology</w:t>
            </w:r>
          </w:p>
        </w:tc>
        <w:tc>
          <w:tcPr>
            <w:tcW w:type="dxa" w:w="481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Rationale</w:t>
            </w:r>
          </w:p>
        </w:tc>
      </w:tr>
      <w:tr>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Frontend</w:t>
            </w:r>
          </w:p>
        </w:tc>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Next.js (React) or Nuxt.js (Vue)</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SSR for SEO, fast mobile loads. FCCPC approval statements rendered server-side to ensure they cannot be stripped client-side.</w:t>
            </w:r>
          </w:p>
        </w:tc>
      </w:tr>
      <w:tr>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Backend / API</w:t>
            </w:r>
          </w:p>
        </w:tc>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Node.js + Express or Django</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REST API. All regulatory validation (FCCPC ref check, campaign status, T&amp;C version) enforced at API level — cannot be bypassed by frontend.</w:t>
            </w:r>
          </w:p>
        </w:tc>
      </w:tr>
      <w:tr>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Database</w:t>
            </w:r>
          </w:p>
        </w:tc>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PostgreSQL + Redis</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PostgreSQL for transaction integrity (FCCPA §118 records are permanent — must use ACID-compliant database). Redis for live ticket counters.</w:t>
            </w:r>
          </w:p>
        </w:tc>
      </w:tr>
      <w:tr>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Encryption</w:t>
            </w:r>
          </w:p>
        </w:tc>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AES-256 at rest, TLS 1.3 in transit</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BVN and NIN fields must be encrypted at rest. Mandatory for NDPR compliance and FCCPA data handling requirements.</w:t>
            </w:r>
          </w:p>
        </w:tc>
      </w:tr>
      <w:tr>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File Storage</w:t>
            </w:r>
          </w:p>
        </w:tc>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AWS S3 or Cloudflare R2</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approval letters, NIESV valuation reports, draw videos, and Form CPC B filings must be permanently stored and retrievable on demand. Cannot be deleted.</w:t>
            </w:r>
          </w:p>
        </w:tc>
      </w:tr>
      <w:tr>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Hosting</w:t>
            </w:r>
          </w:p>
        </w:tc>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AWS, GCP, or Vercel + Railway</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 uptime SLA essential during campaign closing and draw events. FCCPC monitors attend draws — platform must be live and stable.</w:t>
            </w:r>
          </w:p>
        </w:tc>
      </w:tr>
      <w:tr>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CDN</w:t>
            </w:r>
          </w:p>
        </w:tc>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Cloudflare</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DDoS protection, SSL. FCCPC approval documents served via CDN must be the authoritative, tamper-evident versions.</w:t>
            </w:r>
          </w:p>
        </w:tc>
      </w:tr>
    </w:tbl>
    <w:p>
      <w:pPr>
        <w:spacing w:after="240" w:before="0"/>
      </w:pPr>
    </w:p>
    <w:p>
      <w:pPr>
        <w:pStyle w:val="Heading2"/>
        <w:spacing w:after="120" w:before="320"/>
      </w:pPr>
      <w:r>
        <w:rPr>
          <w:rFonts w:ascii="Arial" w:cs="Arial" w:eastAsia="Arial" w:hAnsi="Arial"/>
          <w:b/>
          <w:bCs/>
          <w:color w:val="2E6DA4"/>
          <w:sz w:val="28"/>
          <w:szCs w:val="28"/>
        </w:rPr>
        <w:t xml:space="preserve">5.2  Payment Gateway Integration — Regulatory Notes</w:t>
      </w:r>
    </w:p>
    <w:p>
      <w:pPr>
        <w:pStyle w:val="ListParagraph"/>
        <w:numPr>
          <w:ilvl w:val="0"/>
          <w:numId w:val="2"/>
        </w:numPr>
        <w:spacing w:after="80" w:before="0"/>
      </w:pPr>
      <w:r>
        <w:rPr>
          <w:rFonts w:ascii="Arial" w:cs="Arial" w:eastAsia="Arial" w:hAnsi="Arial"/>
          <w:color w:val="1C1C1C"/>
          <w:sz w:val="22"/>
          <w:szCs w:val="22"/>
        </w:rPr>
        <w:t xml:space="preserve">All payment integrations must use server-side API keys only — never client-side JavaScript keys. This prevents transaction-amount tampering, which could constitute fraud.</w:t>
      </w:r>
    </w:p>
    <w:p>
      <w:pPr>
        <w:pStyle w:val="ListParagraph"/>
        <w:numPr>
          <w:ilvl w:val="0"/>
          <w:numId w:val="2"/>
        </w:numPr>
        <w:spacing w:after="80" w:before="0"/>
      </w:pPr>
      <w:r>
        <w:rPr>
          <w:rFonts w:ascii="Arial" w:cs="Arial" w:eastAsia="Arial" w:hAnsi="Arial"/>
          <w:color w:val="1C1C1C"/>
          <w:sz w:val="22"/>
          <w:szCs w:val="22"/>
        </w:rPr>
        <w:t xml:space="preserve">Payment webhook verification: Every Paystack and Flutterwave webhook must verify the gateway's signature header. Unverified webhooks must be rejected and logged. Accepting unverified payments could result in fraudulent ticket issuance.</w:t>
      </w:r>
    </w:p>
    <w:p>
      <w:pPr>
        <w:pStyle w:val="ListParagraph"/>
        <w:numPr>
          <w:ilvl w:val="0"/>
          <w:numId w:val="2"/>
        </w:numPr>
        <w:spacing w:after="80" w:before="0"/>
      </w:pPr>
      <w:r>
        <w:rPr>
          <w:rFonts w:ascii="Arial" w:cs="Arial" w:eastAsia="Arial" w:hAnsi="Arial"/>
          <w:color w:val="1C1C1C"/>
          <w:sz w:val="22"/>
          <w:szCs w:val="22"/>
        </w:rPr>
        <w:t xml:space="preserve">Transaction records: On payment confirmation, the system must immediately generate the FCCPA §118 compliant transaction record and dispatch it via email, WhatsApp, and SMS before any other action.</w:t>
      </w:r>
    </w:p>
    <w:p>
      <w:pPr>
        <w:pStyle w:val="ListParagraph"/>
        <w:numPr>
          <w:ilvl w:val="0"/>
          <w:numId w:val="2"/>
        </w:numPr>
        <w:spacing w:after="80" w:before="0"/>
      </w:pPr>
      <w:r>
        <w:rPr>
          <w:rFonts w:ascii="Arial" w:cs="Arial" w:eastAsia="Arial" w:hAnsi="Arial"/>
          <w:color w:val="1C1C1C"/>
          <w:sz w:val="22"/>
          <w:szCs w:val="22"/>
        </w:rPr>
        <w:t xml:space="preserve">All prices displayed and transacted in NGN (Nigerian Naira) as primary currency. GBP/USD may be shown as secondary for diaspora users but NGN governs the transaction. [FCCPA 2018 §115]</w:t>
      </w:r>
    </w:p>
    <w:p>
      <w:pPr>
        <w:pStyle w:val="ListParagraph"/>
        <w:numPr>
          <w:ilvl w:val="0"/>
          <w:numId w:val="2"/>
        </w:numPr>
        <w:spacing w:after="80" w:before="0"/>
      </w:pPr>
      <w:r>
        <w:rPr>
          <w:rFonts w:ascii="Arial" w:cs="Arial" w:eastAsia="Arial" w:hAnsi="Arial"/>
          <w:color w:val="1C1C1C"/>
          <w:sz w:val="22"/>
          <w:szCs w:val="22"/>
        </w:rPr>
        <w:t xml:space="preserve">Never store card numbers, CVV codes, or PINs. PCI-DSS compliance required. All card data handled exclusively by Paystack or Flutterwave.</w:t>
      </w:r>
    </w:p>
    <w:p>
      <w:pPr>
        <w:pStyle w:val="ListParagraph"/>
        <w:numPr>
          <w:ilvl w:val="0"/>
          <w:numId w:val="2"/>
        </w:numPr>
        <w:spacing w:after="80" w:before="0"/>
      </w:pPr>
      <w:r>
        <w:rPr>
          <w:rFonts w:ascii="Arial" w:cs="Arial" w:eastAsia="Arial" w:hAnsi="Arial"/>
          <w:color w:val="1C1C1C"/>
          <w:sz w:val="22"/>
          <w:szCs w:val="22"/>
        </w:rPr>
        <w:t xml:space="preserve">Refund API integration: Both Paystack and Flutterwave refund APIs must be integrated and tested before launch. Inability to issue refunds within the T&amp;C-stated timeline constitutes a breach of FCCPA 2018 §123.</w:t>
      </w:r>
    </w:p>
    <w:p>
      <w:pPr>
        <w:spacing w:after="240" w:before="0"/>
      </w:pPr>
    </w:p>
    <w:p>
      <w:pPr>
        <w:pStyle w:val="Heading2"/>
        <w:spacing w:after="120" w:before="320"/>
      </w:pPr>
      <w:r>
        <w:rPr>
          <w:rFonts w:ascii="Arial" w:cs="Arial" w:eastAsia="Arial" w:hAnsi="Arial"/>
          <w:b/>
          <w:bCs/>
          <w:color w:val="2E6DA4"/>
          <w:sz w:val="28"/>
          <w:szCs w:val="28"/>
        </w:rPr>
        <w:t xml:space="preserve">5.3  Security — FCCPA &amp; NDPR Requirements</w:t>
      </w:r>
    </w:p>
    <w:p>
      <w:pPr>
        <w:pStyle w:val="ListParagraph"/>
        <w:numPr>
          <w:ilvl w:val="0"/>
          <w:numId w:val="2"/>
        </w:numPr>
        <w:spacing w:after="80" w:before="0"/>
      </w:pPr>
      <w:r>
        <w:rPr>
          <w:rFonts w:ascii="Arial" w:cs="Arial" w:eastAsia="Arial" w:hAnsi="Arial"/>
          <w:color w:val="1C1C1C"/>
          <w:sz w:val="22"/>
          <w:szCs w:val="22"/>
        </w:rPr>
        <w:t xml:space="preserve">HTTPS enforced on all pages — HTTP redirects to HTTPS. FCCPC regulatory documents served only over HTTPS.</w:t>
      </w:r>
    </w:p>
    <w:p>
      <w:pPr>
        <w:pStyle w:val="ListParagraph"/>
        <w:numPr>
          <w:ilvl w:val="0"/>
          <w:numId w:val="2"/>
        </w:numPr>
        <w:spacing w:after="80" w:before="0"/>
      </w:pPr>
      <w:r>
        <w:rPr>
          <w:rFonts w:ascii="Arial" w:cs="Arial" w:eastAsia="Arial" w:hAnsi="Arial"/>
          <w:color w:val="1C1C1C"/>
          <w:sz w:val="22"/>
          <w:szCs w:val="22"/>
        </w:rPr>
        <w:t xml:space="preserve">BVN and NIN stored as AES-256 encrypted fields — never in plaintext. Access logged. [NDPR data minimisation and security principle]</w:t>
      </w:r>
    </w:p>
    <w:p>
      <w:pPr>
        <w:pStyle w:val="ListParagraph"/>
        <w:numPr>
          <w:ilvl w:val="0"/>
          <w:numId w:val="2"/>
        </w:numPr>
        <w:spacing w:after="80" w:before="0"/>
      </w:pPr>
      <w:r>
        <w:rPr>
          <w:rFonts w:ascii="Arial" w:cs="Arial" w:eastAsia="Arial" w:hAnsi="Arial"/>
          <w:color w:val="1C1C1C"/>
          <w:sz w:val="22"/>
          <w:szCs w:val="22"/>
        </w:rPr>
        <w:t xml:space="preserve">T&amp;C acceptance records stored permanently with: user ID, campaign ID, T&amp;C version hash, acceptance timestamp, IP address. These are legal records and must survive database migrations and system updates.</w:t>
      </w:r>
    </w:p>
    <w:p>
      <w:pPr>
        <w:pStyle w:val="ListParagraph"/>
        <w:numPr>
          <w:ilvl w:val="0"/>
          <w:numId w:val="2"/>
        </w:numPr>
        <w:spacing w:after="80" w:before="0"/>
      </w:pPr>
      <w:r>
        <w:rPr>
          <w:rFonts w:ascii="Arial" w:cs="Arial" w:eastAsia="Arial" w:hAnsi="Arial"/>
          <w:color w:val="1C1C1C"/>
          <w:sz w:val="22"/>
          <w:szCs w:val="22"/>
        </w:rPr>
        <w:t xml:space="preserve">Transaction records stored permanently — FCCPA §118 requires written records; there is no stated deletion period. Build archival, not deletion, as the default for transaction data.</w:t>
      </w:r>
    </w:p>
    <w:p>
      <w:pPr>
        <w:pStyle w:val="ListParagraph"/>
        <w:numPr>
          <w:ilvl w:val="0"/>
          <w:numId w:val="2"/>
        </w:numPr>
        <w:spacing w:after="80" w:before="0"/>
      </w:pPr>
      <w:r>
        <w:rPr>
          <w:rFonts w:ascii="Arial" w:cs="Arial" w:eastAsia="Arial" w:hAnsi="Arial"/>
          <w:color w:val="1C1C1C"/>
          <w:sz w:val="22"/>
          <w:szCs w:val="22"/>
        </w:rPr>
        <w:t xml:space="preserve">Admin panel on separate subdomain (admin.domain.com) with IP restriction or hardware 2FA. The admin panel contains FCCPC approval documents, draw processes, and winner data — a breach here has regulatory consequences.</w:t>
      </w:r>
    </w:p>
    <w:p>
      <w:pPr>
        <w:pStyle w:val="ListParagraph"/>
        <w:numPr>
          <w:ilvl w:val="0"/>
          <w:numId w:val="2"/>
        </w:numPr>
        <w:spacing w:after="80" w:before="0"/>
      </w:pPr>
      <w:r>
        <w:rPr>
          <w:rFonts w:ascii="Arial" w:cs="Arial" w:eastAsia="Arial" w:hAnsi="Arial"/>
          <w:color w:val="1C1C1C"/>
          <w:sz w:val="22"/>
          <w:szCs w:val="22"/>
        </w:rPr>
        <w:t xml:space="preserve">All regulatory documents (FCCPC approvals, NIESV valuations, draw records) stored in immutable object storage (AWS S3 with versioning enabled, deletion disabled). These documents cannot be altered after upload.</w:t>
      </w:r>
    </w:p>
    <w:p>
      <w:pPr>
        <w:pStyle w:val="ListParagraph"/>
        <w:numPr>
          <w:ilvl w:val="0"/>
          <w:numId w:val="2"/>
        </w:numPr>
        <w:spacing w:after="80" w:before="0"/>
      </w:pPr>
      <w:r>
        <w:rPr>
          <w:rFonts w:ascii="Arial" w:cs="Arial" w:eastAsia="Arial" w:hAnsi="Arial"/>
          <w:color w:val="1C1C1C"/>
          <w:sz w:val="22"/>
          <w:szCs w:val="22"/>
        </w:rPr>
        <w:t xml:space="preserve">Rate limiting on all purchase endpoints to prevent ticket farming and ensure equal access [LSLGA Code of Conduct §7 — equal chances for all participants].</w:t>
      </w:r>
    </w:p>
    <w:p>
      <w:pPr>
        <w:pStyle w:val="ListParagraph"/>
        <w:numPr>
          <w:ilvl w:val="0"/>
          <w:numId w:val="2"/>
        </w:numPr>
        <w:spacing w:after="80" w:before="0"/>
      </w:pPr>
      <w:r>
        <w:rPr>
          <w:rFonts w:ascii="Arial" w:cs="Arial" w:eastAsia="Arial" w:hAnsi="Arial"/>
          <w:color w:val="1C1C1C"/>
          <w:sz w:val="22"/>
          <w:szCs w:val="22"/>
        </w:rPr>
        <w:t xml:space="preserve">Penetration testing required before launch and annually. A security breach that exposes buyer data triggers NDPR notification obligations.</w:t>
      </w:r>
    </w:p>
    <w:p>
      <w:pPr>
        <w:pStyle w:val="ListParagraph"/>
        <w:numPr>
          <w:ilvl w:val="0"/>
          <w:numId w:val="2"/>
        </w:numPr>
        <w:spacing w:after="80" w:before="0"/>
      </w:pPr>
      <w:r>
        <w:rPr>
          <w:rFonts w:ascii="Arial" w:cs="Arial" w:eastAsia="Arial" w:hAnsi="Arial"/>
          <w:color w:val="1C1C1C"/>
          <w:sz w:val="22"/>
          <w:szCs w:val="22"/>
        </w:rPr>
        <w:t xml:space="preserve">GDPR/NDPR: Implement full data subject rights: access, correction, deletion (where legally permitted — transaction records may not be deletable). 30-day response SLA for data requests.</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6. Campaign Management — Regulatory Fields Added</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6.1  Campaign Data Fields — v2.0 (Regulation-Updated)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446"/>
        <w:gridCol w:w="5108"/>
      </w:tblGrid>
      <w:tr>
        <w:tc>
          <w:tcPr>
            <w:tcW w:type="dxa" w:w="3084"/>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Field</w:t>
            </w:r>
          </w:p>
        </w:tc>
        <w:tc>
          <w:tcPr>
            <w:tcW w:type="dxa" w:w="1446"/>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Type</w:t>
            </w:r>
          </w:p>
        </w:tc>
        <w:tc>
          <w:tcPr>
            <w:tcW w:type="dxa" w:w="510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Regulatory Notes</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Title</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Text</w:t>
            </w:r>
          </w:p>
        </w:tc>
        <w:tc>
          <w:tcPr>
            <w:tcW w:type="dxa" w:w="510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Must not include word 'lottery' — system should flag and reject if detected</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Approval Reference (NEW)</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Text — Required</w:t>
            </w:r>
          </w:p>
        </w:tc>
        <w:tc>
          <w:tcPr>
            <w:tcW w:type="dxa" w:w="510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MANDATORY before campaign can be published. System validates format. Displayed on all campaign pages and communications automatically.</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Approval Date (NEW)</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Date — Required</w:t>
            </w:r>
          </w:p>
        </w:tc>
        <w:tc>
          <w:tcPr>
            <w:tcW w:type="dxa" w:w="510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Sets the sell-in-time clock. Campaign close date cannot exceed 12 months from this date.</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LSLGA Licence Number (NEW)</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Text — Conditional</w:t>
            </w:r>
          </w:p>
        </w:tc>
        <w:tc>
          <w:tcPr>
            <w:tcW w:type="dxa" w:w="510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Required if property is in Lagos or if campaign is primarily targeted at Lagos buyers.</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NIESV Valuation Report (NEW)</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File Upload — Required</w:t>
            </w:r>
          </w:p>
        </w:tc>
        <w:tc>
          <w:tcPr>
            <w:tcW w:type="dxa" w:w="510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PDF must be uploaded before campaign can be published. Value displayed on campaign page must match this document exactly.</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Escrow Bank Name (NEW)</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Text — Required</w:t>
            </w:r>
          </w:p>
        </w:tc>
        <w:tc>
          <w:tcPr>
            <w:tcW w:type="dxa" w:w="510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Name of the bank holding escrow funds. Displayed prominently on campaign page and in all communications.</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Skill Question &amp; Correct Answer (NEW)</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Text — Required</w:t>
            </w:r>
          </w:p>
        </w:tc>
        <w:tc>
          <w:tcPr>
            <w:tcW w:type="dxa" w:w="510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skill question that constitutes the competition element. The correct answer is stored server-side. Purchase blocked if buyer selects wrong answer.</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Ticket Price</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Currency — NGN</w:t>
            </w:r>
          </w:p>
        </w:tc>
        <w:tc>
          <w:tcPr>
            <w:tcW w:type="dxa" w:w="510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 NGN only as primary currency [FCCPA §115]. Displayed in NGN on all pages.</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Total Ticket Cap</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Integer</w:t>
            </w:r>
          </w:p>
        </w:tc>
        <w:tc>
          <w:tcPr>
            <w:tcW w:type="dxa" w:w="510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Hard limit enforced at database level. Exceeding this would mean issuing tickets beyond what was disclosed to buyers — a FCCPA §123 violation.</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Minimum Ticket Threshold</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Integer</w:t>
            </w:r>
          </w:p>
        </w:tc>
        <w:tc>
          <w:tcPr>
            <w:tcW w:type="dxa" w:w="510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If not reached, automated full refund triggers [FCCPA §123 — stated representations must be honoured]. Cannot be changed without FCCPC prior approval.</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Open Date</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DateTime</w:t>
            </w:r>
          </w:p>
        </w:tc>
        <w:tc>
          <w:tcPr>
            <w:tcW w:type="dxa" w:w="510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Cannot be before FCCPC approval date.</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Close Date</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DateTime</w:t>
            </w:r>
          </w:p>
        </w:tc>
        <w:tc>
          <w:tcPr>
            <w:tcW w:type="dxa" w:w="510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Cannot exceed 12 months from FCCPC approval date [FCCPC Guidelines Part 3 — 1-year maximum sell-in-time]. Any extension requires FCCPC prior approval.</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Draw Date</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DateTime</w:t>
            </w:r>
          </w:p>
        </w:tc>
        <w:tc>
          <w:tcPr>
            <w:tcW w:type="dxa" w:w="510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Sets the 14-day FCCPC notification deadline automatically. System generates calendar alert at draw date minus 14 days.</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Draw Notification Sent Date (NEW)</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Date — Required</w:t>
            </w:r>
          </w:p>
        </w:tc>
        <w:tc>
          <w:tcPr>
            <w:tcW w:type="dxa" w:w="510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Admin must enter this date confirming notification was sent. System blocks draw initiation if this date is less than 14 days before draw date.</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T&amp;C Version Reference (NEW)</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Text</w:t>
            </w:r>
          </w:p>
        </w:tc>
        <w:tc>
          <w:tcPr>
            <w:tcW w:type="dxa" w:w="510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Version identifier of the T&amp;Cs as submitted to and approved by FCCPC. Each buyer's acceptance is logged against this version.</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Status</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Enum</w:t>
            </w:r>
          </w:p>
        </w:tc>
        <w:tc>
          <w:tcPr>
            <w:tcW w:type="dxa" w:w="510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Draft | Awaiting FCCPC Approval | Approved — Upcoming | Active | Sold Out | Closed | Draw Pending | FCCPC Notified | Draw Complete | Refund Processing | Archived</w:t>
            </w:r>
          </w:p>
        </w:tc>
      </w:tr>
    </w:tbl>
    <w:p>
      <w:pPr>
        <w:spacing w:after="240" w:before="0"/>
      </w:pPr>
    </w:p>
    <w:p>
      <w:pPr>
        <w:pStyle w:val="Heading2"/>
        <w:spacing w:after="120" w:before="320"/>
      </w:pPr>
      <w:r>
        <w:rPr>
          <w:rFonts w:ascii="Arial" w:cs="Arial" w:eastAsia="Arial" w:hAnsi="Arial"/>
          <w:b/>
          <w:bCs/>
          <w:color w:val="2E6DA4"/>
          <w:sz w:val="28"/>
          <w:szCs w:val="28"/>
        </w:rPr>
        <w:t xml:space="preserve">6.2  Campaign Status Flow — Updated</w:t>
      </w:r>
    </w:p>
    <w:p>
      <w:pPr>
        <w:pStyle w:val="ListParagraph"/>
        <w:numPr>
          <w:ilvl w:val="0"/>
          <w:numId w:val="2"/>
        </w:numPr>
        <w:spacing w:after="80" w:before="0"/>
      </w:pPr>
      <w:r>
        <w:rPr>
          <w:rFonts w:ascii="Arial" w:cs="Arial" w:eastAsia="Arial" w:hAnsi="Arial"/>
          <w:color w:val="1C1C1C"/>
          <w:sz w:val="22"/>
          <w:szCs w:val="22"/>
        </w:rPr>
        <w:t xml:space="preserve">Draft — created in admin. FCCPC and LSLGA approval references not yet entered. Not visible to public.</w:t>
      </w:r>
    </w:p>
    <w:p>
      <w:pPr>
        <w:pStyle w:val="ListParagraph"/>
        <w:numPr>
          <w:ilvl w:val="0"/>
          <w:numId w:val="2"/>
        </w:numPr>
        <w:spacing w:after="80" w:before="0"/>
      </w:pPr>
      <w:r>
        <w:rPr>
          <w:rFonts w:ascii="Arial" w:cs="Arial" w:eastAsia="Arial" w:hAnsi="Arial"/>
          <w:color w:val="1C1C1C"/>
          <w:sz w:val="22"/>
          <w:szCs w:val="22"/>
        </w:rPr>
        <w:t xml:space="preserve">Awaiting FCCPC Approval — application submitted. Campaign in preparation. Still not visible to public. No pre-launch advertising permitted.</w:t>
      </w:r>
    </w:p>
    <w:p>
      <w:pPr>
        <w:pStyle w:val="ListParagraph"/>
        <w:numPr>
          <w:ilvl w:val="0"/>
          <w:numId w:val="2"/>
        </w:numPr>
        <w:spacing w:after="80" w:before="0"/>
      </w:pPr>
      <w:r>
        <w:rPr>
          <w:rFonts w:ascii="Arial" w:cs="Arial" w:eastAsia="Arial" w:hAnsi="Arial"/>
          <w:color w:val="1C1C1C"/>
          <w:sz w:val="22"/>
          <w:szCs w:val="22"/>
        </w:rPr>
        <w:t xml:space="preserve">Approved — Upcoming — FCCPC and LSLGA approvals received, entries entered into system. Visible to public with 'Coming Soon' status. 'Notify Me' button active. FCCPC approval statement displayed.</w:t>
      </w:r>
    </w:p>
    <w:p>
      <w:pPr>
        <w:pStyle w:val="ListParagraph"/>
        <w:numPr>
          <w:ilvl w:val="0"/>
          <w:numId w:val="2"/>
        </w:numPr>
        <w:spacing w:after="80" w:before="0"/>
      </w:pPr>
      <w:r>
        <w:rPr>
          <w:rFonts w:ascii="Arial" w:cs="Arial" w:eastAsia="Arial" w:hAnsi="Arial"/>
          <w:color w:val="1C1C1C"/>
          <w:sz w:val="22"/>
          <w:szCs w:val="22"/>
        </w:rPr>
        <w:t xml:space="preserve">Active — ticket sales open. All compliance checks passed. FCCPC statement auto-displayed. Purchase widget live.</w:t>
      </w:r>
    </w:p>
    <w:p>
      <w:pPr>
        <w:pStyle w:val="ListParagraph"/>
        <w:numPr>
          <w:ilvl w:val="0"/>
          <w:numId w:val="2"/>
        </w:numPr>
        <w:spacing w:after="80" w:before="0"/>
      </w:pPr>
      <w:r>
        <w:rPr>
          <w:rFonts w:ascii="Arial" w:cs="Arial" w:eastAsia="Arial" w:hAnsi="Arial"/>
          <w:color w:val="1C1C1C"/>
          <w:sz w:val="22"/>
          <w:szCs w:val="22"/>
        </w:rPr>
        <w:t xml:space="preserve">Sold Out — ticket cap reached. System automatically closed sales. Draw Pending status if draw date not yet reached.</w:t>
      </w:r>
    </w:p>
    <w:p>
      <w:pPr>
        <w:pStyle w:val="ListParagraph"/>
        <w:numPr>
          <w:ilvl w:val="0"/>
          <w:numId w:val="2"/>
        </w:numPr>
        <w:spacing w:after="80" w:before="0"/>
      </w:pPr>
      <w:r>
        <w:rPr>
          <w:rFonts w:ascii="Arial" w:cs="Arial" w:eastAsia="Arial" w:hAnsi="Arial"/>
          <w:color w:val="1C1C1C"/>
          <w:sz w:val="22"/>
          <w:szCs w:val="22"/>
        </w:rPr>
        <w:t xml:space="preserve">FCCPC Notified — admin has confirmed that FCCPC draw notification was sent at least 14 days before draw. System will not permit draw initiation without this status.</w:t>
      </w:r>
    </w:p>
    <w:p>
      <w:pPr>
        <w:pStyle w:val="ListParagraph"/>
        <w:numPr>
          <w:ilvl w:val="0"/>
          <w:numId w:val="2"/>
        </w:numPr>
        <w:spacing w:after="80" w:before="0"/>
      </w:pPr>
      <w:r>
        <w:rPr>
          <w:rFonts w:ascii="Arial" w:cs="Arial" w:eastAsia="Arial" w:hAnsi="Arial"/>
          <w:color w:val="1C1C1C"/>
          <w:sz w:val="22"/>
          <w:szCs w:val="22"/>
        </w:rPr>
        <w:t xml:space="preserve">Draw Complete — draw conducted. FCCPC winner submission filed within 3 days. Winner verification in progress.</w:t>
      </w:r>
    </w:p>
    <w:p>
      <w:pPr>
        <w:pStyle w:val="ListParagraph"/>
        <w:numPr>
          <w:ilvl w:val="0"/>
          <w:numId w:val="2"/>
        </w:numPr>
        <w:spacing w:after="80" w:before="0"/>
      </w:pPr>
      <w:r>
        <w:rPr>
          <w:rFonts w:ascii="Arial" w:cs="Arial" w:eastAsia="Arial" w:hAnsi="Arial"/>
          <w:color w:val="1C1C1C"/>
          <w:sz w:val="22"/>
          <w:szCs w:val="22"/>
        </w:rPr>
        <w:t xml:space="preserve">Refund Processing — minimum threshold not met. Automated refunds in progress. Form CPC B being prepared.</w:t>
      </w:r>
    </w:p>
    <w:p>
      <w:pPr>
        <w:pStyle w:val="ListParagraph"/>
        <w:numPr>
          <w:ilvl w:val="0"/>
          <w:numId w:val="2"/>
        </w:numPr>
        <w:spacing w:after="80" w:before="0"/>
      </w:pPr>
      <w:r>
        <w:rPr>
          <w:rFonts w:ascii="Arial" w:cs="Arial" w:eastAsia="Arial" w:hAnsi="Arial"/>
          <w:color w:val="1C1C1C"/>
          <w:sz w:val="22"/>
          <w:szCs w:val="22"/>
        </w:rPr>
        <w:t xml:space="preserve">Archived — Form CPC B filed with FCCPC. Campaign fully closed from regulatory perspective. All records permanently retained.</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7. Draw Management — Full Regulatory Process</w:t>
      </w:r>
    </w:p>
    <w:p>
      <w:pPr>
        <w:pBdr>
          <w:bottom w:val="single" w:color="2E6DA4" w:sz="8" w:space="1"/>
        </w:pBd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14"/>
              <w:bottom w:val="none" w:color="FFFFFF" w:sz="0"/>
              <w:right w:val="none" w:color="FFFFFF" w:sz="0"/>
            </w:tcBorders>
            <w:shd w:fill="FEE8E8" w:val="clear"/>
            <w:tcMar>
              <w:top w:type="dxa" w:w="100"/>
              <w:left w:type="dxa" w:w="200"/>
              <w:bottom w:type="dxa" w:w="100"/>
              <w:right w:type="dxa" w:w="160"/>
            </w:tcMar>
          </w:tcPr>
          <w:p>
            <w:pPr>
              <w:spacing w:after="60"/>
            </w:pPr>
            <w:r>
              <w:rPr>
                <w:rFonts w:ascii="Arial" w:cs="Arial" w:eastAsia="Arial" w:hAnsi="Arial"/>
                <w:b/>
                <w:bCs/>
                <w:color w:val="C0392B"/>
                <w:sz w:val="21"/>
                <w:szCs w:val="21"/>
              </w:rPr>
              <w:t xml:space="preserve">Hard Sequence — Steps Must Occur in This Exact Order</w:t>
            </w:r>
          </w:p>
          <w:p>
            <w:pPr>
              <w:spacing w:after="0"/>
            </w:pPr>
            <w:r>
              <w:rPr>
                <w:rFonts w:ascii="Arial" w:cs="Arial" w:eastAsia="Arial" w:hAnsi="Arial"/>
                <w:color w:val="1C1C1C"/>
                <w:sz w:val="20"/>
                <w:szCs w:val="20"/>
              </w:rPr>
              <w:t xml:space="preserve">1. Campaign close date reached or ticket cap hit. 2. Admin confirms FCCPC was notified 14+ days ago (system validates). 3. FCCPC and LSLGA monitors confirmed as attending. 4. Ticket registry locked — no changes possible. 5. Draw conducted on scheduled date. 6. Winner list submitted to FCCPC within 3 days. 7. Winner verified and property transferred. 8. Form CPC B submitted to FCCPC within 21 days of promotion close. 9. Campaign archived. Missing any step, or doing them out of sequence, constitutes a regulatory violation.</w:t>
            </w:r>
          </w:p>
        </w:tc>
      </w:tr>
    </w:tbl>
    <w:p>
      <w:pPr>
        <w:spacing w:after="200" w:before="0"/>
      </w:pPr>
    </w:p>
    <w:p>
      <w:pPr>
        <w:pStyle w:val="Heading2"/>
        <w:spacing w:after="120" w:before="320"/>
      </w:pPr>
      <w:r>
        <w:rPr>
          <w:rFonts w:ascii="Arial" w:cs="Arial" w:eastAsia="Arial" w:hAnsi="Arial"/>
          <w:b/>
          <w:bCs/>
          <w:color w:val="2E6DA4"/>
          <w:sz w:val="28"/>
          <w:szCs w:val="28"/>
        </w:rPr>
        <w:t xml:space="preserve">7.1  Pre-Draw System Actions</w:t>
      </w:r>
    </w:p>
    <w:p>
      <w:pPr>
        <w:pStyle w:val="ListParagraph"/>
        <w:numPr>
          <w:ilvl w:val="0"/>
          <w:numId w:val="3"/>
        </w:numPr>
        <w:spacing w:after="80" w:before="0"/>
      </w:pPr>
      <w:r>
        <w:rPr>
          <w:rFonts w:ascii="Arial" w:cs="Arial" w:eastAsia="Arial" w:hAnsi="Arial"/>
          <w:color w:val="1C1C1C"/>
          <w:sz w:val="22"/>
          <w:szCs w:val="22"/>
        </w:rPr>
        <w:t xml:space="preserve">System locks campaign at close date/cap — no new tickets, no cancellations, no changes possible</w:t>
      </w:r>
    </w:p>
    <w:p>
      <w:pPr>
        <w:pStyle w:val="ListParagraph"/>
        <w:numPr>
          <w:ilvl w:val="0"/>
          <w:numId w:val="3"/>
        </w:numPr>
        <w:spacing w:after="80" w:before="0"/>
      </w:pPr>
      <w:r>
        <w:rPr>
          <w:rFonts w:ascii="Arial" w:cs="Arial" w:eastAsia="Arial" w:hAnsi="Arial"/>
          <w:color w:val="1C1C1C"/>
          <w:sz w:val="22"/>
          <w:szCs w:val="22"/>
        </w:rPr>
        <w:t xml:space="preserve">System generates final ticket registry and makes it publicly downloadable</w:t>
      </w:r>
    </w:p>
    <w:p>
      <w:pPr>
        <w:pStyle w:val="ListParagraph"/>
        <w:numPr>
          <w:ilvl w:val="0"/>
          <w:numId w:val="3"/>
        </w:numPr>
        <w:spacing w:after="80" w:before="0"/>
      </w:pPr>
      <w:r>
        <w:rPr>
          <w:rFonts w:ascii="Arial" w:cs="Arial" w:eastAsia="Arial" w:hAnsi="Arial"/>
          <w:color w:val="1C1C1C"/>
          <w:sz w:val="22"/>
          <w:szCs w:val="22"/>
        </w:rPr>
        <w:t xml:space="preserve">Admin confirms: FCCPC draw notification sent date is 14+ days before draw — system validates and blocks if not</w:t>
      </w:r>
    </w:p>
    <w:p>
      <w:pPr>
        <w:pStyle w:val="ListParagraph"/>
        <w:numPr>
          <w:ilvl w:val="0"/>
          <w:numId w:val="3"/>
        </w:numPr>
        <w:spacing w:after="80" w:before="0"/>
      </w:pPr>
      <w:r>
        <w:rPr>
          <w:rFonts w:ascii="Arial" w:cs="Arial" w:eastAsia="Arial" w:hAnsi="Arial"/>
          <w:color w:val="1C1C1C"/>
          <w:sz w:val="22"/>
          <w:szCs w:val="22"/>
        </w:rPr>
        <w:t xml:space="preserve">Admin confirms: FCCPC monitor name and contact number for draw day</w:t>
      </w:r>
    </w:p>
    <w:p>
      <w:pPr>
        <w:pStyle w:val="ListParagraph"/>
        <w:numPr>
          <w:ilvl w:val="0"/>
          <w:numId w:val="3"/>
        </w:numPr>
        <w:spacing w:after="80" w:before="0"/>
      </w:pPr>
      <w:r>
        <w:rPr>
          <w:rFonts w:ascii="Arial" w:cs="Arial" w:eastAsia="Arial" w:hAnsi="Arial"/>
          <w:color w:val="1C1C1C"/>
          <w:sz w:val="22"/>
          <w:szCs w:val="22"/>
        </w:rPr>
        <w:t xml:space="preserve">Admin confirms: LSLGA monitor attendance (if Lagos)</w:t>
      </w:r>
    </w:p>
    <w:p>
      <w:pPr>
        <w:pStyle w:val="ListParagraph"/>
        <w:numPr>
          <w:ilvl w:val="0"/>
          <w:numId w:val="3"/>
        </w:numPr>
        <w:spacing w:after="80" w:before="0"/>
      </w:pPr>
      <w:r>
        <w:rPr>
          <w:rFonts w:ascii="Arial" w:cs="Arial" w:eastAsia="Arial" w:hAnsi="Arial"/>
          <w:color w:val="1C1C1C"/>
          <w:sz w:val="22"/>
          <w:szCs w:val="22"/>
        </w:rPr>
        <w:t xml:space="preserve">Admin confirms: Notary public/commissioner for oaths name and contact</w:t>
      </w:r>
    </w:p>
    <w:p>
      <w:pPr>
        <w:pStyle w:val="ListParagraph"/>
        <w:numPr>
          <w:ilvl w:val="0"/>
          <w:numId w:val="3"/>
        </w:numPr>
        <w:spacing w:after="80" w:before="0"/>
      </w:pPr>
      <w:r>
        <w:rPr>
          <w:rFonts w:ascii="Arial" w:cs="Arial" w:eastAsia="Arial" w:hAnsi="Arial"/>
          <w:color w:val="1C1C1C"/>
          <w:sz w:val="22"/>
          <w:szCs w:val="22"/>
        </w:rPr>
        <w:t xml:space="preserve">System records: draw initiation timestamp, total tickets in draw, admin user who initiated, all witnesses listed</w:t>
      </w:r>
    </w:p>
    <w:p>
      <w:pPr>
        <w:spacing w:after="160" w:before="0"/>
      </w:pPr>
    </w:p>
    <w:p>
      <w:pPr>
        <w:pStyle w:val="Heading2"/>
        <w:spacing w:after="120" w:before="320"/>
      </w:pPr>
      <w:r>
        <w:rPr>
          <w:rFonts w:ascii="Arial" w:cs="Arial" w:eastAsia="Arial" w:hAnsi="Arial"/>
          <w:b/>
          <w:bCs/>
          <w:color w:val="2E6DA4"/>
          <w:sz w:val="28"/>
          <w:szCs w:val="28"/>
        </w:rPr>
        <w:t xml:space="preserve">7.2  Draw Day Recording Requirements</w:t>
      </w:r>
    </w:p>
    <w:p>
      <w:pPr>
        <w:spacing w:after="120" w:before="0"/>
      </w:pPr>
      <w:r>
        <w:rPr>
          <w:rFonts w:ascii="Arial" w:cs="Arial" w:eastAsia="Arial" w:hAnsi="Arial"/>
          <w:color w:val="1C1C1C"/>
          <w:sz w:val="22"/>
          <w:szCs w:val="22"/>
        </w:rPr>
        <w:t xml:space="preserve">The draw must be recorded in a way that creates tamper-evident, permanently archived evidence. The following must be uploaded to the admin panel within 24 hours of the draw:</w:t>
      </w:r>
    </w:p>
    <w:p>
      <w:pPr>
        <w:pStyle w:val="ListParagraph"/>
        <w:numPr>
          <w:ilvl w:val="0"/>
          <w:numId w:val="2"/>
        </w:numPr>
        <w:spacing w:after="80" w:before="0"/>
      </w:pPr>
      <w:r>
        <w:rPr>
          <w:rFonts w:ascii="Arial" w:cs="Arial" w:eastAsia="Arial" w:hAnsi="Arial"/>
          <w:color w:val="1C1C1C"/>
          <w:sz w:val="22"/>
          <w:szCs w:val="22"/>
        </w:rPr>
        <w:t xml:space="preserve">Full video recording of the entire draw event (start to finish, no cuts)</w:t>
      </w:r>
    </w:p>
    <w:p>
      <w:pPr>
        <w:pStyle w:val="ListParagraph"/>
        <w:numPr>
          <w:ilvl w:val="0"/>
          <w:numId w:val="2"/>
        </w:numPr>
        <w:spacing w:after="80" w:before="0"/>
      </w:pPr>
      <w:r>
        <w:rPr>
          <w:rFonts w:ascii="Arial" w:cs="Arial" w:eastAsia="Arial" w:hAnsi="Arial"/>
          <w:color w:val="1C1C1C"/>
          <w:sz w:val="22"/>
          <w:szCs w:val="22"/>
        </w:rPr>
        <w:t xml:space="preserve">Screen recording of the Random.org RNG session with timestamp visible</w:t>
      </w:r>
    </w:p>
    <w:p>
      <w:pPr>
        <w:pStyle w:val="ListParagraph"/>
        <w:numPr>
          <w:ilvl w:val="0"/>
          <w:numId w:val="2"/>
        </w:numPr>
        <w:spacing w:after="80" w:before="0"/>
      </w:pPr>
      <w:r>
        <w:rPr>
          <w:rFonts w:ascii="Arial" w:cs="Arial" w:eastAsia="Arial" w:hAnsi="Arial"/>
          <w:color w:val="1C1C1C"/>
          <w:sz w:val="22"/>
          <w:szCs w:val="22"/>
        </w:rPr>
        <w:t xml:space="preserve">Screenshot of RNG result with Random.org URL and timestamp</w:t>
      </w:r>
    </w:p>
    <w:p>
      <w:pPr>
        <w:pStyle w:val="ListParagraph"/>
        <w:numPr>
          <w:ilvl w:val="0"/>
          <w:numId w:val="2"/>
        </w:numPr>
        <w:spacing w:after="80" w:before="0"/>
      </w:pPr>
      <w:r>
        <w:rPr>
          <w:rFonts w:ascii="Arial" w:cs="Arial" w:eastAsia="Arial" w:hAnsi="Arial"/>
          <w:color w:val="1C1C1C"/>
          <w:sz w:val="22"/>
          <w:szCs w:val="22"/>
        </w:rPr>
        <w:t xml:space="preserve">Photo or video of physical draw confirming winning ticket number</w:t>
      </w:r>
    </w:p>
    <w:p>
      <w:pPr>
        <w:pStyle w:val="ListParagraph"/>
        <w:numPr>
          <w:ilvl w:val="0"/>
          <w:numId w:val="2"/>
        </w:numPr>
        <w:spacing w:after="80" w:before="0"/>
      </w:pPr>
      <w:r>
        <w:rPr>
          <w:rFonts w:ascii="Arial" w:cs="Arial" w:eastAsia="Arial" w:hAnsi="Arial"/>
          <w:color w:val="1C1C1C"/>
          <w:sz w:val="22"/>
          <w:szCs w:val="22"/>
        </w:rPr>
        <w:t xml:space="preserve">Names of all witnesses present, including FCCPC and LSLGA monitors</w:t>
      </w:r>
    </w:p>
    <w:p>
      <w:pPr>
        <w:pStyle w:val="ListParagraph"/>
        <w:numPr>
          <w:ilvl w:val="0"/>
          <w:numId w:val="2"/>
        </w:numPr>
        <w:spacing w:after="80" w:before="0"/>
      </w:pPr>
      <w:r>
        <w:rPr>
          <w:rFonts w:ascii="Arial" w:cs="Arial" w:eastAsia="Arial" w:hAnsi="Arial"/>
          <w:color w:val="1C1C1C"/>
          <w:sz w:val="22"/>
          <w:szCs w:val="22"/>
        </w:rPr>
        <w:t xml:space="preserve">Draw archive made publicly viewable at yourplatform.com/draws/[campaign-id]</w:t>
      </w:r>
    </w:p>
    <w:p>
      <w:pPr>
        <w:spacing w:after="160" w:before="0"/>
      </w:pPr>
    </w:p>
    <w:p>
      <w:pPr>
        <w:pStyle w:val="Heading2"/>
        <w:spacing w:after="120" w:before="320"/>
      </w:pPr>
      <w:r>
        <w:rPr>
          <w:rFonts w:ascii="Arial" w:cs="Arial" w:eastAsia="Arial" w:hAnsi="Arial"/>
          <w:b/>
          <w:bCs/>
          <w:color w:val="2E6DA4"/>
          <w:sz w:val="28"/>
          <w:szCs w:val="28"/>
        </w:rPr>
        <w:t xml:space="preserve">7.3  Post-Draw Compliance Workflow — Hard Deadlines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662"/>
        <w:gridCol w:w="2120"/>
        <w:gridCol w:w="2120"/>
      </w:tblGrid>
      <w:tr>
        <w:tc>
          <w:tcPr>
            <w:tcW w:type="dxa" w:w="1735"/>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Deadline</w:t>
            </w:r>
          </w:p>
        </w:tc>
        <w:tc>
          <w:tcPr>
            <w:tcW w:type="dxa" w:w="3662"/>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Action Required</w:t>
            </w:r>
          </w:p>
        </w:tc>
        <w:tc>
          <w:tcPr>
            <w:tcW w:type="dxa" w:w="212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Filed With</w:t>
            </w:r>
          </w:p>
        </w:tc>
        <w:tc>
          <w:tcPr>
            <w:tcW w:type="dxa" w:w="212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Regulatory Basis</w:t>
            </w:r>
          </w:p>
        </w:tc>
      </w:tr>
      <w:tr>
        <w:tc>
          <w:tcPr>
            <w:tcW w:type="dxa" w:w="1735"/>
            <w:tcBorders>
              <w:top w:val="single" w:color="C0392B" w:sz="1"/>
              <w:left w:val="single" w:color="C0392B" w:sz="1"/>
              <w:bottom w:val="single" w:color="C0392B" w:sz="1"/>
              <w:right w:val="single" w:color="C0392B" w:sz="1"/>
            </w:tcBorders>
            <w:shd w:fill="FEE8E8" w:val="clear"/>
            <w:tcMar>
              <w:top w:type="dxa" w:w="60"/>
              <w:left w:type="dxa" w:w="160"/>
              <w:bottom w:type="dxa" w:w="60"/>
              <w:right w:type="dxa" w:w="160"/>
            </w:tcMar>
          </w:tcPr>
          <w:p>
            <w:r>
              <w:rPr>
                <w:rFonts w:ascii="Arial" w:cs="Arial" w:eastAsia="Arial" w:hAnsi="Arial"/>
                <w:b/>
                <w:bCs/>
                <w:color w:val="C0392B"/>
                <w:sz w:val="20"/>
                <w:szCs w:val="20"/>
              </w:rPr>
              <w:t xml:space="preserve">3 days after draw</w:t>
            </w:r>
          </w:p>
        </w:tc>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Submit full winner list: name, phone, address, prize won. For this business: 1 winner + 2 backup winners. System prepares list automatically from draw records.</w:t>
            </w:r>
          </w:p>
        </w:tc>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w:t>
            </w:r>
          </w:p>
        </w:tc>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Guidelines Part 8(b)</w:t>
            </w:r>
          </w:p>
        </w:tc>
      </w:tr>
      <w:tr>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14 days after draw</w:t>
            </w:r>
          </w:p>
        </w:tc>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Submit comprehensive final winner list to FCCPC for verification exercise.</w:t>
            </w:r>
          </w:p>
        </w:tc>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w:t>
            </w:r>
          </w:p>
        </w:tc>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Form CPC A Note 7</w:t>
            </w:r>
          </w:p>
        </w:tc>
      </w:tr>
      <w:tr>
        <w:tc>
          <w:tcPr>
            <w:tcW w:type="dxa" w:w="1735"/>
            <w:tcBorders>
              <w:top w:val="single" w:color="C0392B" w:sz="1"/>
              <w:left w:val="single" w:color="C0392B" w:sz="1"/>
              <w:bottom w:val="single" w:color="C0392B" w:sz="1"/>
              <w:right w:val="single" w:color="C0392B" w:sz="1"/>
            </w:tcBorders>
            <w:shd w:fill="FEE8E8" w:val="clear"/>
            <w:tcMar>
              <w:top w:type="dxa" w:w="60"/>
              <w:left w:type="dxa" w:w="160"/>
              <w:bottom w:type="dxa" w:w="60"/>
              <w:right w:type="dxa" w:w="160"/>
            </w:tcMar>
          </w:tcPr>
          <w:p>
            <w:r>
              <w:rPr>
                <w:rFonts w:ascii="Arial" w:cs="Arial" w:eastAsia="Arial" w:hAnsi="Arial"/>
                <w:b/>
                <w:bCs/>
                <w:color w:val="C0392B"/>
                <w:sz w:val="20"/>
                <w:szCs w:val="20"/>
              </w:rPr>
              <w:t xml:space="preserve">21 days after promotion close</w:t>
            </w:r>
          </w:p>
        </w:tc>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File Form CPC B (End of Sales Promotion Report). Must include: number of draws, draw dates, draw method, number of winners, whether all prizes redeemed.</w:t>
            </w:r>
          </w:p>
        </w:tc>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w:t>
            </w:r>
          </w:p>
        </w:tc>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Form CPC B</w:t>
            </w:r>
          </w:p>
        </w:tc>
      </w:tr>
      <w:tr>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Within T&amp;C timeline</w:t>
            </w:r>
          </w:p>
        </w:tc>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Complete property title transfer to winner. Deadline must be stated in approved T&amp;Cs and must be honoured. [FCCPA §123 — stated representations must be kept]</w:t>
            </w:r>
          </w:p>
        </w:tc>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Land Bureau + Winner</w:t>
            </w:r>
          </w:p>
        </w:tc>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§123</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8. Trust &amp; Compliance Features — Regulation-Grounded</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8.1  Mandatory Built-In Trust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DA4" w:sz="6"/>
              <w:left w:val="single" w:color="2E6DA4" w:sz="14"/>
              <w:bottom w:val="none" w:color="FFFFFF" w:sz="0"/>
              <w:right w:val="none" w:color="FFFFFF" w:sz="0"/>
            </w:tcBorders>
            <w:shd w:fill="F4F9FF" w:val="clear"/>
            <w:tcMar>
              <w:top w:type="dxa" w:w="100"/>
              <w:left w:type="dxa" w:w="200"/>
              <w:bottom w:type="dxa" w:w="100"/>
              <w:right w:type="dxa" w:w="160"/>
            </w:tcMar>
          </w:tcPr>
          <w:p>
            <w:pPr>
              <w:spacing w:after="60"/>
            </w:pPr>
            <w:r>
              <w:rPr>
                <w:rFonts w:ascii="Arial" w:cs="Arial" w:eastAsia="Arial" w:hAnsi="Arial"/>
                <w:b/>
                <w:bCs/>
                <w:color w:val="2E6DA4"/>
                <w:sz w:val="21"/>
                <w:szCs w:val="21"/>
              </w:rPr>
              <w:t xml:space="preserve">Every trust feature below is grounded in a specific regulatory requirement, not just a marketing choice. They exist because the law requires them and because buyers need evidence they are real.</w:t>
            </w:r>
          </w:p>
          <w:p>
            <w:pPr>
              <w:spacing w:after="0"/>
            </w:pPr>
            <w:r>
              <w:rPr>
                <w:rFonts w:ascii="Arial" w:cs="Arial" w:eastAsia="Arial" w:hAnsi="Arial"/>
                <w:color w:val="1C1C1C"/>
                <w:sz w:val="20"/>
                <w:szCs w:val="20"/>
              </w:rPr>
              <w:t xml:space="preserve"/>
            </w:r>
          </w:p>
        </w:tc>
      </w:tr>
    </w:tbl>
    <w:p>
      <w:pPr>
        <w:spacing w:after="160" w:before="0"/>
      </w:pPr>
    </w:p>
    <w:p>
      <w:pPr>
        <w:pStyle w:val="ListParagraph"/>
        <w:numPr>
          <w:ilvl w:val="0"/>
          <w:numId w:val="2"/>
        </w:numPr>
        <w:spacing w:after="80" w:before="0"/>
      </w:pPr>
      <w:r>
        <w:rPr>
          <w:rFonts w:ascii="Arial" w:cs="Arial" w:eastAsia="Arial" w:hAnsi="Arial"/>
          <w:color w:val="1C1C1C"/>
          <w:sz w:val="22"/>
          <w:szCs w:val="22"/>
        </w:rPr>
        <w:t xml:space="preserve">FCCPC Approval Statement: System-generated on every campaign page, every purchase screen, every email template, every SMS, every WhatsApp message. Sourced from the stored FCCPC approval reference. [FCCPC Guidelines §4(h) — NGN 1,000,000 per violation]</w:t>
      </w:r>
    </w:p>
    <w:p>
      <w:pPr>
        <w:pStyle w:val="ListParagraph"/>
        <w:numPr>
          <w:ilvl w:val="0"/>
          <w:numId w:val="2"/>
        </w:numPr>
        <w:spacing w:after="80" w:before="0"/>
      </w:pPr>
      <w:r>
        <w:rPr>
          <w:rFonts w:ascii="Arial" w:cs="Arial" w:eastAsia="Arial" w:hAnsi="Arial"/>
          <w:color w:val="1C1C1C"/>
          <w:sz w:val="22"/>
          <w:szCs w:val="22"/>
        </w:rPr>
        <w:t xml:space="preserve">FCCPC Approval Letters: Downloadable on the Regulatory Compliance page and the Trust &amp; Legal Centre. One letter per campaign. [FCCPC NOD requirement]</w:t>
      </w:r>
    </w:p>
    <w:p>
      <w:pPr>
        <w:pStyle w:val="ListParagraph"/>
        <w:numPr>
          <w:ilvl w:val="0"/>
          <w:numId w:val="2"/>
        </w:numPr>
        <w:spacing w:after="80" w:before="0"/>
      </w:pPr>
      <w:r>
        <w:rPr>
          <w:rFonts w:ascii="Arial" w:cs="Arial" w:eastAsia="Arial" w:hAnsi="Arial"/>
          <w:color w:val="1C1C1C"/>
          <w:sz w:val="22"/>
          <w:szCs w:val="22"/>
        </w:rPr>
        <w:t xml:space="preserve">LSLGA Licence: Downloadable on the Regulatory Compliance page. [LSLGA licensing requirement]</w:t>
      </w:r>
    </w:p>
    <w:p>
      <w:pPr>
        <w:pStyle w:val="ListParagraph"/>
        <w:numPr>
          <w:ilvl w:val="0"/>
          <w:numId w:val="2"/>
        </w:numPr>
        <w:spacing w:after="80" w:before="0"/>
      </w:pPr>
      <w:r>
        <w:rPr>
          <w:rFonts w:ascii="Arial" w:cs="Arial" w:eastAsia="Arial" w:hAnsi="Arial"/>
          <w:color w:val="1C1C1C"/>
          <w:sz w:val="22"/>
          <w:szCs w:val="22"/>
        </w:rPr>
        <w:t xml:space="preserve">NIESV Valuation Report: Downloadable per campaign. Required to substantiate property value claims. [FCCPA 2018 §123(1)(d) — representations must be based on adequate and proper test]</w:t>
      </w:r>
    </w:p>
    <w:p>
      <w:pPr>
        <w:pStyle w:val="ListParagraph"/>
        <w:numPr>
          <w:ilvl w:val="0"/>
          <w:numId w:val="2"/>
        </w:numPr>
        <w:spacing w:after="80" w:before="0"/>
      </w:pPr>
      <w:r>
        <w:rPr>
          <w:rFonts w:ascii="Arial" w:cs="Arial" w:eastAsia="Arial" w:hAnsi="Arial"/>
          <w:color w:val="1C1C1C"/>
          <w:sz w:val="22"/>
          <w:szCs w:val="22"/>
        </w:rPr>
        <w:t xml:space="preserve">Public Ticket Registry: Downloadable at any time during and after a campaign. Verifies ticket numbers are real and accurately issued. [LSLGA §7 — equal chances, verifiable]</w:t>
      </w:r>
    </w:p>
    <w:p>
      <w:pPr>
        <w:pStyle w:val="ListParagraph"/>
        <w:numPr>
          <w:ilvl w:val="0"/>
          <w:numId w:val="2"/>
        </w:numPr>
        <w:spacing w:after="80" w:before="0"/>
      </w:pPr>
      <w:r>
        <w:rPr>
          <w:rFonts w:ascii="Arial" w:cs="Arial" w:eastAsia="Arial" w:hAnsi="Arial"/>
          <w:color w:val="1C1C1C"/>
          <w:sz w:val="22"/>
          <w:szCs w:val="22"/>
        </w:rPr>
        <w:t xml:space="preserve">Escrow confirmation: Named bank and confirmation letter on Trust page. Specific account type mentioned. [FCCPC Guidelines §4(d) — undertaking to conduct transparent promotion]</w:t>
      </w:r>
    </w:p>
    <w:p>
      <w:pPr>
        <w:pStyle w:val="ListParagraph"/>
        <w:numPr>
          <w:ilvl w:val="0"/>
          <w:numId w:val="2"/>
        </w:numPr>
        <w:spacing w:after="80" w:before="0"/>
      </w:pPr>
      <w:r>
        <w:rPr>
          <w:rFonts w:ascii="Arial" w:cs="Arial" w:eastAsia="Arial" w:hAnsi="Arial"/>
          <w:color w:val="1C1C1C"/>
          <w:sz w:val="22"/>
          <w:szCs w:val="22"/>
        </w:rPr>
        <w:t xml:space="preserve">T&amp;C archive per campaign: Full T&amp;C document as submitted to FCCPC stored permanently. Version-controlled. Each buyer's acceptance linked to the version in effect at time of purchase. [FCCPA 2018 §128 — terms must be accessible before and after purchase]</w:t>
      </w:r>
    </w:p>
    <w:p>
      <w:pPr>
        <w:pStyle w:val="ListParagraph"/>
        <w:numPr>
          <w:ilvl w:val="0"/>
          <w:numId w:val="2"/>
        </w:numPr>
        <w:spacing w:after="80" w:before="0"/>
      </w:pPr>
      <w:r>
        <w:rPr>
          <w:rFonts w:ascii="Arial" w:cs="Arial" w:eastAsia="Arial" w:hAnsi="Arial"/>
          <w:color w:val="1C1C1C"/>
          <w:sz w:val="22"/>
          <w:szCs w:val="22"/>
        </w:rPr>
        <w:t xml:space="preserve">Draw archives: Permanent public page per completed campaign. Includes RNG evidence, video link, witness list, FCCPC monitor name, winning ticket number. [FCCPC draw monitoring obligation]</w:t>
      </w:r>
    </w:p>
    <w:p>
      <w:pPr>
        <w:pStyle w:val="ListParagraph"/>
        <w:numPr>
          <w:ilvl w:val="0"/>
          <w:numId w:val="2"/>
        </w:numPr>
        <w:spacing w:after="80" w:before="0"/>
      </w:pPr>
      <w:r>
        <w:rPr>
          <w:rFonts w:ascii="Arial" w:cs="Arial" w:eastAsia="Arial" w:hAnsi="Arial"/>
          <w:color w:val="1C1C1C"/>
          <w:sz w:val="22"/>
          <w:szCs w:val="22"/>
        </w:rPr>
        <w:t xml:space="preserve">Past Winners with documented handovers: Video evidence of property handover for every completed campaign. [Trust and compliance demonstration for future buyers]</w:t>
      </w:r>
    </w:p>
    <w:p>
      <w:pPr>
        <w:spacing w:after="240" w:before="0"/>
      </w:pPr>
    </w:p>
    <w:p>
      <w:pPr>
        <w:pStyle w:val="Heading2"/>
        <w:spacing w:after="120" w:before="320"/>
      </w:pPr>
      <w:r>
        <w:rPr>
          <w:rFonts w:ascii="Arial" w:cs="Arial" w:eastAsia="Arial" w:hAnsi="Arial"/>
          <w:b/>
          <w:bCs/>
          <w:color w:val="2E6DA4"/>
          <w:sz w:val="28"/>
          <w:szCs w:val="28"/>
        </w:rPr>
        <w:t xml:space="preserve">8.2  NDPR Compliance</w:t>
      </w:r>
    </w:p>
    <w:p>
      <w:pPr>
        <w:pStyle w:val="ListParagraph"/>
        <w:numPr>
          <w:ilvl w:val="0"/>
          <w:numId w:val="2"/>
        </w:numPr>
        <w:spacing w:after="80" w:before="0"/>
      </w:pPr>
      <w:r>
        <w:rPr>
          <w:rFonts w:ascii="Arial" w:cs="Arial" w:eastAsia="Arial" w:hAnsi="Arial"/>
          <w:color w:val="1C1C1C"/>
          <w:sz w:val="22"/>
          <w:szCs w:val="22"/>
        </w:rPr>
        <w:t xml:space="preserve">Privacy Policy: Written in plain language [FCCPA 2018 §114], stating: what data is collected, legal basis for collection, how long retained, who it is shared with, user rights, contact for data requests.</w:t>
      </w:r>
    </w:p>
    <w:p>
      <w:pPr>
        <w:pStyle w:val="ListParagraph"/>
        <w:numPr>
          <w:ilvl w:val="0"/>
          <w:numId w:val="2"/>
        </w:numPr>
        <w:spacing w:after="80" w:before="0"/>
      </w:pPr>
      <w:r>
        <w:rPr>
          <w:rFonts w:ascii="Arial" w:cs="Arial" w:eastAsia="Arial" w:hAnsi="Arial"/>
          <w:color w:val="1C1C1C"/>
          <w:sz w:val="22"/>
          <w:szCs w:val="22"/>
        </w:rPr>
        <w:t xml:space="preserve">Cookie consent: Banner on first visit, no non-essential cookies before consent, consent stored per user.</w:t>
      </w:r>
    </w:p>
    <w:p>
      <w:pPr>
        <w:pStyle w:val="ListParagraph"/>
        <w:numPr>
          <w:ilvl w:val="0"/>
          <w:numId w:val="2"/>
        </w:numPr>
        <w:spacing w:after="80" w:before="0"/>
      </w:pPr>
      <w:r>
        <w:rPr>
          <w:rFonts w:ascii="Arial" w:cs="Arial" w:eastAsia="Arial" w:hAnsi="Arial"/>
          <w:color w:val="1C1C1C"/>
          <w:sz w:val="22"/>
          <w:szCs w:val="22"/>
        </w:rPr>
        <w:t xml:space="preserve">Marketing opt-in: Separate, un-ticked checkbox at registration. Opt-in required before any marketing email, SMS, or WhatsApp is sent. [NDPR — explicit consent for marketing]</w:t>
      </w:r>
    </w:p>
    <w:p>
      <w:pPr>
        <w:pStyle w:val="ListParagraph"/>
        <w:numPr>
          <w:ilvl w:val="0"/>
          <w:numId w:val="2"/>
        </w:numPr>
        <w:spacing w:after="80" w:before="0"/>
      </w:pPr>
      <w:r>
        <w:rPr>
          <w:rFonts w:ascii="Arial" w:cs="Arial" w:eastAsia="Arial" w:hAnsi="Arial"/>
          <w:color w:val="1C1C1C"/>
          <w:sz w:val="22"/>
          <w:szCs w:val="22"/>
        </w:rPr>
        <w:t xml:space="preserve">BVN and NIN encrypted at rest with AES-256. Access logged. Only accessible to admin and winner verification workflow.</w:t>
      </w:r>
    </w:p>
    <w:p>
      <w:pPr>
        <w:pStyle w:val="ListParagraph"/>
        <w:numPr>
          <w:ilvl w:val="0"/>
          <w:numId w:val="2"/>
        </w:numPr>
        <w:spacing w:after="80" w:before="0"/>
      </w:pPr>
      <w:r>
        <w:rPr>
          <w:rFonts w:ascii="Arial" w:cs="Arial" w:eastAsia="Arial" w:hAnsi="Arial"/>
          <w:color w:val="1C1C1C"/>
          <w:sz w:val="22"/>
          <w:szCs w:val="22"/>
        </w:rPr>
        <w:t xml:space="preserve">Data Rights Centre in user portal: Download all data, request deletion, withdraw consent. 30-day response SLA. Requests logged.</w:t>
      </w:r>
    </w:p>
    <w:p>
      <w:pPr>
        <w:pStyle w:val="ListParagraph"/>
        <w:numPr>
          <w:ilvl w:val="0"/>
          <w:numId w:val="2"/>
        </w:numPr>
        <w:spacing w:after="80" w:before="0"/>
      </w:pPr>
      <w:r>
        <w:rPr>
          <w:rFonts w:ascii="Arial" w:cs="Arial" w:eastAsia="Arial" w:hAnsi="Arial"/>
          <w:color w:val="1C1C1C"/>
          <w:sz w:val="22"/>
          <w:szCs w:val="22"/>
        </w:rPr>
        <w:t xml:space="preserve">No user data sold or shared with third parties outside the platform's stated and approved purposes. [NDPR data sharing restriction]</w:t>
      </w:r>
    </w:p>
    <w:p>
      <w:pPr>
        <w:pStyle w:val="ListParagraph"/>
        <w:numPr>
          <w:ilvl w:val="0"/>
          <w:numId w:val="2"/>
        </w:numPr>
        <w:spacing w:after="80" w:before="0"/>
      </w:pPr>
      <w:r>
        <w:rPr>
          <w:rFonts w:ascii="Arial" w:cs="Arial" w:eastAsia="Arial" w:hAnsi="Arial"/>
          <w:color w:val="1C1C1C"/>
          <w:sz w:val="22"/>
          <w:szCs w:val="22"/>
        </w:rPr>
        <w:t xml:space="preserve">Transaction records exempt from deletion requests — legal retention obligation under FCCPA 2018 takes precedence over NDPR deletion right where they conflict. Legal advice required on retention period.</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9. Development Phases — Compliance-First Approach</w:t>
      </w:r>
    </w:p>
    <w:p>
      <w:pPr>
        <w:pBdr>
          <w:bottom w:val="single" w:color="2E6DA4" w:sz="8" w:space="1"/>
        </w:pBd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8"/>
        <w:gridCol w:w="4530"/>
        <w:gridCol w:w="1638"/>
      </w:tblGrid>
      <w:tr>
        <w:tc>
          <w:tcPr>
            <w:tcW w:type="dxa" w:w="1542"/>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Phase</w:t>
            </w:r>
          </w:p>
        </w:tc>
        <w:tc>
          <w:tcPr>
            <w:tcW w:type="dxa" w:w="192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Name</w:t>
            </w:r>
          </w:p>
        </w:tc>
        <w:tc>
          <w:tcPr>
            <w:tcW w:type="dxa" w:w="453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Deliverables — Updated for Compliance</w:t>
            </w:r>
          </w:p>
        </w:tc>
        <w:tc>
          <w:tcPr>
            <w:tcW w:type="dxa" w:w="163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Duration</w:t>
            </w:r>
          </w:p>
        </w:tc>
      </w:tr>
      <w:tr>
        <w:tc>
          <w:tcPr>
            <w:tcW w:type="dxa" w:w="154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0</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Compliance Architecture</w:t>
            </w:r>
          </w:p>
        </w:tc>
        <w:tc>
          <w:tcPr>
            <w:tcW w:type="dxa" w:w="453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NEW PHASE: Regulatory constraint model designed. Database schema includes: FCCPC approval fields (required before campaign publish), T&amp;C version management, FCCPA §118 transaction record schema, permanent document storage, regulatory deadline calendar system. All constraints documented before a line of code is written.</w:t>
            </w:r>
          </w:p>
        </w:tc>
        <w:tc>
          <w:tcPr>
            <w:tcW w:type="dxa" w:w="1638"/>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2 weeks</w:t>
            </w:r>
          </w:p>
        </w:tc>
      </w:tr>
      <w:tr>
        <w:tc>
          <w:tcPr>
            <w:tcW w:type="dxa" w:w="154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1</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Foundation</w:t>
            </w:r>
          </w:p>
        </w:tc>
        <w:tc>
          <w:tcPr>
            <w:tcW w:type="dxa" w:w="453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Domain, hosting, database. Auth system with NDPR-compliant opt-in. Homepage with FCCPC approval display system. Campaign detail page with skill question, T&amp;C compliance, FCCPA §118 transaction records. Paystack integration with server-side API. Email/WhatsApp/SMS confirmations with all §118 fields. Regulatory calendar system (draw notification reminders, post-draw filing reminders).</w:t>
            </w:r>
          </w:p>
        </w:tc>
        <w:tc>
          <w:tcPr>
            <w:tcW w:type="dxa" w:w="1638"/>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4–5 weeks</w:t>
            </w:r>
          </w:p>
        </w:tc>
      </w:tr>
      <w:tr>
        <w:tc>
          <w:tcPr>
            <w:tcW w:type="dxa" w:w="154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2</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Core Platform</w:t>
            </w:r>
          </w:p>
        </w:tc>
        <w:tc>
          <w:tcPr>
            <w:tcW w:type="dxa" w:w="453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All Campaigns page. User Dashboard. My Tickets (FCCPA §118 PDF download). T&amp;C Acceptance Log. Admin Campaign Manager with all regulatory required fields. FCCPC Approval Manager module. Advertising Content Manager with FCCPC statement enforcement. Flutterwave integration. WhatsApp/SMS via approved providers.</w:t>
            </w:r>
          </w:p>
        </w:tc>
        <w:tc>
          <w:tcPr>
            <w:tcW w:type="dxa" w:w="1638"/>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4–5 weeks</w:t>
            </w:r>
          </w:p>
        </w:tc>
      </w:tr>
      <w:tr>
        <w:tc>
          <w:tcPr>
            <w:tcW w:type="dxa" w:w="154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3</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Trust &amp; Draw Systems</w:t>
            </w:r>
          </w:p>
        </w:tc>
        <w:tc>
          <w:tcPr>
            <w:tcW w:type="dxa" w:w="453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Draw Manager with FCCPC notification gate. Post-Draw Compliance module (3-day and 21-day filing workflows). Public Ticket Registry. Draw archive pages. Trust &amp; Legal Centre (all regulatory documents). Regulatory Compliance page. Automatic refund trigger system. Winner verification workflow. Influencer Compliance module. Data Rights Centre (NDPR).</w:t>
            </w:r>
          </w:p>
        </w:tc>
        <w:tc>
          <w:tcPr>
            <w:tcW w:type="dxa" w:w="1638"/>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4 weeks</w:t>
            </w:r>
          </w:p>
        </w:tc>
      </w:tr>
      <w:tr>
        <w:tc>
          <w:tcPr>
            <w:tcW w:type="dxa" w:w="154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4</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Growth &amp; Marketing</w:t>
            </w:r>
          </w:p>
        </w:tc>
        <w:tc>
          <w:tcPr>
            <w:tcW w:type="dxa" w:w="453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Full SEO. Blog/CMS with FCCPC statement required on campaign-related posts. Push notifications. Referral programme with NDPR-compliant opt-in. Social sharing with FCCPC statement in shared content. GA4 and pixels. Embeddable widget with FCCPC statement included.</w:t>
            </w:r>
          </w:p>
        </w:tc>
        <w:tc>
          <w:tcPr>
            <w:tcW w:type="dxa" w:w="1638"/>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3 weeks</w:t>
            </w:r>
          </w:p>
        </w:tc>
      </w:tr>
      <w:tr>
        <w:tc>
          <w:tcPr>
            <w:tcW w:type="dxa" w:w="154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5</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Compliance Audit &amp; Launch</w:t>
            </w:r>
          </w:p>
        </w:tc>
        <w:tc>
          <w:tcPr>
            <w:tcW w:type="dxa" w:w="453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RENAMED from 'Hardening &amp; Launch'. Added: Full FCCPA 2018 compliance audit (T&amp;C terms, transaction records, representation claims). NDPR compliance review. Penetration test. Load testing. Full lifecycle test with real FCCPC approval number in staging. Confirm all regulatory deadlines fire correctly. Legal review of all user-facing text for FCCPA §123 compliance.</w:t>
            </w:r>
          </w:p>
        </w:tc>
        <w:tc>
          <w:tcPr>
            <w:tcW w:type="dxa" w:w="1638"/>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3 weeks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DA4" w:sz="6"/>
              <w:left w:val="single" w:color="2E6DA4" w:sz="14"/>
              <w:bottom w:val="none" w:color="FFFFFF" w:sz="0"/>
              <w:right w:val="none" w:color="FFFFFF" w:sz="0"/>
            </w:tcBorders>
            <w:shd w:fill="F4F9FF" w:val="clear"/>
            <w:tcMar>
              <w:top w:type="dxa" w:w="100"/>
              <w:left w:type="dxa" w:w="200"/>
              <w:bottom w:type="dxa" w:w="100"/>
              <w:right w:type="dxa" w:w="160"/>
            </w:tcMar>
          </w:tcPr>
          <w:p>
            <w:pPr>
              <w:spacing w:after="60"/>
            </w:pPr>
            <w:r>
              <w:rPr>
                <w:rFonts w:ascii="Arial" w:cs="Arial" w:eastAsia="Arial" w:hAnsi="Arial"/>
                <w:b/>
                <w:bCs/>
                <w:color w:val="2E6DA4"/>
                <w:sz w:val="21"/>
                <w:szCs w:val="21"/>
              </w:rPr>
              <w:t xml:space="preserve">Total build time: 20–22 weeks for a fully compliant platform. Phase 0 (Compliance Architecture) is new and adds 2 weeks but prevents costly retrofitting of compliance features later. Phase 1 can be built in parallel after Phase 0 architecture is signed off by a legal reviewer.</w:t>
            </w:r>
          </w:p>
          <w:p>
            <w:pPr>
              <w:spacing w:after="0"/>
            </w:pPr>
            <w:r>
              <w:rPr>
                <w:rFonts w:ascii="Arial" w:cs="Arial" w:eastAsia="Arial" w:hAnsi="Arial"/>
                <w:color w:val="1C1C1C"/>
                <w:sz w:val="20"/>
                <w:szCs w:val="20"/>
              </w:rPr>
              <w:t xml:space="preserve">Note:</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10. Developer Brief — Compliance-Specific Questions</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10.1  Additional Questions for Every Developer — v2.0</w:t>
      </w:r>
    </w:p>
    <w:p>
      <w:pPr>
        <w:pStyle w:val="ListParagraph"/>
        <w:numPr>
          <w:ilvl w:val="0"/>
          <w:numId w:val="3"/>
        </w:numPr>
        <w:spacing w:after="80" w:before="0"/>
      </w:pPr>
      <w:r>
        <w:rPr>
          <w:rFonts w:ascii="Arial" w:cs="Arial" w:eastAsia="Arial" w:hAnsi="Arial"/>
          <w:color w:val="1C1C1C"/>
          <w:sz w:val="22"/>
          <w:szCs w:val="22"/>
        </w:rPr>
        <w:t xml:space="preserve">Have you previously built platforms subject to Nigerian regulatory compliance — FCCPC, CBN, SEC, or similar? What was your approach to embedding regulatory constraints at the database level?</w:t>
      </w:r>
    </w:p>
    <w:p>
      <w:pPr>
        <w:pStyle w:val="ListParagraph"/>
        <w:numPr>
          <w:ilvl w:val="0"/>
          <w:numId w:val="3"/>
        </w:numPr>
        <w:spacing w:after="80" w:before="0"/>
      </w:pPr>
      <w:r>
        <w:rPr>
          <w:rFonts w:ascii="Arial" w:cs="Arial" w:eastAsia="Arial" w:hAnsi="Arial"/>
          <w:color w:val="1C1C1C"/>
          <w:sz w:val="22"/>
          <w:szCs w:val="22"/>
        </w:rPr>
        <w:t xml:space="preserve">How will you implement the FCCPC approval reference as a mandatory system-level gate — not just a form field — so that no campaign can be published without it?</w:t>
      </w:r>
    </w:p>
    <w:p>
      <w:pPr>
        <w:pStyle w:val="ListParagraph"/>
        <w:numPr>
          <w:ilvl w:val="0"/>
          <w:numId w:val="3"/>
        </w:numPr>
        <w:spacing w:after="80" w:before="0"/>
      </w:pPr>
      <w:r>
        <w:rPr>
          <w:rFonts w:ascii="Arial" w:cs="Arial" w:eastAsia="Arial" w:hAnsi="Arial"/>
          <w:color w:val="1C1C1C"/>
          <w:sz w:val="22"/>
          <w:szCs w:val="22"/>
        </w:rPr>
        <w:t xml:space="preserve">How will you build the FCCPA §118 transaction record system so that records are permanent, not deletable, and downloadable as PDFs by users?</w:t>
      </w:r>
    </w:p>
    <w:p>
      <w:pPr>
        <w:pStyle w:val="ListParagraph"/>
        <w:numPr>
          <w:ilvl w:val="0"/>
          <w:numId w:val="3"/>
        </w:numPr>
        <w:spacing w:after="80" w:before="0"/>
      </w:pPr>
      <w:r>
        <w:rPr>
          <w:rFonts w:ascii="Arial" w:cs="Arial" w:eastAsia="Arial" w:hAnsi="Arial"/>
          <w:color w:val="1C1C1C"/>
          <w:sz w:val="22"/>
          <w:szCs w:val="22"/>
        </w:rPr>
        <w:t xml:space="preserve">How will you ensure the FCCPC approval statement appears on every page, email, SMS, and WhatsApp message as a system-generated element — not a manually managed field that could be missed?</w:t>
      </w:r>
    </w:p>
    <w:p>
      <w:pPr>
        <w:pStyle w:val="ListParagraph"/>
        <w:numPr>
          <w:ilvl w:val="0"/>
          <w:numId w:val="3"/>
        </w:numPr>
        <w:spacing w:after="80" w:before="0"/>
      </w:pPr>
      <w:r>
        <w:rPr>
          <w:rFonts w:ascii="Arial" w:cs="Arial" w:eastAsia="Arial" w:hAnsi="Arial"/>
          <w:color w:val="1C1C1C"/>
          <w:sz w:val="22"/>
          <w:szCs w:val="22"/>
        </w:rPr>
        <w:t xml:space="preserve">How will you implement the T&amp;C acceptance system so that: the document is fully readable before the checkbox appears, the checkbox is un-ticked by default, and the acceptance timestamp is stored as a permanent legal record?</w:t>
      </w:r>
    </w:p>
    <w:p>
      <w:pPr>
        <w:pStyle w:val="ListParagraph"/>
        <w:numPr>
          <w:ilvl w:val="0"/>
          <w:numId w:val="3"/>
        </w:numPr>
        <w:spacing w:after="80" w:before="0"/>
      </w:pPr>
      <w:r>
        <w:rPr>
          <w:rFonts w:ascii="Arial" w:cs="Arial" w:eastAsia="Arial" w:hAnsi="Arial"/>
          <w:color w:val="1C1C1C"/>
          <w:sz w:val="22"/>
          <w:szCs w:val="22"/>
        </w:rPr>
        <w:t xml:space="preserve">How will you build the regulatory deadline calendar — draw notification, post-draw winner submission, and End of Promotion Report — so they fire automatically with email/SMS alerts?</w:t>
      </w:r>
    </w:p>
    <w:p>
      <w:pPr>
        <w:pStyle w:val="ListParagraph"/>
        <w:numPr>
          <w:ilvl w:val="0"/>
          <w:numId w:val="3"/>
        </w:numPr>
        <w:spacing w:after="80" w:before="0"/>
      </w:pPr>
      <w:r>
        <w:rPr>
          <w:rFonts w:ascii="Arial" w:cs="Arial" w:eastAsia="Arial" w:hAnsi="Arial"/>
          <w:color w:val="1C1C1C"/>
          <w:sz w:val="22"/>
          <w:szCs w:val="22"/>
        </w:rPr>
        <w:t xml:space="preserve">How will you ensure the 12-month sell-in-time limit is enforced at the database level so the system cannot set a close date beyond the FCCPC approval date plus 12 months?</w:t>
      </w:r>
    </w:p>
    <w:p>
      <w:pPr>
        <w:pStyle w:val="ListParagraph"/>
        <w:numPr>
          <w:ilvl w:val="0"/>
          <w:numId w:val="3"/>
        </w:numPr>
        <w:spacing w:after="80" w:before="0"/>
      </w:pPr>
      <w:r>
        <w:rPr>
          <w:rFonts w:ascii="Arial" w:cs="Arial" w:eastAsia="Arial" w:hAnsi="Arial"/>
          <w:color w:val="1C1C1C"/>
          <w:sz w:val="22"/>
          <w:szCs w:val="22"/>
        </w:rPr>
        <w:t xml:space="preserve">How will you store FCCPC approval documents, NIESV valuation reports, and draw recordings in immutable object storage with deletion disabled?</w:t>
      </w:r>
    </w:p>
    <w:p>
      <w:pPr>
        <w:pStyle w:val="ListParagraph"/>
        <w:numPr>
          <w:ilvl w:val="0"/>
          <w:numId w:val="3"/>
        </w:numPr>
        <w:spacing w:after="80" w:before="0"/>
      </w:pPr>
      <w:r>
        <w:rPr>
          <w:rFonts w:ascii="Arial" w:cs="Arial" w:eastAsia="Arial" w:hAnsi="Arial"/>
          <w:color w:val="1C1C1C"/>
          <w:sz w:val="22"/>
          <w:szCs w:val="22"/>
        </w:rPr>
        <w:t xml:space="preserve">How will you implement BVN and NIN field encryption at rest?</w:t>
      </w:r>
    </w:p>
    <w:p>
      <w:pPr>
        <w:pStyle w:val="ListParagraph"/>
        <w:numPr>
          <w:ilvl w:val="0"/>
          <w:numId w:val="3"/>
        </w:numPr>
        <w:spacing w:after="80" w:before="0"/>
      </w:pPr>
      <w:r>
        <w:rPr>
          <w:rFonts w:ascii="Arial" w:cs="Arial" w:eastAsia="Arial" w:hAnsi="Arial"/>
          <w:color w:val="1C1C1C"/>
          <w:sz w:val="22"/>
          <w:szCs w:val="22"/>
        </w:rPr>
        <w:t xml:space="preserve">How will you implement the Data Rights Centre for NDPR compliance — data download, deletion requests, and consent management?</w:t>
      </w:r>
    </w:p>
    <w:p>
      <w:pPr>
        <w:spacing w:after="160" w:before="0"/>
      </w:pPr>
    </w:p>
    <w:p>
      <w:pPr>
        <w:pStyle w:val="Heading2"/>
        <w:spacing w:after="120" w:before="320"/>
      </w:pPr>
      <w:r>
        <w:rPr>
          <w:rFonts w:ascii="Arial" w:cs="Arial" w:eastAsia="Arial" w:hAnsi="Arial"/>
          <w:b/>
          <w:bCs/>
          <w:color w:val="2E6DA4"/>
          <w:sz w:val="28"/>
          <w:szCs w:val="28"/>
        </w:rPr>
        <w:t xml:space="preserve">10.2  What the Developer Must Deliver — v2.0</w:t>
      </w:r>
    </w:p>
    <w:p>
      <w:pPr>
        <w:pStyle w:val="ListParagraph"/>
        <w:numPr>
          <w:ilvl w:val="0"/>
          <w:numId w:val="2"/>
        </w:numPr>
        <w:spacing w:after="80" w:before="0"/>
      </w:pPr>
      <w:r>
        <w:rPr>
          <w:rFonts w:ascii="Arial" w:cs="Arial" w:eastAsia="Arial" w:hAnsi="Arial"/>
          <w:color w:val="1C1C1C"/>
          <w:sz w:val="22"/>
          <w:szCs w:val="22"/>
        </w:rPr>
        <w:t xml:space="preserve">Full source code in private Git repository — owner has admin access from day one</w:t>
      </w:r>
    </w:p>
    <w:p>
      <w:pPr>
        <w:pStyle w:val="ListParagraph"/>
        <w:numPr>
          <w:ilvl w:val="0"/>
          <w:numId w:val="2"/>
        </w:numPr>
        <w:spacing w:after="80" w:before="0"/>
      </w:pPr>
      <w:r>
        <w:rPr>
          <w:rFonts w:ascii="Arial" w:cs="Arial" w:eastAsia="Arial" w:hAnsi="Arial"/>
          <w:color w:val="1C1C1C"/>
          <w:sz w:val="22"/>
          <w:szCs w:val="22"/>
        </w:rPr>
        <w:t xml:space="preserve">Compliance Architecture Document: written specification of how each regulatory constraint is implemented at the code/database level, referencing the specific regulatory basis for each</w:t>
      </w:r>
    </w:p>
    <w:p>
      <w:pPr>
        <w:pStyle w:val="ListParagraph"/>
        <w:numPr>
          <w:ilvl w:val="0"/>
          <w:numId w:val="2"/>
        </w:numPr>
        <w:spacing w:after="80" w:before="0"/>
      </w:pPr>
      <w:r>
        <w:rPr>
          <w:rFonts w:ascii="Arial" w:cs="Arial" w:eastAsia="Arial" w:hAnsi="Arial"/>
          <w:color w:val="1C1C1C"/>
          <w:sz w:val="22"/>
          <w:szCs w:val="22"/>
        </w:rPr>
        <w:t xml:space="preserve">Staging environment pre-loaded with a test FCCPC approval number, test campaign, and test transaction — demonstrating the full lifecycle from campaign creation to draw completion to Form CPC B</w:t>
      </w:r>
    </w:p>
    <w:p>
      <w:pPr>
        <w:pStyle w:val="ListParagraph"/>
        <w:numPr>
          <w:ilvl w:val="0"/>
          <w:numId w:val="2"/>
        </w:numPr>
        <w:spacing w:after="80" w:before="0"/>
      </w:pPr>
      <w:r>
        <w:rPr>
          <w:rFonts w:ascii="Arial" w:cs="Arial" w:eastAsia="Arial" w:hAnsi="Arial"/>
          <w:color w:val="1C1C1C"/>
          <w:sz w:val="22"/>
          <w:szCs w:val="22"/>
        </w:rPr>
        <w:t xml:space="preserve">All FCCPA §118 transaction record templates tested with real sample data and verified for completeness</w:t>
      </w:r>
    </w:p>
    <w:p>
      <w:pPr>
        <w:pStyle w:val="ListParagraph"/>
        <w:numPr>
          <w:ilvl w:val="0"/>
          <w:numId w:val="2"/>
        </w:numPr>
        <w:spacing w:after="80" w:before="0"/>
      </w:pPr>
      <w:r>
        <w:rPr>
          <w:rFonts w:ascii="Arial" w:cs="Arial" w:eastAsia="Arial" w:hAnsi="Arial"/>
          <w:color w:val="1C1C1C"/>
          <w:sz w:val="22"/>
          <w:szCs w:val="22"/>
        </w:rPr>
        <w:t xml:space="preserve">Regulatory Calendar tested: confirm all deadline alerts fire at correct intervals</w:t>
      </w:r>
    </w:p>
    <w:p>
      <w:pPr>
        <w:pStyle w:val="ListParagraph"/>
        <w:numPr>
          <w:ilvl w:val="0"/>
          <w:numId w:val="2"/>
        </w:numPr>
        <w:spacing w:after="80" w:before="0"/>
      </w:pPr>
      <w:r>
        <w:rPr>
          <w:rFonts w:ascii="Arial" w:cs="Arial" w:eastAsia="Arial" w:hAnsi="Arial"/>
          <w:color w:val="1C1C1C"/>
          <w:sz w:val="22"/>
          <w:szCs w:val="22"/>
        </w:rPr>
        <w:t xml:space="preserve">NDPR compliance documentation: what data is stored, where, for how long, and how deletion requests are processed</w:t>
      </w:r>
    </w:p>
    <w:p>
      <w:pPr>
        <w:pStyle w:val="ListParagraph"/>
        <w:numPr>
          <w:ilvl w:val="0"/>
          <w:numId w:val="2"/>
        </w:numPr>
        <w:spacing w:after="80" w:before="0"/>
      </w:pPr>
      <w:r>
        <w:rPr>
          <w:rFonts w:ascii="Arial" w:cs="Arial" w:eastAsia="Arial" w:hAnsi="Arial"/>
          <w:color w:val="1C1C1C"/>
          <w:sz w:val="22"/>
          <w:szCs w:val="22"/>
        </w:rPr>
        <w:t xml:space="preserve">Security audit report before launch</w:t>
      </w:r>
    </w:p>
    <w:p>
      <w:pPr>
        <w:pStyle w:val="ListParagraph"/>
        <w:numPr>
          <w:ilvl w:val="0"/>
          <w:numId w:val="2"/>
        </w:numPr>
        <w:spacing w:after="80" w:before="0"/>
      </w:pPr>
      <w:r>
        <w:rPr>
          <w:rFonts w:ascii="Arial" w:cs="Arial" w:eastAsia="Arial" w:hAnsi="Arial"/>
          <w:color w:val="1C1C1C"/>
          <w:sz w:val="22"/>
          <w:szCs w:val="22"/>
        </w:rPr>
        <w:t xml:space="preserve">Training session covering: admin panel operation, how to create a regulation-compliant campaign, how to run a draw correctly, how to file post-draw FCCPC submissions</w:t>
      </w:r>
    </w:p>
    <w:p>
      <w:pPr>
        <w:spacing w:after="160" w:before="0"/>
      </w:pPr>
    </w:p>
    <w:p>
      <w:pPr>
        <w:pStyle w:val="Heading2"/>
        <w:spacing w:after="120" w:before="320"/>
      </w:pPr>
      <w:r>
        <w:rPr>
          <w:rFonts w:ascii="Arial" w:cs="Arial" w:eastAsia="Arial" w:hAnsi="Arial"/>
          <w:b/>
          <w:bCs/>
          <w:color w:val="2E6DA4"/>
          <w:sz w:val="28"/>
          <w:szCs w:val="28"/>
        </w:rPr>
        <w:t xml:space="preserve">10.3  Revised Budget Guidance — Compliance Additions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1"/>
      </w:tblGrid>
      <w:tr>
        <w:tc>
          <w:tcPr>
            <w:tcW w:type="dxa" w:w="3855"/>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Scope</w:t>
            </w:r>
          </w:p>
        </w:tc>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Developer Type</w:t>
            </w:r>
          </w:p>
        </w:tc>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Estimated Budget</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0–2 MVP with compliance (min viable for first campaign)</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Freelancer — Nigerian market</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NGN 700,000 – 1,500,000</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0–2 MVP with compliance</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Freelancer — international</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USD 4,000 – 9,000</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Full platform Phases 0–5 with compliance audit</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Nigerian agency or small team</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NGN 2,500,000 – 6,500,000</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Full platform Phases 0–5</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International agency</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USD 18,000 – 40,000</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Monthly hosting + maintenance</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Cloud infrastructure</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NGN 80,000 – 250,000/month</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Legal review of platform for FCCPA compliance (recommended)</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Nigerian lawyer specialising in consumer protection law</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NGN 200,000 – 500,000 one-off</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11. Campaign Economics &amp; Profit Calculator</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Every campaign on the platform must be financially modelled before it is submitted for FCCPC approval. The ticket price, total ticket cap, and minimum threshold are not arbitrary marketing decisions — they are regulatory declarations made on the FCCPC application form (Form CPC A) and must be calculated with precision. This section specifies the Campaign Economics Calculator feature and the exact calculation methodology it must implement.</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14"/>
              <w:bottom w:val="none" w:color="FFFFFF" w:sz="0"/>
              <w:right w:val="none" w:color="FFFFFF" w:sz="0"/>
            </w:tcBorders>
            <w:shd w:fill="FEE8E8" w:val="clear"/>
            <w:tcMar>
              <w:top w:type="dxa" w:w="100"/>
              <w:left w:type="dxa" w:w="200"/>
              <w:bottom w:type="dxa" w:w="100"/>
              <w:right w:type="dxa" w:w="160"/>
            </w:tcMar>
          </w:tcPr>
          <w:p>
            <w:pPr>
              <w:spacing w:after="60"/>
            </w:pPr>
            <w:r>
              <w:rPr>
                <w:rFonts w:ascii="Arial" w:cs="Arial" w:eastAsia="Arial" w:hAnsi="Arial"/>
                <w:b/>
                <w:bCs/>
                <w:color w:val="C0392B"/>
                <w:sz w:val="21"/>
                <w:szCs w:val="21"/>
              </w:rPr>
              <w:t xml:space="preserve">Why This Calculation Must Be Built Into the Admin Panel</w:t>
            </w:r>
          </w:p>
          <w:p>
            <w:pPr>
              <w:spacing w:after="0"/>
            </w:pPr>
            <w:r>
              <w:rPr>
                <w:rFonts w:ascii="Arial" w:cs="Arial" w:eastAsia="Arial" w:hAnsi="Arial"/>
                <w:color w:val="1C1C1C"/>
                <w:sz w:val="20"/>
                <w:szCs w:val="20"/>
              </w:rPr>
              <w:t xml:space="preserve">The ticket price, total ticket cap, winning odds, and minimum threshold are all fields on FCCPC Form CPC A. Once submitted and approved, these numbers cannot be changed without the FCCPC's prior written consent. Getting them wrong at application stage — either underpricing tickets (not enough revenue to cover costs) or setting the minimum threshold below break-even — is a serious operational and legal error. The calculator eliminates this risk by computing all figures from first principles before any application is filed.</w:t>
            </w:r>
          </w:p>
        </w:tc>
      </w:tr>
    </w:tbl>
    <w:p>
      <w:pPr>
        <w:spacing w:after="200" w:before="0"/>
      </w:pPr>
    </w:p>
    <w:p>
      <w:pPr>
        <w:pStyle w:val="Heading2"/>
        <w:spacing w:after="120" w:before="320"/>
      </w:pPr>
      <w:r>
        <w:rPr>
          <w:rFonts w:ascii="Arial" w:cs="Arial" w:eastAsia="Arial" w:hAnsi="Arial"/>
          <w:b/>
          <w:bCs/>
          <w:color w:val="2E6DA4"/>
          <w:sz w:val="28"/>
          <w:szCs w:val="28"/>
        </w:rPr>
        <w:t xml:space="preserve">11.1  How the Calculator Works — Calculation Methodology</w:t>
      </w:r>
    </w:p>
    <w:p>
      <w:pPr>
        <w:spacing w:after="120" w:before="0"/>
      </w:pPr>
      <w:r>
        <w:rPr>
          <w:rFonts w:ascii="Arial" w:cs="Arial" w:eastAsia="Arial" w:hAnsi="Arial"/>
          <w:color w:val="1C1C1C"/>
          <w:sz w:val="22"/>
          <w:szCs w:val="22"/>
        </w:rPr>
        <w:t xml:space="preserve">The calculator takes the property's NIESV-verified market value as the primary input and works backwards to determine the minimum gross revenue the campaign must generate. It then recommends ticket price, total ticket count, and minimum threshold to achieve that revenue while targeting a specified owner profit. Every cost line is grounded in a specific regulatory or operational source.</w:t>
      </w:r>
    </w:p>
    <w:p>
      <w:pPr>
        <w:spacing w:after="120" w:before="0"/>
      </w:pPr>
    </w:p>
    <w:p>
      <w:pPr>
        <w:pStyle w:val="Heading3"/>
        <w:spacing w:after="80" w:before="200"/>
      </w:pPr>
      <w:r>
        <w:rPr>
          <w:rFonts w:ascii="Arial" w:cs="Arial" w:eastAsia="Arial" w:hAnsi="Arial"/>
          <w:b/>
          <w:bCs/>
          <w:color w:val="1A3557"/>
          <w:sz w:val="24"/>
          <w:szCs w:val="24"/>
        </w:rPr>
        <w:t xml:space="preserve">Step 1 — Calculate All Fixed Costs</w:t>
      </w:r>
    </w:p>
    <w:p>
      <w:pPr>
        <w:spacing w:after="120" w:before="0"/>
      </w:pPr>
      <w:r>
        <w:rPr>
          <w:rFonts w:ascii="Arial" w:cs="Arial" w:eastAsia="Arial" w:hAnsi="Arial"/>
          <w:color w:val="1C1C1C"/>
          <w:sz w:val="22"/>
          <w:szCs w:val="22"/>
        </w:rPr>
        <w:t xml:space="preserve">Fixed costs do not depend on revenue. They are incurred regardless of how many tickets sell and must be covered even if only the minimum threshold of tickets is sold.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410"/>
        <w:gridCol w:w="3566"/>
      </w:tblGrid>
      <w:tr>
        <w:tc>
          <w:tcPr>
            <w:tcW w:type="dxa" w:w="3662"/>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Fixed Cost Item</w:t>
            </w:r>
          </w:p>
        </w:tc>
        <w:tc>
          <w:tcPr>
            <w:tcW w:type="dxa" w:w="241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Regulatory Source</w:t>
            </w:r>
          </w:p>
        </w:tc>
        <w:tc>
          <w:tcPr>
            <w:tcW w:type="dxa" w:w="3566"/>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Calculation Basis</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Monitoring Fee</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Schedule 3</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Tiered % of property value: 5.2% (₦50M–₦99.9M), 4.5% (₦100M–₦499.9M), 3.0% (above ₦500M). See full tier table in 11.2</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Application Fee</w:t>
            </w:r>
          </w:p>
        </w:tc>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Schedule 3</w:t>
            </w:r>
          </w:p>
        </w:tc>
        <w:tc>
          <w:tcPr>
            <w:tcW w:type="dxa" w:w="356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Fixed per tier: ₦25,000–₦250,000 depending on property value</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Draw Attendance Fee</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Schedule 3</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₦25,000 per draw</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LSLGA Application Fee</w:t>
            </w:r>
          </w:p>
        </w:tc>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LSLGA Guidelines §3(i)</w:t>
            </w:r>
          </w:p>
        </w:tc>
        <w:tc>
          <w:tcPr>
            <w:tcW w:type="dxa" w:w="356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₦50,000 — Lagos campaigns only</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LSLGA Licence Fee</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LSLGA Guidelines §3(ii)</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₦500,000 — Lagos campaigns only</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LSLGA Lottery Levy</w:t>
            </w:r>
          </w:p>
        </w:tc>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LSLGA Guidelines §3(iii)</w:t>
            </w:r>
          </w:p>
        </w:tc>
        <w:tc>
          <w:tcPr>
            <w:tcW w:type="dxa" w:w="356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₦25,000 per draw interval — Lagos only</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Legal Fees</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Compliance requirement</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₦500,000 (lawyer + notary + T&amp;Cs + title transfer)</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NIESV Valuation Report</w:t>
            </w:r>
          </w:p>
        </w:tc>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§123(1)(d)</w:t>
            </w:r>
          </w:p>
        </w:tc>
        <w:tc>
          <w:tcPr>
            <w:tcW w:type="dxa" w:w="356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0.2% of property value, capped at ₦200,000, floored at ₦50,000</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Property Photography + Video</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§4 — prize evidence</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₦200,000 fixed estimate</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Draw Event + Video Crew</w:t>
            </w:r>
          </w:p>
        </w:tc>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FCCPC monitored draw</w:t>
            </w:r>
          </w:p>
        </w:tc>
        <w:tc>
          <w:tcPr>
            <w:tcW w:type="dxa" w:w="356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₦300,000 fixed estimate</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SMS/Email Communications</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§118</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₦100,000 fixed estimate</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Tax Consultation (FIRS)</w:t>
            </w:r>
          </w:p>
        </w:tc>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FIRS compliance</w:t>
            </w:r>
          </w:p>
        </w:tc>
        <w:tc>
          <w:tcPr>
            <w:tcW w:type="dxa" w:w="356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₦150,000 fixed estimate</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Website Development</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Operational</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₦150,000 fixed estimate</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Contingency Reserve</w:t>
            </w:r>
          </w:p>
        </w:tc>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Operational</w:t>
            </w:r>
          </w:p>
        </w:tc>
        <w:tc>
          <w:tcPr>
            <w:tcW w:type="dxa" w:w="356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₦500,000 fixed</w:t>
            </w:r>
          </w:p>
        </w:tc>
      </w:tr>
    </w:tbl>
    <w:p>
      <w:pPr>
        <w:spacing w:after="200" w:before="0"/>
      </w:pPr>
    </w:p>
    <w:p>
      <w:pPr>
        <w:pStyle w:val="Heading3"/>
        <w:spacing w:after="80" w:before="200"/>
      </w:pPr>
      <w:r>
        <w:rPr>
          <w:rFonts w:ascii="Arial" w:cs="Arial" w:eastAsia="Arial" w:hAnsi="Arial"/>
          <w:b/>
          <w:bCs/>
          <w:color w:val="1A3557"/>
          <w:sz w:val="24"/>
          <w:szCs w:val="24"/>
        </w:rPr>
        <w:t xml:space="preserve">Step 2 — Calculate Variable Costs (% of Gross Revenue)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410"/>
        <w:gridCol w:w="3566"/>
      </w:tblGrid>
      <w:tr>
        <w:tc>
          <w:tcPr>
            <w:tcW w:type="dxa" w:w="3662"/>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Variable Cost</w:t>
            </w:r>
          </w:p>
        </w:tc>
        <w:tc>
          <w:tcPr>
            <w:tcW w:type="dxa" w:w="241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Regulatory Note</w:t>
            </w:r>
          </w:p>
        </w:tc>
        <w:tc>
          <w:tcPr>
            <w:tcW w:type="dxa" w:w="3566"/>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Default Rate (adjustable)</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Payment Gateway Fees</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Operational</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2% of gross revenue (Paystack/Flutterwave combined)</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Marketing Budget</w:t>
            </w:r>
          </w:p>
        </w:tc>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Operational</w:t>
            </w:r>
          </w:p>
        </w:tc>
        <w:tc>
          <w:tcPr>
            <w:tcW w:type="dxa" w:w="356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Default 12% of gross. Adjustable 5%–25% by owner</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Referral Commissions</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FCCPA 2018 §123 — must honour stated promises</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Default 4% of gross. Adjustable 0%–10% by owner</w:t>
            </w:r>
          </w:p>
        </w:tc>
      </w:tr>
      <w:tr>
        <w:tc>
          <w:tcPr>
            <w:tcW w:type="dxa" w:w="3662"/>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Good Causes Fund (if Lagos, gross basis)</w:t>
            </w:r>
          </w:p>
        </w:tc>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LSLGA Guidelines — basis to be confirmed</w:t>
            </w:r>
          </w:p>
        </w:tc>
        <w:tc>
          <w:tcPr>
            <w:tcW w:type="dxa" w:w="356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Up to 80% of gross if worst-case applies. Requires legal opinion.</w:t>
            </w:r>
          </w:p>
        </w:tc>
      </w:tr>
      <w:tr>
        <w:tc>
          <w:tcPr>
            <w:tcW w:type="dxa" w:w="3662"/>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FIRS Income Tax on Profit</w:t>
            </w:r>
          </w:p>
        </w:tc>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FIRS — rate to be confirmed by tax advisor</w:t>
            </w:r>
          </w:p>
        </w:tc>
        <w:tc>
          <w:tcPr>
            <w:tcW w:type="dxa" w:w="356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0% default (enter rate from tax consultation). Applied to profit.</w:t>
            </w:r>
          </w:p>
        </w:tc>
      </w:tr>
    </w:tbl>
    <w:p>
      <w:pPr>
        <w:spacing w:after="200" w:before="0"/>
      </w:pPr>
    </w:p>
    <w:p>
      <w:pPr>
        <w:pStyle w:val="Heading3"/>
        <w:spacing w:after="80" w:before="200"/>
      </w:pPr>
      <w:r>
        <w:rPr>
          <w:rFonts w:ascii="Arial" w:cs="Arial" w:eastAsia="Arial" w:hAnsi="Arial"/>
          <w:b/>
          <w:bCs/>
          <w:color w:val="1A3557"/>
          <w:sz w:val="24"/>
          <w:szCs w:val="24"/>
        </w:rPr>
        <w:t xml:space="preserve">Step 3 — Solve for Minimum Gross Revenue</w:t>
      </w:r>
    </w:p>
    <w:p>
      <w:pPr>
        <w:spacing w:after="120" w:before="0"/>
      </w:pPr>
      <w:r>
        <w:rPr>
          <w:rFonts w:ascii="Arial" w:cs="Arial" w:eastAsia="Arial" w:hAnsi="Arial"/>
          <w:color w:val="1C1C1C"/>
          <w:sz w:val="22"/>
          <w:szCs w:val="22"/>
        </w:rPr>
        <w:t xml:space="preserve">Using the formula:</w:t>
      </w:r>
    </w:p>
    <w:p>
      <w:pPr>
        <w:spacing w:after="80" w:before="80"/>
        <w:ind w:left="360"/>
      </w:pPr>
      <w:r>
        <w:rPr>
          <w:rFonts w:ascii="Courier New" w:cs="Courier New" w:eastAsia="Courier New" w:hAnsi="Courier New"/>
          <w:b/>
          <w:bCs/>
          <w:color w:val="1A3557"/>
          <w:sz w:val="22"/>
          <w:szCs w:val="22"/>
        </w:rPr>
        <w:t xml:space="preserve">Gross Revenue = Fixed Costs ÷ (1 − Variable Cost % − Profit Target % − Tax % on Profit)</w:t>
      </w:r>
    </w:p>
    <w:p>
      <w:pPr>
        <w:spacing w:after="120" w:before="0"/>
      </w:pPr>
      <w:r>
        <w:rPr>
          <w:rFonts w:ascii="Arial" w:cs="Arial" w:eastAsia="Arial" w:hAnsi="Arial"/>
          <w:color w:val="1C1C1C"/>
          <w:sz w:val="22"/>
          <w:szCs w:val="22"/>
        </w:rPr>
        <w:t xml:space="preserve">This algebraically solves for the gross revenue needed to cover all fixed costs, all variable costs, all taxes, and still achieve the owner's target profit percentage. If the Good Causes Fund applies on a gross basis, its rate is added to the denominator, which significantly increases the gross revenue required.</w:t>
      </w:r>
    </w:p>
    <w:p>
      <w:pPr>
        <w:spacing w:after="160" w:before="0"/>
      </w:pPr>
    </w:p>
    <w:p>
      <w:pPr>
        <w:pStyle w:val="Heading3"/>
        <w:spacing w:after="80" w:before="200"/>
      </w:pPr>
      <w:r>
        <w:rPr>
          <w:rFonts w:ascii="Arial" w:cs="Arial" w:eastAsia="Arial" w:hAnsi="Arial"/>
          <w:b/>
          <w:bCs/>
          <w:color w:val="1A3557"/>
          <w:sz w:val="24"/>
          <w:szCs w:val="24"/>
        </w:rPr>
        <w:t xml:space="preserve">Step 4 — Derive Ticket Price, Total Tickets, and Minimum Threshold</w:t>
      </w:r>
    </w:p>
    <w:p>
      <w:pPr>
        <w:pStyle w:val="ListParagraph"/>
        <w:numPr>
          <w:ilvl w:val="0"/>
          <w:numId w:val="2"/>
        </w:numPr>
        <w:spacing w:after="80" w:before="0"/>
      </w:pPr>
      <w:r>
        <w:rPr>
          <w:rFonts w:ascii="Arial" w:cs="Arial" w:eastAsia="Arial" w:hAnsi="Arial"/>
          <w:color w:val="1C1C1C"/>
          <w:sz w:val="22"/>
          <w:szCs w:val="22"/>
        </w:rPr>
        <w:t xml:space="preserve">Recommended Ticket Price: Divide gross revenue needed by a target of 25,000 tickets (the sweet spot for Nigerian market reach and campaign feasibility). Round UP to the nearest ₦500.</w:t>
      </w:r>
    </w:p>
    <w:p>
      <w:pPr>
        <w:pStyle w:val="ListParagraph"/>
        <w:numPr>
          <w:ilvl w:val="0"/>
          <w:numId w:val="2"/>
        </w:numPr>
        <w:spacing w:after="80" w:before="0"/>
      </w:pPr>
      <w:r>
        <w:rPr>
          <w:rFonts w:ascii="Arial" w:cs="Arial" w:eastAsia="Arial" w:hAnsi="Arial"/>
          <w:color w:val="1C1C1C"/>
          <w:sz w:val="22"/>
          <w:szCs w:val="22"/>
        </w:rPr>
        <w:t xml:space="preserve">Total Ticket Cap: Divide gross revenue needed by the recommended ticket price. Round UP to the nearest 1,000. This is the hard cap entered on Form CPC A.</w:t>
      </w:r>
    </w:p>
    <w:p>
      <w:pPr>
        <w:pStyle w:val="ListParagraph"/>
        <w:numPr>
          <w:ilvl w:val="0"/>
          <w:numId w:val="2"/>
        </w:numPr>
        <w:spacing w:after="80" w:before="0"/>
      </w:pPr>
      <w:r>
        <w:rPr>
          <w:rFonts w:ascii="Arial" w:cs="Arial" w:eastAsia="Arial" w:hAnsi="Arial"/>
          <w:color w:val="1C1C1C"/>
          <w:sz w:val="22"/>
          <w:szCs w:val="22"/>
        </w:rPr>
        <w:t xml:space="preserve">Minimum Threshold: Multiply total ticket cap by the owner's chosen threshold percentage (default 80%). Round to nearest 100. If minimum threshold sells, refunds are NOT triggered. This figure must exceed the break-even ticket count (see Step 5).</w:t>
      </w:r>
    </w:p>
    <w:p>
      <w:pPr>
        <w:pStyle w:val="ListParagraph"/>
        <w:numPr>
          <w:ilvl w:val="0"/>
          <w:numId w:val="2"/>
        </w:numPr>
        <w:spacing w:after="80" w:before="0"/>
      </w:pPr>
      <w:r>
        <w:rPr>
          <w:rFonts w:ascii="Arial" w:cs="Arial" w:eastAsia="Arial" w:hAnsi="Arial"/>
          <w:color w:val="1C1C1C"/>
          <w:sz w:val="22"/>
          <w:szCs w:val="22"/>
        </w:rPr>
        <w:t xml:space="preserve">Winning Odds: Expressed as '1 in [Total Tickets]'. This ratio is entered on FCCPC Form CPC A as the odds of winning.</w:t>
      </w:r>
    </w:p>
    <w:p>
      <w:pPr>
        <w:spacing w:after="160" w:before="0"/>
      </w:pPr>
    </w:p>
    <w:p>
      <w:pPr>
        <w:pStyle w:val="Heading3"/>
        <w:spacing w:after="80" w:before="200"/>
      </w:pPr>
      <w:r>
        <w:rPr>
          <w:rFonts w:ascii="Arial" w:cs="Arial" w:eastAsia="Arial" w:hAnsi="Arial"/>
          <w:b/>
          <w:bCs/>
          <w:color w:val="1A3557"/>
          <w:sz w:val="24"/>
          <w:szCs w:val="24"/>
        </w:rPr>
        <w:t xml:space="preserve">Step 5 — Break-Even Validation</w:t>
      </w:r>
    </w:p>
    <w:p>
      <w:pPr>
        <w:spacing w:after="120" w:before="0"/>
      </w:pPr>
      <w:r>
        <w:rPr>
          <w:rFonts w:ascii="Arial" w:cs="Arial" w:eastAsia="Arial" w:hAnsi="Arial"/>
          <w:color w:val="1C1C1C"/>
          <w:sz w:val="22"/>
          <w:szCs w:val="22"/>
        </w:rPr>
        <w:t xml:space="preserve">The calculator always computes the break-even ticket count — the number of tickets that must sell at minimum to cover all fixed costs with zero profit. This figure is compared against the minimum threshold:</w:t>
      </w:r>
    </w:p>
    <w:p>
      <w:pPr>
        <w:pStyle w:val="ListParagraph"/>
        <w:numPr>
          <w:ilvl w:val="0"/>
          <w:numId w:val="2"/>
        </w:numPr>
        <w:spacing w:after="80" w:before="0"/>
      </w:pPr>
      <w:r>
        <w:rPr>
          <w:rFonts w:ascii="Arial" w:cs="Arial" w:eastAsia="Arial" w:hAnsi="Arial"/>
          <w:color w:val="1C1C1C"/>
          <w:sz w:val="22"/>
          <w:szCs w:val="22"/>
        </w:rPr>
        <w:t xml:space="preserve">If Minimum Threshold &gt; Break-Even: safe. The campaign covers all fixed costs even if it only reaches the threshold.</w:t>
      </w:r>
    </w:p>
    <w:p>
      <w:pPr>
        <w:pStyle w:val="ListParagraph"/>
        <w:numPr>
          <w:ilvl w:val="0"/>
          <w:numId w:val="2"/>
        </w:numPr>
        <w:spacing w:after="80" w:before="0"/>
      </w:pPr>
      <w:r>
        <w:rPr>
          <w:rFonts w:ascii="Arial" w:cs="Arial" w:eastAsia="Arial" w:hAnsi="Arial"/>
          <w:color w:val="1C1C1C"/>
          <w:sz w:val="22"/>
          <w:szCs w:val="22"/>
        </w:rPr>
        <w:t xml:space="preserve">If Minimum Threshold &lt; Break-Even: dangerous. The platform must alert the owner and require the threshold to be raised above break-even before the campaign can be submitted.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35400" w:sz="6"/>
              <w:left w:val="single" w:color="D35400" w:sz="14"/>
              <w:bottom w:val="none" w:color="FFFFFF" w:sz="0"/>
              <w:right w:val="none" w:color="FFFFFF" w:sz="0"/>
            </w:tcBorders>
            <w:shd w:fill="FEF5EC" w:val="clear"/>
            <w:tcMar>
              <w:top w:type="dxa" w:w="100"/>
              <w:left w:type="dxa" w:w="200"/>
              <w:bottom w:type="dxa" w:w="100"/>
              <w:right w:type="dxa" w:w="160"/>
            </w:tcMar>
          </w:tcPr>
          <w:p>
            <w:pPr>
              <w:spacing w:after="60"/>
            </w:pPr>
            <w:r>
              <w:rPr>
                <w:rFonts w:ascii="Arial" w:cs="Arial" w:eastAsia="Arial" w:hAnsi="Arial"/>
                <w:b/>
                <w:bCs/>
                <w:color w:val="D35400"/>
                <w:sz w:val="21"/>
                <w:szCs w:val="21"/>
              </w:rPr>
              <w:t xml:space="preserve">This validation is a mandatory system gate</w:t>
            </w:r>
          </w:p>
          <w:p>
            <w:pPr>
              <w:spacing w:after="0"/>
            </w:pPr>
            <w:r>
              <w:rPr>
                <w:rFonts w:ascii="Arial" w:cs="Arial" w:eastAsia="Arial" w:hAnsi="Arial"/>
                <w:color w:val="1C1C1C"/>
                <w:sz w:val="20"/>
                <w:szCs w:val="20"/>
              </w:rPr>
              <w:t xml:space="preserve">The admin panel must prevent a campaign from being submitted to FCCPC approval if the minimum threshold is below the calculated break-even point. Allowing a campaign where the threshold is below break-even means the owner could incur regulatory and operational costs that exceed revenues if only the minimum sells — a serious financial and reputational risk.</w:t>
            </w:r>
          </w:p>
        </w:tc>
      </w:tr>
    </w:tbl>
    <w:p>
      <w:pPr>
        <w:spacing w:after="240" w:before="0"/>
      </w:pPr>
    </w:p>
    <w:p>
      <w:pPr>
        <w:pStyle w:val="Heading2"/>
        <w:spacing w:after="120" w:before="320"/>
      </w:pPr>
      <w:r>
        <w:rPr>
          <w:rFonts w:ascii="Arial" w:cs="Arial" w:eastAsia="Arial" w:hAnsi="Arial"/>
          <w:b/>
          <w:bCs/>
          <w:color w:val="2E6DA4"/>
          <w:sz w:val="28"/>
          <w:szCs w:val="28"/>
        </w:rPr>
        <w:t xml:space="preserve">11.2  FCCPC Fee Tier Table (Full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446"/>
        <w:gridCol w:w="1446"/>
        <w:gridCol w:w="1928"/>
        <w:gridCol w:w="1928"/>
      </w:tblGrid>
      <w:tr>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Property Value (Prize)</w:t>
            </w:r>
          </w:p>
        </w:tc>
        <w:tc>
          <w:tcPr>
            <w:tcW w:type="dxa" w:w="1446"/>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Rate</w:t>
            </w:r>
          </w:p>
        </w:tc>
        <w:tc>
          <w:tcPr>
            <w:tcW w:type="dxa" w:w="1446"/>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App. Fee</w:t>
            </w:r>
          </w:p>
        </w:tc>
        <w:tc>
          <w:tcPr>
            <w:tcW w:type="dxa" w:w="192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Example: ₦50M Property</w:t>
            </w:r>
          </w:p>
        </w:tc>
        <w:tc>
          <w:tcPr>
            <w:tcW w:type="dxa" w:w="192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Total FCCPC Fee</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Below ₦2,000,000</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12%</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₦25,000</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₦265,000</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₦2M – ₦9,999,999</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10%</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₦50,000</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Up to ₦1,074,999</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₦10M – ₦29,999,999</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8.5%</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₦75,000</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Up to ₦2,624,999</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₦30M – ₦49,999,999</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6.0%</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₦100,000</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Up to ₦3,099,999</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₦50M – ₦99,999,999</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5.2%</w:t>
            </w:r>
          </w:p>
        </w:tc>
        <w:tc>
          <w:tcPr>
            <w:tcW w:type="dxa" w:w="1446"/>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₦150,000</w:t>
            </w:r>
          </w:p>
        </w:tc>
        <w:tc>
          <w:tcPr>
            <w:tcW w:type="dxa" w:w="1928"/>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₦2,600,000 + ₦150,000 + ₦25,000</w:t>
            </w:r>
          </w:p>
        </w:tc>
        <w:tc>
          <w:tcPr>
            <w:tcW w:type="dxa" w:w="1928"/>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₦2,775,000</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₦100M – ₦499,999,999</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4.5%</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₦200,000</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Up to ₦22,699,999</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Above ₦500,000,000</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3.0%</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₦250,000</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₦15,250,000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DA4" w:sz="6"/>
              <w:left w:val="single" w:color="2E6DA4" w:sz="14"/>
              <w:bottom w:val="none" w:color="FFFFFF" w:sz="0"/>
              <w:right w:val="none" w:color="FFFFFF" w:sz="0"/>
            </w:tcBorders>
            <w:shd w:fill="F4F9FF" w:val="clear"/>
            <w:tcMar>
              <w:top w:type="dxa" w:w="100"/>
              <w:left w:type="dxa" w:w="200"/>
              <w:bottom w:type="dxa" w:w="100"/>
              <w:right w:type="dxa" w:w="160"/>
            </w:tcMar>
          </w:tcPr>
          <w:p>
            <w:pPr>
              <w:spacing w:after="60"/>
            </w:pPr>
            <w:r>
              <w:rPr>
                <w:rFonts w:ascii="Arial" w:cs="Arial" w:eastAsia="Arial" w:hAnsi="Arial"/>
                <w:b/>
                <w:bCs/>
                <w:color w:val="2E6DA4"/>
                <w:sz w:val="21"/>
                <w:szCs w:val="21"/>
              </w:rPr>
              <w:t xml:space="preserve">Note on scaling</w:t>
            </w:r>
          </w:p>
          <w:p>
            <w:pPr>
              <w:spacing w:after="0"/>
            </w:pPr>
            <w:r>
              <w:rPr>
                <w:rFonts w:ascii="Arial" w:cs="Arial" w:eastAsia="Arial" w:hAnsi="Arial"/>
                <w:color w:val="1C1C1C"/>
                <w:sz w:val="20"/>
                <w:szCs w:val="20"/>
              </w:rPr>
              <w:t xml:space="preserve">As property value increases, the FCCPC fee rate decreases. This means higher-value properties are proportionally cheaper to register as a percentage of prize value — a structural incentive to scale up to more valuable properties over time.</w:t>
            </w:r>
          </w:p>
        </w:tc>
      </w:tr>
    </w:tbl>
    <w:p>
      <w:pPr>
        <w:spacing w:after="240" w:before="0"/>
      </w:pPr>
    </w:p>
    <w:p>
      <w:pPr>
        <w:pStyle w:val="Heading2"/>
        <w:spacing w:after="120" w:before="320"/>
      </w:pPr>
      <w:r>
        <w:rPr>
          <w:rFonts w:ascii="Arial" w:cs="Arial" w:eastAsia="Arial" w:hAnsi="Arial"/>
          <w:b/>
          <w:bCs/>
          <w:color w:val="2E6DA4"/>
          <w:sz w:val="28"/>
          <w:szCs w:val="28"/>
        </w:rPr>
        <w:t xml:space="preserve">11.3  Calculator Feature — Admin Panel Specification</w:t>
      </w:r>
    </w:p>
    <w:p>
      <w:pPr>
        <w:spacing w:after="120" w:before="0"/>
      </w:pPr>
      <w:r>
        <w:rPr>
          <w:rFonts w:ascii="Arial" w:cs="Arial" w:eastAsia="Arial" w:hAnsi="Arial"/>
          <w:color w:val="1C1C1C"/>
          <w:sz w:val="22"/>
          <w:szCs w:val="22"/>
        </w:rPr>
        <w:t xml:space="preserve">The Campaign Economics Calculator is an admin-only tool within the Campaign Manager module. It runs before campaign creation and its outputs are used to pre-populate the FCCPC Form CPC A fields. It is not visible to buyers or the public.</w:t>
      </w:r>
    </w:p>
    <w:p>
      <w:pPr>
        <w:spacing w:after="120" w:before="0"/>
      </w:pPr>
    </w:p>
    <w:p>
      <w:pPr>
        <w:pStyle w:val="Heading3"/>
        <w:spacing w:after="80" w:before="200"/>
      </w:pPr>
      <w:r>
        <w:rPr>
          <w:rFonts w:ascii="Arial" w:cs="Arial" w:eastAsia="Arial" w:hAnsi="Arial"/>
          <w:b/>
          <w:bCs/>
          <w:color w:val="1A3557"/>
          <w:sz w:val="24"/>
          <w:szCs w:val="24"/>
        </w:rPr>
        <w:t xml:space="preserve">Admin Panel — Calculator Input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Input</w:t>
            </w:r>
          </w:p>
        </w:tc>
        <w:tc>
          <w:tcPr>
            <w:tcW w:type="dxa" w:w="192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Type</w:t>
            </w:r>
          </w:p>
        </w:tc>
        <w:tc>
          <w:tcPr>
            <w:tcW w:type="dxa" w:w="481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Notes</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Property Market Value</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Currency — NGN</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Must match NIESV valuation report exactly. FCCPA §123 — any stated value is a legal representation.</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Property State</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Dropdown</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Lagos (adds LSLGA fees) vs Other State (FCCPC only). Determines which fee set applies.</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Good Causes Fund Basis</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Dropdown</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Three options: Excluded (pending legal opinion) | Gross Revenue (worst case) | Net Profit (best case). Must be resolved before campaign is filed.</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Owner Profit Target</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Slider 10–60%</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Percentage of gross revenue the owner wishes to retain as net profit after all costs and taxes.</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Marketing Budget</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Slider 5–25%</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Percentage of gross revenue allocated to paid ads, radio, influencers, print, offline distribution.</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Referral Commission Rate</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Slider 0–10%</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Percentage of gross revenue allocated to referral payouts. Whatever rate is set here, that same rate must be stated in the approved T&amp;Cs — it is a legal representation under FCCPA §123.</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Minimum Threshold %</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Slider 50–95%</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Percentage of total ticket cap below which a full refund is triggered. Default 80%. Must always exceed the break-even ticket count.</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FIRS Income Tax Rate</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Number 0–30%</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Tax rate on profit as advised by FIRS tax consultant. Applied to profit. 0% until tax consultation is complete.</w:t>
            </w:r>
          </w:p>
        </w:tc>
      </w:tr>
    </w:tbl>
    <w:p>
      <w:pPr>
        <w:spacing w:after="200" w:before="0"/>
      </w:pPr>
    </w:p>
    <w:p>
      <w:pPr>
        <w:pStyle w:val="Heading3"/>
        <w:spacing w:after="80" w:before="200"/>
      </w:pPr>
      <w:r>
        <w:rPr>
          <w:rFonts w:ascii="Arial" w:cs="Arial" w:eastAsia="Arial" w:hAnsi="Arial"/>
          <w:b/>
          <w:bCs/>
          <w:color w:val="1A3557"/>
          <w:sz w:val="24"/>
          <w:szCs w:val="24"/>
        </w:rPr>
        <w:t xml:space="preserve">Admin Panel — Calculator Output Fields (Auto-Calculated,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Output</w:t>
            </w:r>
          </w:p>
        </w:tc>
        <w:tc>
          <w:tcPr>
            <w:tcW w:type="dxa" w:w="693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Description and FCCPC Usage</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Recommended Ticket Price</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Rounded to nearest ₦500. Targets ~25,000 total tickets. This value is auto-populated into the Ticket Price field on Form CPC A.</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Total Ticket Cap</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Rounded to nearest 1,000. This is the hard cap field on Form CPC A. Once filed and approved, it cannot increase without FCCPC prior consent.</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Minimum Threshold</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 tickets. This value must be stated in the T&amp;Cs and is the refund trigger line. Must exceed break-even — system blocks submission if not.</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Winning Odds</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Expressed as '1 in [Total Tickets]'. Required on FCCPC Form CPC A. Also displayed on the campaign page to buyers — FCCPA §123 requires it to update as tickets sell.</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Gross Revenue (at cap)</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Total revenue if all tickets sell. = Total Ticket Cap × Ticket Price.</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Total Cost Breakdown</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Itemised list of all fixed and variable costs with regulatory reference for each line. Used to verify the campaign is financially sound before filing.</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Net Owner Profit</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Gross revenue minus all costs, taxes, and Good Causes deductions. This is the amount released from escrow to the owner after the draw.</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Break-Even Ticket Count</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Number of tickets that must sell to cover all fixed costs. Minimum threshold must be set above this number. If threshold &lt; break-even: system alert and form submission blocked.</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Revenue at Min. Threshold</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Revenue generated if only the minimum threshold sells. Must be sufficient to trigger the draw and cover all costs. If not: raise ticket price or lower fixed costs.</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Good Causes Deduction Scenarios</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Side-by-side comparison: Gross basis (worst case), Net basis (best case), Excluded (pending legal opinion). Displayed until legal opinion is on file.</w:t>
            </w:r>
          </w:p>
        </w:tc>
      </w:tr>
    </w:tbl>
    <w:p>
      <w:pPr>
        <w:spacing w:after="200" w:before="0"/>
      </w:pPr>
    </w:p>
    <w:p>
      <w:pPr>
        <w:pStyle w:val="Heading3"/>
        <w:spacing w:after="80" w:before="200"/>
      </w:pPr>
      <w:r>
        <w:rPr>
          <w:rFonts w:ascii="Arial" w:cs="Arial" w:eastAsia="Arial" w:hAnsi="Arial"/>
          <w:b/>
          <w:bCs/>
          <w:color w:val="1A3557"/>
          <w:sz w:val="24"/>
          <w:szCs w:val="24"/>
        </w:rPr>
        <w:t xml:space="preserve">11.4  Campaign Creation Workflow — Calculator-Gated</w:t>
      </w:r>
    </w:p>
    <w:p>
      <w:pPr>
        <w:pStyle w:val="ListParagraph"/>
        <w:numPr>
          <w:ilvl w:val="0"/>
          <w:numId w:val="3"/>
        </w:numPr>
        <w:spacing w:after="80" w:before="0"/>
      </w:pPr>
      <w:r>
        <w:rPr>
          <w:rFonts w:ascii="Arial" w:cs="Arial" w:eastAsia="Arial" w:hAnsi="Arial"/>
          <w:color w:val="1C1C1C"/>
          <w:sz w:val="22"/>
          <w:szCs w:val="22"/>
        </w:rPr>
        <w:t xml:space="preserve">Owner opens 'New Campaign' in admin panel</w:t>
      </w:r>
    </w:p>
    <w:p>
      <w:pPr>
        <w:pStyle w:val="ListParagraph"/>
        <w:numPr>
          <w:ilvl w:val="0"/>
          <w:numId w:val="3"/>
        </w:numPr>
        <w:spacing w:after="80" w:before="0"/>
      </w:pPr>
      <w:r>
        <w:rPr>
          <w:rFonts w:ascii="Arial" w:cs="Arial" w:eastAsia="Arial" w:hAnsi="Arial"/>
          <w:color w:val="1C1C1C"/>
          <w:sz w:val="22"/>
          <w:szCs w:val="22"/>
        </w:rPr>
        <w:t xml:space="preserve">System opens the Campaign Economics Calculator first</w:t>
      </w:r>
    </w:p>
    <w:p>
      <w:pPr>
        <w:pStyle w:val="ListParagraph"/>
        <w:numPr>
          <w:ilvl w:val="0"/>
          <w:numId w:val="3"/>
        </w:numPr>
        <w:spacing w:after="80" w:before="0"/>
      </w:pPr>
      <w:r>
        <w:rPr>
          <w:rFonts w:ascii="Arial" w:cs="Arial" w:eastAsia="Arial" w:hAnsi="Arial"/>
          <w:color w:val="1C1C1C"/>
          <w:sz w:val="22"/>
          <w:szCs w:val="22"/>
        </w:rPr>
        <w:t xml:space="preserve">Owner enters property value and adjusts all sliders to match intended campaign structure</w:t>
      </w:r>
    </w:p>
    <w:p>
      <w:pPr>
        <w:pStyle w:val="ListParagraph"/>
        <w:numPr>
          <w:ilvl w:val="0"/>
          <w:numId w:val="3"/>
        </w:numPr>
        <w:spacing w:after="80" w:before="0"/>
      </w:pPr>
      <w:r>
        <w:rPr>
          <w:rFonts w:ascii="Arial" w:cs="Arial" w:eastAsia="Arial" w:hAnsi="Arial"/>
          <w:color w:val="1C1C1C"/>
          <w:sz w:val="22"/>
          <w:szCs w:val="22"/>
        </w:rPr>
        <w:t xml:space="preserve">System computes and displays all recommended values and full cost breakdown</w:t>
      </w:r>
    </w:p>
    <w:p>
      <w:pPr>
        <w:pStyle w:val="ListParagraph"/>
        <w:numPr>
          <w:ilvl w:val="0"/>
          <w:numId w:val="3"/>
        </w:numPr>
        <w:spacing w:after="80" w:before="0"/>
      </w:pPr>
      <w:r>
        <w:rPr>
          <w:rFonts w:ascii="Arial" w:cs="Arial" w:eastAsia="Arial" w:hAnsi="Arial"/>
          <w:color w:val="1C1C1C"/>
          <w:sz w:val="22"/>
          <w:szCs w:val="22"/>
        </w:rPr>
        <w:t xml:space="preserve">Owner reviews: break-even validation passes, net profit is acceptable, Good Causes scenario is resolved</w:t>
      </w:r>
    </w:p>
    <w:p>
      <w:pPr>
        <w:pStyle w:val="ListParagraph"/>
        <w:numPr>
          <w:ilvl w:val="0"/>
          <w:numId w:val="3"/>
        </w:numPr>
        <w:spacing w:after="80" w:before="0"/>
      </w:pPr>
      <w:r>
        <w:rPr>
          <w:rFonts w:ascii="Arial" w:cs="Arial" w:eastAsia="Arial" w:hAnsi="Arial"/>
          <w:color w:val="1C1C1C"/>
          <w:sz w:val="22"/>
          <w:szCs w:val="22"/>
        </w:rPr>
        <w:t xml:space="preserve">Owner clicks 'Use These Values' — calculator outputs are pre-populated into the campaign creation form as locked values</w:t>
      </w:r>
    </w:p>
    <w:p>
      <w:pPr>
        <w:pStyle w:val="ListParagraph"/>
        <w:numPr>
          <w:ilvl w:val="0"/>
          <w:numId w:val="3"/>
        </w:numPr>
        <w:spacing w:after="80" w:before="0"/>
      </w:pPr>
      <w:r>
        <w:rPr>
          <w:rFonts w:ascii="Arial" w:cs="Arial" w:eastAsia="Arial" w:hAnsi="Arial"/>
          <w:color w:val="1C1C1C"/>
          <w:sz w:val="22"/>
          <w:szCs w:val="22"/>
        </w:rPr>
        <w:t xml:space="preserve">Owner uploads: NIESV valuation report, property title documents, property photos</w:t>
      </w:r>
    </w:p>
    <w:p>
      <w:pPr>
        <w:pStyle w:val="ListParagraph"/>
        <w:numPr>
          <w:ilvl w:val="0"/>
          <w:numId w:val="3"/>
        </w:numPr>
        <w:spacing w:after="80" w:before="0"/>
      </w:pPr>
      <w:r>
        <w:rPr>
          <w:rFonts w:ascii="Arial" w:cs="Arial" w:eastAsia="Arial" w:hAnsi="Arial"/>
          <w:color w:val="1C1C1C"/>
          <w:sz w:val="22"/>
          <w:szCs w:val="22"/>
        </w:rPr>
        <w:t xml:space="preserve">System validates: FCCPC approval reference field is present (or marks campaign as 'Awaiting FCCPC Approval')</w:t>
      </w:r>
    </w:p>
    <w:p>
      <w:pPr>
        <w:pStyle w:val="ListParagraph"/>
        <w:numPr>
          <w:ilvl w:val="0"/>
          <w:numId w:val="3"/>
        </w:numPr>
        <w:spacing w:after="80" w:before="0"/>
      </w:pPr>
      <w:r>
        <w:rPr>
          <w:rFonts w:ascii="Arial" w:cs="Arial" w:eastAsia="Arial" w:hAnsi="Arial"/>
          <w:color w:val="1C1C1C"/>
          <w:sz w:val="22"/>
          <w:szCs w:val="22"/>
        </w:rPr>
        <w:t xml:space="preserve">Owner completes all remaining campaign fields and submits campaign for FCCPC application</w:t>
      </w:r>
    </w:p>
    <w:p>
      <w:pPr>
        <w:pStyle w:val="ListParagraph"/>
        <w:numPr>
          <w:ilvl w:val="0"/>
          <w:numId w:val="3"/>
        </w:numPr>
        <w:spacing w:after="80" w:before="0"/>
      </w:pPr>
      <w:r>
        <w:rPr>
          <w:rFonts w:ascii="Arial" w:cs="Arial" w:eastAsia="Arial" w:hAnsi="Arial"/>
          <w:color w:val="1C1C1C"/>
          <w:sz w:val="22"/>
          <w:szCs w:val="22"/>
        </w:rPr>
        <w:t xml:space="preserve">System generates a pre-filled FCCPC Form CPC A summary report (PDF) using campaign data — ready to submit to FCCPC</w:t>
      </w:r>
    </w:p>
    <w:p>
      <w:pPr>
        <w:pStyle w:val="ListParagraph"/>
        <w:numPr>
          <w:ilvl w:val="0"/>
          <w:numId w:val="3"/>
        </w:numPr>
        <w:spacing w:after="80" w:before="0"/>
      </w:pPr>
      <w:r>
        <w:rPr>
          <w:rFonts w:ascii="Arial" w:cs="Arial" w:eastAsia="Arial" w:hAnsi="Arial"/>
          <w:color w:val="1C1C1C"/>
          <w:sz w:val="22"/>
          <w:szCs w:val="22"/>
        </w:rPr>
        <w:t xml:space="preserve">After FCCPC approval is received: owner enters NOD reference number, campaign status changes to 'Approved — Upcoming', campaign becomes visible to public</w:t>
      </w:r>
    </w:p>
    <w:p>
      <w:pPr>
        <w:spacing w:after="200" w:before="0"/>
      </w:pPr>
    </w:p>
    <w:p>
      <w:pPr>
        <w:pStyle w:val="Heading3"/>
        <w:spacing w:after="80" w:before="200"/>
      </w:pPr>
      <w:r>
        <w:rPr>
          <w:rFonts w:ascii="Arial" w:cs="Arial" w:eastAsia="Arial" w:hAnsi="Arial"/>
          <w:b/>
          <w:bCs/>
          <w:color w:val="1A3557"/>
          <w:sz w:val="24"/>
          <w:szCs w:val="24"/>
        </w:rPr>
        <w:t xml:space="preserve">11.5  Form CPC A Summary Report (Auto-Generated PDF)</w:t>
      </w:r>
    </w:p>
    <w:p>
      <w:pPr>
        <w:spacing w:after="120" w:before="0"/>
      </w:pPr>
      <w:r>
        <w:rPr>
          <w:rFonts w:ascii="Arial" w:cs="Arial" w:eastAsia="Arial" w:hAnsi="Arial"/>
          <w:color w:val="1C1C1C"/>
          <w:sz w:val="22"/>
          <w:szCs w:val="22"/>
        </w:rPr>
        <w:t xml:space="preserve">When a campaign is ready to submit to the FCCPC, the admin panel generates a Form CPC A Summary Report as a PDF. This is not a substitute for the official FCCPC form — it is a pre-filled reference document the owner takes to the submission meeting. It contains:</w:t>
      </w:r>
    </w:p>
    <w:p>
      <w:pPr>
        <w:pStyle w:val="ListParagraph"/>
        <w:numPr>
          <w:ilvl w:val="0"/>
          <w:numId w:val="2"/>
        </w:numPr>
        <w:spacing w:after="80" w:before="0"/>
      </w:pPr>
      <w:r>
        <w:rPr>
          <w:rFonts w:ascii="Arial" w:cs="Arial" w:eastAsia="Arial" w:hAnsi="Arial"/>
          <w:color w:val="1C1C1C"/>
          <w:sz w:val="22"/>
          <w:szCs w:val="22"/>
        </w:rPr>
        <w:t xml:space="preserve">Company name, CAC registration number, registered address</w:t>
      </w:r>
    </w:p>
    <w:p>
      <w:pPr>
        <w:pStyle w:val="ListParagraph"/>
        <w:numPr>
          <w:ilvl w:val="0"/>
          <w:numId w:val="2"/>
        </w:numPr>
        <w:spacing w:after="80" w:before="0"/>
      </w:pPr>
      <w:r>
        <w:rPr>
          <w:rFonts w:ascii="Arial" w:cs="Arial" w:eastAsia="Arial" w:hAnsi="Arial"/>
          <w:color w:val="1C1C1C"/>
          <w:sz w:val="22"/>
          <w:szCs w:val="22"/>
        </w:rPr>
        <w:t xml:space="preserve">Promotion name and detailed description</w:t>
      </w:r>
    </w:p>
    <w:p>
      <w:pPr>
        <w:pStyle w:val="ListParagraph"/>
        <w:numPr>
          <w:ilvl w:val="0"/>
          <w:numId w:val="2"/>
        </w:numPr>
        <w:spacing w:after="80" w:before="0"/>
      </w:pPr>
      <w:r>
        <w:rPr>
          <w:rFonts w:ascii="Arial" w:cs="Arial" w:eastAsia="Arial" w:hAnsi="Arial"/>
          <w:color w:val="1C1C1C"/>
          <w:sz w:val="22"/>
          <w:szCs w:val="22"/>
        </w:rPr>
        <w:t xml:space="preserve">Sell-in-time (open date to close date — max 12 months from FCCPC approval)</w:t>
      </w:r>
    </w:p>
    <w:p>
      <w:pPr>
        <w:pStyle w:val="ListParagraph"/>
        <w:numPr>
          <w:ilvl w:val="0"/>
          <w:numId w:val="2"/>
        </w:numPr>
        <w:spacing w:after="80" w:before="0"/>
      </w:pPr>
      <w:r>
        <w:rPr>
          <w:rFonts w:ascii="Arial" w:cs="Arial" w:eastAsia="Arial" w:hAnsi="Arial"/>
          <w:color w:val="1C1C1C"/>
          <w:sz w:val="22"/>
          <w:szCs w:val="22"/>
        </w:rPr>
        <w:t xml:space="preserve">Property location, address, and state</w:t>
      </w:r>
    </w:p>
    <w:p>
      <w:pPr>
        <w:pStyle w:val="ListParagraph"/>
        <w:numPr>
          <w:ilvl w:val="0"/>
          <w:numId w:val="2"/>
        </w:numPr>
        <w:spacing w:after="80" w:before="0"/>
      </w:pPr>
      <w:r>
        <w:rPr>
          <w:rFonts w:ascii="Arial" w:cs="Arial" w:eastAsia="Arial" w:hAnsi="Arial"/>
          <w:color w:val="1C1C1C"/>
          <w:sz w:val="22"/>
          <w:szCs w:val="22"/>
        </w:rPr>
        <w:t xml:space="preserve">Total prize value (from NIESV report)</w:t>
      </w:r>
    </w:p>
    <w:p>
      <w:pPr>
        <w:pStyle w:val="ListParagraph"/>
        <w:numPr>
          <w:ilvl w:val="0"/>
          <w:numId w:val="2"/>
        </w:numPr>
        <w:spacing w:after="80" w:before="0"/>
      </w:pPr>
      <w:r>
        <w:rPr>
          <w:rFonts w:ascii="Arial" w:cs="Arial" w:eastAsia="Arial" w:hAnsi="Arial"/>
          <w:color w:val="1C1C1C"/>
          <w:sz w:val="22"/>
          <w:szCs w:val="22"/>
        </w:rPr>
        <w:t xml:space="preserve">Ticket price and bundle structure</w:t>
      </w:r>
    </w:p>
    <w:p>
      <w:pPr>
        <w:pStyle w:val="ListParagraph"/>
        <w:numPr>
          <w:ilvl w:val="0"/>
          <w:numId w:val="2"/>
        </w:numPr>
        <w:spacing w:after="80" w:before="0"/>
      </w:pPr>
      <w:r>
        <w:rPr>
          <w:rFonts w:ascii="Arial" w:cs="Arial" w:eastAsia="Arial" w:hAnsi="Arial"/>
          <w:color w:val="1C1C1C"/>
          <w:sz w:val="22"/>
          <w:szCs w:val="22"/>
        </w:rPr>
        <w:t xml:space="preserve">Total entries (ticket cap)</w:t>
      </w:r>
    </w:p>
    <w:p>
      <w:pPr>
        <w:pStyle w:val="ListParagraph"/>
        <w:numPr>
          <w:ilvl w:val="0"/>
          <w:numId w:val="2"/>
        </w:numPr>
        <w:spacing w:after="80" w:before="0"/>
      </w:pPr>
      <w:r>
        <w:rPr>
          <w:rFonts w:ascii="Arial" w:cs="Arial" w:eastAsia="Arial" w:hAnsi="Arial"/>
          <w:color w:val="1C1C1C"/>
          <w:sz w:val="22"/>
          <w:szCs w:val="22"/>
        </w:rPr>
        <w:t xml:space="preserve">Winning odds ratio (1 in [total tickets])</w:t>
      </w:r>
    </w:p>
    <w:p>
      <w:pPr>
        <w:pStyle w:val="ListParagraph"/>
        <w:numPr>
          <w:ilvl w:val="0"/>
          <w:numId w:val="2"/>
        </w:numPr>
        <w:spacing w:after="80" w:before="0"/>
      </w:pPr>
      <w:r>
        <w:rPr>
          <w:rFonts w:ascii="Arial" w:cs="Arial" w:eastAsia="Arial" w:hAnsi="Arial"/>
          <w:color w:val="1C1C1C"/>
          <w:sz w:val="22"/>
          <w:szCs w:val="22"/>
        </w:rPr>
        <w:t xml:space="preserve">Minimum threshold and refund trigger mechanism</w:t>
      </w:r>
    </w:p>
    <w:p>
      <w:pPr>
        <w:pStyle w:val="ListParagraph"/>
        <w:numPr>
          <w:ilvl w:val="0"/>
          <w:numId w:val="2"/>
        </w:numPr>
        <w:spacing w:after="80" w:before="0"/>
      </w:pPr>
      <w:r>
        <w:rPr>
          <w:rFonts w:ascii="Arial" w:cs="Arial" w:eastAsia="Arial" w:hAnsi="Arial"/>
          <w:color w:val="1C1C1C"/>
          <w:sz w:val="22"/>
          <w:szCs w:val="22"/>
        </w:rPr>
        <w:t xml:space="preserve">Draw date, draw method, and draw location</w:t>
      </w:r>
    </w:p>
    <w:p>
      <w:pPr>
        <w:pStyle w:val="ListParagraph"/>
        <w:numPr>
          <w:ilvl w:val="0"/>
          <w:numId w:val="2"/>
        </w:numPr>
        <w:spacing w:after="80" w:before="0"/>
      </w:pPr>
      <w:r>
        <w:rPr>
          <w:rFonts w:ascii="Arial" w:cs="Arial" w:eastAsia="Arial" w:hAnsi="Arial"/>
          <w:color w:val="1C1C1C"/>
          <w:sz w:val="22"/>
          <w:szCs w:val="22"/>
        </w:rPr>
        <w:t xml:space="preserve">Proposed advertising channels and sample ad reference</w:t>
      </w:r>
    </w:p>
    <w:p>
      <w:pPr>
        <w:pStyle w:val="ListParagraph"/>
        <w:numPr>
          <w:ilvl w:val="0"/>
          <w:numId w:val="2"/>
        </w:numPr>
        <w:spacing w:after="80" w:before="0"/>
      </w:pPr>
      <w:r>
        <w:rPr>
          <w:rFonts w:ascii="Arial" w:cs="Arial" w:eastAsia="Arial" w:hAnsi="Arial"/>
          <w:color w:val="1C1C1C"/>
          <w:sz w:val="22"/>
          <w:szCs w:val="22"/>
        </w:rPr>
        <w:t xml:space="preserve">Referral programme details (as part of 'means of dissemination')</w:t>
      </w:r>
    </w:p>
    <w:p>
      <w:pPr>
        <w:pStyle w:val="ListParagraph"/>
        <w:numPr>
          <w:ilvl w:val="0"/>
          <w:numId w:val="2"/>
        </w:numPr>
        <w:spacing w:after="80" w:before="0"/>
      </w:pPr>
      <w:r>
        <w:rPr>
          <w:rFonts w:ascii="Arial" w:cs="Arial" w:eastAsia="Arial" w:hAnsi="Arial"/>
          <w:color w:val="1C1C1C"/>
          <w:sz w:val="22"/>
          <w:szCs w:val="22"/>
        </w:rPr>
        <w:t xml:space="preserve">Escrow bank name and account confirmation</w:t>
      </w:r>
    </w:p>
    <w:p>
      <w:pPr>
        <w:pStyle w:val="ListParagraph"/>
        <w:numPr>
          <w:ilvl w:val="0"/>
          <w:numId w:val="2"/>
        </w:numPr>
        <w:spacing w:after="80" w:before="0"/>
      </w:pPr>
      <w:r>
        <w:rPr>
          <w:rFonts w:ascii="Arial" w:cs="Arial" w:eastAsia="Arial" w:hAnsi="Arial"/>
          <w:color w:val="1C1C1C"/>
          <w:sz w:val="22"/>
          <w:szCs w:val="22"/>
        </w:rPr>
        <w:t xml:space="preserve">Skill question text and correct answer</w:t>
      </w:r>
    </w:p>
    <w:p>
      <w:pPr>
        <w:pStyle w:val="ListParagraph"/>
        <w:numPr>
          <w:ilvl w:val="0"/>
          <w:numId w:val="2"/>
        </w:numPr>
        <w:spacing w:after="80" w:before="0"/>
      </w:pPr>
      <w:r>
        <w:rPr>
          <w:rFonts w:ascii="Arial" w:cs="Arial" w:eastAsia="Arial" w:hAnsi="Arial"/>
          <w:color w:val="1C1C1C"/>
          <w:sz w:val="22"/>
          <w:szCs w:val="22"/>
        </w:rPr>
        <w:t xml:space="preserve">Contact person name, phone, and email</w:t>
      </w:r>
    </w:p>
    <w:p>
      <w:pPr>
        <w:pStyle w:val="ListParagraph"/>
        <w:numPr>
          <w:ilvl w:val="0"/>
          <w:numId w:val="2"/>
        </w:numPr>
        <w:spacing w:after="80" w:before="0"/>
      </w:pPr>
      <w:r>
        <w:rPr>
          <w:rFonts w:ascii="Arial" w:cs="Arial" w:eastAsia="Arial" w:hAnsi="Arial"/>
          <w:color w:val="1C1C1C"/>
          <w:sz w:val="22"/>
          <w:szCs w:val="22"/>
        </w:rPr>
        <w:t xml:space="preserve">Full cost breakdown and fee payment summary</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13. Future Feature Roadmap — Compliance Notes Added</w:t>
      </w:r>
    </w:p>
    <w:p>
      <w:pPr>
        <w:pBdr>
          <w:bottom w:val="single" w:color="2E6DA4" w:sz="8" w:space="1"/>
        </w:pBd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253"/>
        <w:gridCol w:w="5494"/>
      </w:tblGrid>
      <w:tr>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Feature</w:t>
            </w:r>
          </w:p>
        </w:tc>
        <w:tc>
          <w:tcPr>
            <w:tcW w:type="dxa" w:w="1253"/>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Priority</w:t>
            </w:r>
          </w:p>
        </w:tc>
        <w:tc>
          <w:tcPr>
            <w:tcW w:type="dxa" w:w="5494"/>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Compliance Note</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Mobile App (iOS + Android)</w:t>
            </w:r>
          </w:p>
        </w:tc>
        <w:tc>
          <w:tcPr>
            <w:tcW w:type="dxa" w:w="125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49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App must carry FCCPC approval statement on all campaign screens. App store listing must not use the word 'lottery'. NDPR data rights must work from within the app.</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User Wallet</w:t>
            </w:r>
          </w:p>
        </w:tc>
        <w:tc>
          <w:tcPr>
            <w:tcW w:type="dxa" w:w="125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49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In-app wallet holding referral earnings requires CBN payment service provider compliance review. Consult legal counsel before implementation.</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Agent / Partner Portal</w:t>
            </w:r>
          </w:p>
        </w:tc>
        <w:tc>
          <w:tcPr>
            <w:tcW w:type="dxa" w:w="125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549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Agents promoting campaigns are third parties making representations on your behalf [FCCPA 2018 §125(2)]. All agents must sign compliance agreements and receive the same content brief requirements as influencers.</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Multi-Currency Display</w:t>
            </w:r>
          </w:p>
        </w:tc>
        <w:tc>
          <w:tcPr>
            <w:tcW w:type="dxa" w:w="125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Low</w:t>
            </w:r>
          </w:p>
        </w:tc>
        <w:tc>
          <w:tcPr>
            <w:tcW w:type="dxa" w:w="549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GBP/USD may be displayed as secondary prices. NGN must remain the primary and transacting currency [FCCPA 2018 §115].</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Property Syndication (third-party properties)</w:t>
            </w:r>
          </w:p>
        </w:tc>
        <w:tc>
          <w:tcPr>
            <w:tcW w:type="dxa" w:w="125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Low</w:t>
            </w:r>
          </w:p>
        </w:tc>
        <w:tc>
          <w:tcPr>
            <w:tcW w:type="dxa" w:w="549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 COMPLIANCE RISK. Each third-party property requires its own separate FCCPC application and approval. Cannot reuse your approval for another owner's property. Requires significant legal structuring before implementation.</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Instalment Payment</w:t>
            </w:r>
          </w:p>
        </w:tc>
        <w:tc>
          <w:tcPr>
            <w:tcW w:type="dxa" w:w="125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549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Holding ticket pending full payment creates complex rights questions under FCCPA. Legal advice required before implementation.</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14. Glossary of Terms — Updated</w:t>
      </w:r>
    </w:p>
    <w:p>
      <w:pPr>
        <w:pBdr>
          <w:bottom w:val="single" w:color="2E6DA4" w:sz="8" w:space="1"/>
        </w:pBd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c>
          <w:tcPr>
            <w:tcW w:type="dxa" w:w="241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Term</w:t>
            </w:r>
          </w:p>
        </w:tc>
        <w:tc>
          <w:tcPr>
            <w:tcW w:type="dxa" w:w="722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r>
              <w:rPr>
                <w:rFonts w:ascii="Arial" w:cs="Arial" w:eastAsia="Arial" w:hAnsi="Arial"/>
                <w:b/>
                <w:bCs/>
                <w:color w:val="FFFFFF"/>
                <w:sz w:val="20"/>
                <w:szCs w:val="20"/>
              </w:rPr>
              <w:t xml:space="preserve">Definition</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Promotional Competition</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legally correct description of this business. A competition in which subscribers pay for the right to compete, determined by lot or chance, but structured with a genuine skill element to avoid lottery classification. Never referred to as 'lottery' in any user-facing context.</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w:t>
            </w:r>
          </w:p>
        </w:tc>
        <w:tc>
          <w:tcPr>
            <w:tcW w:type="dxa" w:w="722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Federal Competition and Consumer Protection Commission — the federal body that approves and monitors all sales promotions in Nigeria under the FCCPA 2018 and Sales Promotion Regulations 2005.</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FCCPA 2018</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Federal Competition and Consumer Protection Act 2018 — the primary federal legislation governing consumer protection, advertising representations, contract terms, and fair trade practices in Nigeria.</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LSLGA</w:t>
            </w:r>
          </w:p>
        </w:tc>
        <w:tc>
          <w:tcPr>
            <w:tcW w:type="dxa" w:w="722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Lagos State Lotteries and Gaming Authority — the state body regulating promotions in Lagos State. Separate licence required in addition to FCCPC approval for Lagos operations.</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FCCPC Approval Reference</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unique reference number on the FCCPC Notice of Decision (NOD) approving a specific campaign. This number must appear on every page, every communication, and every advertisement related to that campaign.</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Sell-in-Time</w:t>
            </w:r>
          </w:p>
        </w:tc>
        <w:tc>
          <w:tcPr>
            <w:tcW w:type="dxa" w:w="722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duration of a promotion as defined by the FCCPC. Maximum 1 year per campaign. The campaign close date cannot exceed 12 months from the FCCPC approval date.</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Notice of Decision (NOD)</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FCCPC's formal written decision on a promotion application. An approving NOD is required before any campaign can be published or any ticket sold.</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Form CPC A</w:t>
            </w:r>
          </w:p>
        </w:tc>
        <w:tc>
          <w:tcPr>
            <w:tcW w:type="dxa" w:w="722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FCCPC Sales Promotion Registration Form — the application form submitted at least 21 days before a promotion commences.</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Form CPC B</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FCCPC End of Sales Promotion Report — mandatory filing within 21 days of promotion completion. Documents draw results, winner details, and prize redemption status.</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FCCPA §118 Record</w:t>
            </w:r>
          </w:p>
        </w:tc>
        <w:tc>
          <w:tcPr>
            <w:tcW w:type="dxa" w:w="722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legally required written transaction record that must be provided to every buyer under Section 118 of the FCCPA 2018. Contains: company name, address, date, description, unit price, quantity, total price (pre and post-tax).</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Skill Element</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genuine eligibility condition that distinguishes the business as a promotional competition rather than a lottery. A question with a correct answer that must be answered correctly as a condition of valid entry. Must be documented formally in T&amp;Cs and submitted to regulators.</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NIESV</w:t>
            </w:r>
          </w:p>
        </w:tc>
        <w:tc>
          <w:tcPr>
            <w:tcW w:type="dxa" w:w="722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Nigerian Institution of Estate Surveyors and Valuers — the professional body for certified property valuers. An NIESV-registered valuation report is required by the FCCPC to substantiate property value claims before a campaign can be approved.</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Good Causes Fund</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LSLGA provision requiring that funds from promotions be allocated to state causes (infrastructure, education, environment, social/health). The applicable basis — gross revenue, net revenue, or net profit — must be determined by legal opinion before financial modelling.</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NDPR</w:t>
            </w:r>
          </w:p>
        </w:tc>
        <w:tc>
          <w:tcPr>
            <w:tcW w:type="dxa" w:w="722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Nigeria Data Protection Regulation — the legal framework governing data privacy for Nigerian businesses. Governs how the platform stores, uses, and deletes user data, and requires explicit opt-in for marketing communications.</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Escrow</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Arrangement with a named Nigerian bank holding all ticket sale proceeds until draw completion and winner verification. A named, verifiable escrow is required to fulfil the transparency undertaking submitted to the FCCPC.</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Break-Even Ticket Count</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minimum number of tickets that must sell to cover all fixed costs at zero profit. Calculated as: Fixed Costs divided by (Ticket Price multiplied by one minus all variable cost percentages). The campaign minimum threshold must always be set above this figure. The admin system blocks campaign submission if the threshold is below break-even.</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Economics Calculator</w:t>
            </w:r>
          </w:p>
        </w:tc>
        <w:tc>
          <w:tcPr>
            <w:tcW w:type="dxa" w:w="722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admin-panel tool that takes property value as its primary input and computes all regulatory fees and costs to recommend: ticket price, total ticket cap, minimum threshold, winning odds, and a full itemised cost breakdown. Outputs pre-populate FCCPC Form CPC A. Cannot be bypassed when creating a new campaign.</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Form CPC A Summary Report</w:t>
            </w:r>
          </w:p>
        </w:tc>
        <w:tc>
          <w:tcPr>
            <w:tcW w:type="dxa" w:w="722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An auto-generated PDF produced by the admin panel before FCCPC submission. Pre-fills all required Form CPC A fields from campaign data: ticket price, total entries, winning odds, skill question, draw method, advertorial references, and escrow details. A structured reference document for the FCCPC submission meeting — not a substitute for the official form.</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CAC</w:t>
            </w:r>
          </w:p>
        </w:tc>
        <w:tc>
          <w:tcPr>
            <w:tcW w:type="dxa" w:w="722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Corporate Affairs Commission — Nigeria's company registration authority. LLC incorporation with the CAC is mandatory before any FCCPC application can be submitted.</w:t>
            </w:r>
          </w:p>
        </w:tc>
      </w:tr>
    </w:tbl>
    <w:p>
      <w:pPr>
        <w:spacing w:after="400" w:before="0"/>
      </w:pPr>
    </w:p>
    <w:p>
      <w:pPr>
        <w:pBdr>
          <w:bottom w:val="single" w:color="1A3557" w:sz="16" w:space="1"/>
        </w:pBdr>
        <w:spacing w:after="80" w:before="0"/>
      </w:pPr>
    </w:p>
    <w:p>
      <w:pPr>
        <w:spacing w:after="80" w:before="160"/>
        <w:jc w:val="center"/>
      </w:pPr>
      <w:r>
        <w:rPr>
          <w:rFonts w:ascii="Arial" w:cs="Arial" w:eastAsia="Arial" w:hAnsi="Arial"/>
          <w:b/>
          <w:bCs/>
          <w:color w:val="1A3557"/>
          <w:sz w:val="20"/>
          <w:szCs w:val="20"/>
        </w:rPr>
        <w:t xml:space="preserve">Property Raffle Platform — Website Development Specification v3.0 (Regulation-Compliant + Calculator Edition)</w:t>
      </w:r>
    </w:p>
    <w:p>
      <w:pPr>
        <w:spacing w:after="80" w:before="0"/>
        <w:jc w:val="center"/>
      </w:pPr>
      <w:r>
        <w:rPr>
          <w:rFonts w:ascii="Arial" w:cs="Arial" w:eastAsia="Arial" w:hAnsi="Arial"/>
          <w:color w:val="555555"/>
          <w:sz w:val="18"/>
          <w:szCs w:val="18"/>
        </w:rPr>
        <w:t xml:space="preserve">Regulatory Basis: FCCPA 2018 | FCCPC Sales Promotion Guidelines | LSLGA Guidelines | NCC Competition Practices Regulations 2007</w:t>
      </w:r>
    </w:p>
    <w:p>
      <w:pPr>
        <w:spacing w:after="0" w:before="0"/>
        <w:jc w:val="center"/>
      </w:pPr>
      <w:r>
        <w:rPr>
          <w:rFonts w:ascii="Arial" w:cs="Arial" w:eastAsia="Arial" w:hAnsi="Arial"/>
          <w:i/>
          <w:iCs/>
          <w:color w:val="777777"/>
          <w:sz w:val="18"/>
          <w:szCs w:val="18"/>
        </w:rPr>
        <w:t xml:space="preserve">This document is confidential. Intended solely for the business owner and authorised development partners.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pPr>
    <w:r>
      <w:rPr>
        <w:rFonts w:ascii="Arial" w:cs="Arial" w:eastAsia="Arial" w:hAnsi="Arial"/>
        <w:color w:val="888888"/>
        <w:sz w:val="18"/>
        <w:szCs w:val="18"/>
      </w:rPr>
      <w:t xml:space="preserve">Property Raffle Platform  |  Website Spec v2.0  |  FCCPA 2018 Compliant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2E6DA4"/>
        <w:sz w:val="18"/>
        <w:szCs w:val="18"/>
      </w:rPr>
      <w:t xml:space="preserve">Property Raffle Platform Ltd  |  Website Development Specification v2.0 — Regulation-Compliant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55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2026-04-11T23:06:51.721Z</dcterms:created>
  <dcterms:modified xsi:type="dcterms:W3CDTF">2026-04-11T23:06:51.722Z</dcterms:modified>
</cp:coreProperties>
</file>

<file path=docProps/custom.xml><?xml version="1.0" encoding="utf-8"?>
<Properties xmlns="http://schemas.openxmlformats.org/officeDocument/2006/custom-properties" xmlns:vt="http://schemas.openxmlformats.org/officeDocument/2006/docPropsVTypes"/>
</file>